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楷体_GB2312" w:hAnsi="楷体_GB2312" w:eastAsia="楷体_GB2312" w:cs="楷体_GB2312"/>
        </w:rPr>
      </w:pPr>
      <w:r>
        <w:rPr>
          <w:rFonts w:hint="eastAsia" w:ascii="楷体_GB2312" w:hAnsi="楷体_GB2312" w:eastAsia="楷体_GB2312" w:cs="楷体_GB2312"/>
        </w:rPr>
        <w:t>张政办发〔</w:t>
      </w:r>
      <w:r>
        <w:rPr>
          <w:rFonts w:hint="eastAsia" w:ascii="Times New Roman" w:hAnsi="Times New Roman" w:eastAsia="楷体_GB2312" w:cs="楷体_GB2312"/>
        </w:rPr>
        <w:t>2021</w:t>
      </w:r>
      <w:r>
        <w:rPr>
          <w:rFonts w:hint="eastAsia" w:ascii="楷体_GB2312" w:hAnsi="楷体_GB2312" w:eastAsia="楷体_GB2312" w:cs="楷体_GB2312"/>
        </w:rPr>
        <w:t>〕</w:t>
      </w:r>
      <w:r>
        <w:rPr>
          <w:rFonts w:hint="eastAsia" w:eastAsia="楷体_GB2312" w:cs="楷体_GB2312"/>
          <w:lang w:val="en-US" w:eastAsia="zh-CN"/>
        </w:rPr>
        <w:t>8</w:t>
      </w:r>
      <w:r>
        <w:rPr>
          <w:rFonts w:hint="eastAsia" w:ascii="楷体_GB2312" w:hAnsi="楷体_GB2312" w:eastAsia="楷体_GB2312" w:cs="楷体_GB2312"/>
        </w:rPr>
        <w:t>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Times New Roman" w:hAnsi="Times New Roman" w:eastAsia="仿宋" w:cs="仿宋"/>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Times New Roman" w:hAnsi="Times New Roman" w:eastAsia="仿宋" w:cs="仿宋"/>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张店区人民政府办公室</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关于促进3岁以下婴幼儿照护服务</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Times New Roman" w:hAnsi="Times New Roman"/>
        </w:rPr>
      </w:pPr>
      <w:r>
        <w:rPr>
          <w:rFonts w:hint="eastAsia" w:ascii="Times New Roman" w:hAnsi="Times New Roman" w:eastAsia="方正小标宋简体" w:cs="方正小标宋简体"/>
          <w:sz w:val="44"/>
          <w:szCs w:val="44"/>
        </w:rPr>
        <w:t>发展的实施意见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ascii="Times New Roman" w:hAnsi="Times New Roman"/>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各镇政府、街道办事处，区政府有关部门，有关单位:</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为贯彻落实《淄博市人民政府办公室关于促进3岁以下婴幼儿照护服务发展的实施意见》（淄政办发〔2021〕2号），经区政府同意，现就促进我区3岁以下婴幼儿（以下简称“婴幼儿”）照护服务发展提出如下意见。</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黑体" w:hAnsi="黑体" w:eastAsia="黑体" w:cs="黑体"/>
          <w:snapToGrid w:val="0"/>
          <w:sz w:val="32"/>
          <w:szCs w:val="32"/>
          <w:lang w:val="en-US" w:eastAsia="zh-CN" w:bidi="ar-SA"/>
        </w:rPr>
      </w:pPr>
      <w:r>
        <w:rPr>
          <w:rFonts w:hint="eastAsia" w:ascii="黑体" w:hAnsi="黑体" w:eastAsia="黑体" w:cs="黑体"/>
          <w:snapToGrid w:val="0"/>
          <w:sz w:val="32"/>
          <w:szCs w:val="32"/>
          <w:lang w:val="en-US" w:eastAsia="zh-CN" w:bidi="ar-SA"/>
        </w:rPr>
        <w:t>一、工作目标</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以满足人民群众需求为目标，坚持家庭为主、托育补充，以医幼结合为引导、社区为基础、社会力量兴办为支撑，发挥政府引导作用，充分调动社会力量，逐步建成主体多元、管理规范、覆盖城乡、安全健康的婴幼儿照护服务体系。2021年建成１所具有示范引领作用的婴幼儿照护服务机构；到2023年，婴幼儿照护服务管理体制机制初步建立；到2025年，多元化、多样化的婴幼儿照护服务体系基本形成。</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黑体" w:hAnsi="黑体" w:eastAsia="黑体" w:cs="黑体"/>
          <w:snapToGrid w:val="0"/>
          <w:sz w:val="32"/>
          <w:szCs w:val="32"/>
          <w:lang w:val="en-US" w:eastAsia="zh-CN" w:bidi="ar-SA"/>
        </w:rPr>
      </w:pPr>
      <w:r>
        <w:rPr>
          <w:rFonts w:hint="eastAsia" w:ascii="黑体" w:hAnsi="黑体" w:eastAsia="黑体" w:cs="黑体"/>
          <w:snapToGrid w:val="0"/>
          <w:sz w:val="32"/>
          <w:szCs w:val="32"/>
          <w:lang w:val="en-US" w:eastAsia="zh-CN" w:bidi="ar-SA"/>
        </w:rPr>
        <w:t>二、主要任务</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楷体_GB2312" w:hAnsi="楷体_GB2312" w:eastAsia="楷体_GB2312" w:cs="楷体_GB2312"/>
          <w:snapToGrid w:val="0"/>
          <w:sz w:val="32"/>
          <w:szCs w:val="32"/>
          <w:lang w:val="en-US" w:eastAsia="zh-CN" w:bidi="ar-SA"/>
        </w:rPr>
        <w:t>（一）建立健全家庭婴幼儿照护服务支持指导体系</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 xml:space="preserve"> 1.加强对家庭婴幼儿照护的指导。依托妇幼保健、医疗、托育服务等机构，为婴幼儿家庭提供新生儿访视、膳食营养、生长发育、预防接种、安全防护、疾病防控等服务。充分利用新闻媒体、网络平台广泛宣传婴幼儿照护知识。鼓励通过政府购买服务、组织志愿者活动等方式开展家庭婴幼儿照护服务培训、照护指导等工作，送婴幼儿照护知识进社区、进家庭。</w:t>
      </w:r>
      <w:r>
        <w:rPr>
          <w:rFonts w:hint="eastAsia" w:ascii="楷体_GB2312" w:hAnsi="楷体_GB2312" w:eastAsia="楷体_GB2312" w:cs="楷体_GB2312"/>
          <w:snapToGrid w:val="0"/>
          <w:sz w:val="32"/>
          <w:szCs w:val="32"/>
          <w:lang w:val="en-US" w:eastAsia="zh-CN" w:bidi="ar-SA"/>
        </w:rPr>
        <w:t>（责任单位：区委宣传部、团区委、区妇联、区工会、区教体局、区人社局、区卫健局、区市场监管局，各镇政府、街道办事处）</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2.为家庭婴幼儿照护提供便利条件。全面落实法定产假及相关政策，鼓励用人单位根据实际情况，采取提供哺乳条件或灵活安排工作时间以及探索在国家、省产假规定的基础上，适当延长女职工产假等方式，为婴幼儿家庭照护创造便利条件。强化家庭对婴幼儿养育主体责任，为脱产照护婴幼儿的父母提供就业指导和职业技能培训，支持其重返工作岗位。</w:t>
      </w:r>
      <w:r>
        <w:rPr>
          <w:rFonts w:hint="eastAsia" w:ascii="楷体_GB2312" w:hAnsi="楷体_GB2312" w:eastAsia="楷体_GB2312" w:cs="楷体_GB2312"/>
          <w:snapToGrid w:val="0"/>
          <w:sz w:val="32"/>
          <w:szCs w:val="32"/>
          <w:lang w:val="en-US" w:eastAsia="zh-CN" w:bidi="ar-SA"/>
        </w:rPr>
        <w:t>（责任单位：区人社局、区工会、团区委、区妇联、区卫健局，各镇政府、街道办事处）</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楷体_GB2312" w:hAnsi="楷体_GB2312" w:eastAsia="楷体_GB2312" w:cs="楷体_GB2312"/>
          <w:snapToGrid w:val="0"/>
          <w:sz w:val="32"/>
          <w:szCs w:val="32"/>
          <w:lang w:val="en-US" w:eastAsia="zh-CN" w:bidi="ar-SA"/>
        </w:rPr>
      </w:pPr>
      <w:r>
        <w:rPr>
          <w:rFonts w:hint="eastAsia" w:ascii="楷体_GB2312" w:hAnsi="楷体_GB2312" w:eastAsia="楷体_GB2312" w:cs="楷体_GB2312"/>
          <w:snapToGrid w:val="0"/>
          <w:sz w:val="32"/>
          <w:szCs w:val="32"/>
          <w:lang w:val="en-US" w:eastAsia="zh-CN" w:bidi="ar-SA"/>
        </w:rPr>
        <w:t>（二）建立健全多种形式的婴幼儿照护服务体系</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3.鼓励有条件的幼儿园兴办托育机构或开设托班。积极探索幼儿园、托育机构一体化建设。支持有条件的新建幼儿园，增加托班资源供给。支持已满足当地3-6岁幼儿入园需求的幼儿园开办托育机构或开设托班。</w:t>
      </w:r>
      <w:r>
        <w:rPr>
          <w:rFonts w:hint="eastAsia" w:ascii="楷体_GB2312" w:hAnsi="楷体_GB2312" w:eastAsia="楷体_GB2312" w:cs="楷体_GB2312"/>
          <w:snapToGrid w:val="0"/>
          <w:sz w:val="32"/>
          <w:szCs w:val="32"/>
          <w:lang w:val="en-US" w:eastAsia="zh-CN" w:bidi="ar-SA"/>
        </w:rPr>
        <w:t>（责任单位：区教体局、区卫健局，各镇政府、街道办事处）</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4.支持用人单位提供托育服务。鼓励支持机关、企事业单位为职工提供福利性托育服务，有条件的可向社会开放。鼓励国有和国有控股企业、公立医疗机构特别是妇幼保健机构建立婴幼儿照护服务机构。</w:t>
      </w:r>
      <w:r>
        <w:rPr>
          <w:rFonts w:hint="eastAsia" w:ascii="楷体_GB2312" w:hAnsi="楷体_GB2312" w:eastAsia="楷体_GB2312" w:cs="楷体_GB2312"/>
          <w:snapToGrid w:val="0"/>
          <w:sz w:val="32"/>
          <w:szCs w:val="32"/>
          <w:lang w:val="en-US" w:eastAsia="zh-CN" w:bidi="ar-SA"/>
        </w:rPr>
        <w:t>（责任单位：区卫健局、区工会、区发改局，各镇政府、街道办事处）</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5.支持非营利性托育服务机构发展。鼓励基层政府、社区、社会组织等，将回收或闲置房屋、场地、设施等改建为婴幼儿照护服务设施，采取单独或联合的形式举办非营利性托育服务机构。</w:t>
      </w:r>
      <w:r>
        <w:rPr>
          <w:rFonts w:hint="eastAsia" w:ascii="楷体_GB2312" w:hAnsi="楷体_GB2312" w:eastAsia="楷体_GB2312" w:cs="楷体_GB2312"/>
          <w:snapToGrid w:val="0"/>
          <w:sz w:val="32"/>
          <w:szCs w:val="32"/>
          <w:lang w:val="en-US" w:eastAsia="zh-CN" w:bidi="ar-SA"/>
        </w:rPr>
        <w:t>（责任单位：区发改局、区民政局、区住建局、区卫健局，各镇政府、街道办事处）</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6.依托现有妇幼保健机构开展延伸服务。充分发挥妇幼保健机构专业优势，成立婴幼儿照护服务发展指导中心，打造儿童保健专业人员培训基地和托育行业专业指导机构，加强对托育机构建设、家庭婴幼儿照护的服务指导。</w:t>
      </w:r>
      <w:r>
        <w:rPr>
          <w:rFonts w:hint="eastAsia" w:ascii="楷体_GB2312" w:hAnsi="楷体_GB2312" w:eastAsia="楷体_GB2312" w:cs="楷体_GB2312"/>
          <w:snapToGrid w:val="0"/>
          <w:sz w:val="32"/>
          <w:szCs w:val="32"/>
          <w:lang w:val="en-US" w:eastAsia="zh-CN" w:bidi="ar-SA"/>
        </w:rPr>
        <w:t>（责任单位：区卫健局，各镇政府、街道办事处）</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楷体_GB2312" w:hAnsi="楷体_GB2312" w:eastAsia="楷体_GB2312" w:cs="楷体_GB2312"/>
          <w:snapToGrid w:val="0"/>
          <w:sz w:val="32"/>
          <w:szCs w:val="32"/>
          <w:lang w:val="en-US" w:eastAsia="zh-CN" w:bidi="ar-SA"/>
        </w:rPr>
      </w:pPr>
      <w:r>
        <w:rPr>
          <w:rFonts w:hint="eastAsia" w:ascii="楷体_GB2312" w:hAnsi="楷体_GB2312" w:eastAsia="楷体_GB2312" w:cs="楷体_GB2312"/>
          <w:snapToGrid w:val="0"/>
          <w:sz w:val="32"/>
          <w:szCs w:val="32"/>
          <w:lang w:val="en-US" w:eastAsia="zh-CN" w:bidi="ar-SA"/>
        </w:rPr>
        <w:t>（三）建立健全社会参与政策支持体系</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7.鼓励支持社会力量兴办托育服务机构。把托育服务作为新兴服务业和健康产业，依法给予税费、土地、产业发展等优惠政策。鼓励支持通过公办民营、民办公助等市场化方式，举办专业性、多层次、多样化的托育服务机构。</w:t>
      </w:r>
      <w:r>
        <w:rPr>
          <w:rFonts w:hint="eastAsia" w:ascii="楷体_GB2312" w:hAnsi="楷体_GB2312" w:eastAsia="楷体_GB2312" w:cs="楷体_GB2312"/>
          <w:snapToGrid w:val="0"/>
          <w:sz w:val="32"/>
          <w:szCs w:val="32"/>
          <w:lang w:val="en-US" w:eastAsia="zh-CN" w:bidi="ar-SA"/>
        </w:rPr>
        <w:t>（责任单位：区卫健局、区发改局、区教体局、自然资源和规划局张店分局、区税务局，各镇政府、街道办事处）</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楷体_GB2312" w:hAnsi="楷体_GB2312" w:eastAsia="楷体_GB2312" w:cs="楷体_GB2312"/>
          <w:snapToGrid w:val="0"/>
          <w:sz w:val="32"/>
          <w:szCs w:val="32"/>
          <w:lang w:val="en-US" w:eastAsia="zh-CN" w:bidi="ar-SA"/>
        </w:rPr>
      </w:pPr>
      <w:r>
        <w:rPr>
          <w:rFonts w:hint="eastAsia" w:ascii="楷体_GB2312" w:hAnsi="楷体_GB2312" w:eastAsia="楷体_GB2312" w:cs="楷体_GB2312"/>
          <w:snapToGrid w:val="0"/>
          <w:sz w:val="32"/>
          <w:szCs w:val="32"/>
          <w:lang w:val="en-US" w:eastAsia="zh-CN" w:bidi="ar-SA"/>
        </w:rPr>
        <w:t>（四）建立健全社区婴幼儿照护服务体系</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8.加强社区婴幼儿照护服务设施规划建设。要把独立占地的托育机构和场地建设纳入相关规划。新建居住区要遵照住房城乡建设部制定的标准、规范建设托育服务设施及配套安全设施，明确建设标准、产权归属等，与住宅同步验收、同步交付使用。老城区和已建成居住区不能满足托育服务需求的，要通过购置、置换、租赁等方式分期分批建设。支持农村社区新建或改扩建托育照护服务设施。积极推进公共场所及用人单位母婴设施规范化建设。</w:t>
      </w:r>
      <w:r>
        <w:rPr>
          <w:rFonts w:hint="eastAsia" w:ascii="楷体_GB2312" w:hAnsi="楷体_GB2312" w:eastAsia="楷体_GB2312" w:cs="楷体_GB2312"/>
          <w:snapToGrid w:val="0"/>
          <w:sz w:val="32"/>
          <w:szCs w:val="32"/>
          <w:lang w:val="en-US" w:eastAsia="zh-CN" w:bidi="ar-SA"/>
        </w:rPr>
        <w:t>（责任单位：区发改局、区工会、区妇联、区民政局、自然资源和规划局张店分局、区住建局、区卫健局，各镇政府、街道办事处）</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9.充分利用现有社区公共设施资源发展婴幼儿照护服务设施。积极拓展社区服务中心（站）、社区卫生服务站等公共服务资源的婴幼儿照护服务功能。鼓励符合条件的社会组织等承接社区托育服务机构。</w:t>
      </w:r>
      <w:r>
        <w:rPr>
          <w:rFonts w:hint="eastAsia" w:ascii="楷体_GB2312" w:hAnsi="楷体_GB2312" w:eastAsia="楷体_GB2312" w:cs="楷体_GB2312"/>
          <w:snapToGrid w:val="0"/>
          <w:sz w:val="32"/>
          <w:szCs w:val="32"/>
          <w:lang w:val="en-US" w:eastAsia="zh-CN" w:bidi="ar-SA"/>
        </w:rPr>
        <w:t>（责任单位：区民政局、区妇联、区卫健局，各镇政府、街道办事处）</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楷体_GB2312" w:hAnsi="楷体_GB2312" w:eastAsia="楷体_GB2312" w:cs="楷体_GB2312"/>
          <w:snapToGrid w:val="0"/>
          <w:sz w:val="32"/>
          <w:szCs w:val="32"/>
          <w:lang w:val="en-US" w:eastAsia="zh-CN" w:bidi="ar-SA"/>
        </w:rPr>
      </w:pPr>
      <w:r>
        <w:rPr>
          <w:rFonts w:hint="eastAsia" w:ascii="楷体_GB2312" w:hAnsi="楷体_GB2312" w:eastAsia="楷体_GB2312" w:cs="楷体_GB2312"/>
          <w:snapToGrid w:val="0"/>
          <w:sz w:val="32"/>
          <w:szCs w:val="32"/>
          <w:lang w:val="en-US" w:eastAsia="zh-CN" w:bidi="ar-SA"/>
        </w:rPr>
        <w:t>（五）建立健全托育服务机构规范化管理体系</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10.规范登记和备案。举办非营利性托育服务机构在所在地区级机构编制或行政审批部门注册登记，举办营利性托育服务机构在所在地区级行政审批或市场监管部门注册登记，并及时向区县卫生健康部门备案。要按照“放管服”等改革要求，做好登记、备案、信息共享等工作。</w:t>
      </w:r>
      <w:r>
        <w:rPr>
          <w:rFonts w:hint="eastAsia" w:ascii="楷体_GB2312" w:hAnsi="楷体_GB2312" w:eastAsia="楷体_GB2312" w:cs="楷体_GB2312"/>
          <w:snapToGrid w:val="0"/>
          <w:sz w:val="32"/>
          <w:szCs w:val="32"/>
          <w:lang w:val="en-US" w:eastAsia="zh-CN" w:bidi="ar-SA"/>
        </w:rPr>
        <w:t>（责任单位：区卫健局、区委编办、区行政审批服务局、区市场监管局，各镇政府、街道办事处）</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楷体_GB2312" w:hAnsi="楷体_GB2312" w:eastAsia="楷体_GB2312" w:cs="楷体_GB2312"/>
          <w:snapToGrid w:val="0"/>
          <w:sz w:val="32"/>
          <w:szCs w:val="32"/>
          <w:lang w:val="en-US" w:eastAsia="zh-CN" w:bidi="ar-SA"/>
        </w:rPr>
      </w:pPr>
      <w:r>
        <w:rPr>
          <w:rFonts w:hint="eastAsia" w:ascii="楷体_GB2312" w:hAnsi="楷体_GB2312" w:eastAsia="楷体_GB2312" w:cs="楷体_GB2312"/>
          <w:snapToGrid w:val="0"/>
          <w:sz w:val="32"/>
          <w:szCs w:val="32"/>
          <w:lang w:val="en-US" w:eastAsia="zh-CN" w:bidi="ar-SA"/>
        </w:rPr>
        <w:t>（六）建立健全托育服务机构监督管理体系</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11.严格落实安全责任。托育服务机构要落实安全管理主体责任，依法逐步实行工作人员职业资格准入制度，杜绝虐童行为发生。严格婴幼儿照护服务用品的安全评估和风险监测。公安、应急管理、市场监管、消防救援等部门要加强日常监管，严防安全事故发生。</w:t>
      </w:r>
      <w:r>
        <w:rPr>
          <w:rFonts w:hint="eastAsia" w:ascii="楷体_GB2312" w:hAnsi="楷体_GB2312" w:eastAsia="楷体_GB2312" w:cs="楷体_GB2312"/>
          <w:snapToGrid w:val="0"/>
          <w:sz w:val="32"/>
          <w:szCs w:val="32"/>
          <w:lang w:val="en-US" w:eastAsia="zh-CN" w:bidi="ar-SA"/>
        </w:rPr>
        <w:t>（责任单位：区公安分局、区人社局、区卫健局、区应急局、区市场监管局，各镇政府、街道办事处）</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12.加强卫生保健和疾病防控管理。托育服务机构对照护的婴幼儿健康负主体责任。各级妇幼保健、疾控、卫生监督机构要加强对卫生保健工作的监督检查，督促并组织从业人员进行卫生保健培训和健康体检，定期开展卫生保健检查，预防控制传染病。</w:t>
      </w:r>
      <w:r>
        <w:rPr>
          <w:rFonts w:hint="eastAsia" w:ascii="楷体_GB2312" w:hAnsi="楷体_GB2312" w:eastAsia="楷体_GB2312" w:cs="楷体_GB2312"/>
          <w:snapToGrid w:val="0"/>
          <w:sz w:val="32"/>
          <w:szCs w:val="32"/>
          <w:lang w:val="en-US" w:eastAsia="zh-CN" w:bidi="ar-SA"/>
        </w:rPr>
        <w:t>（责任单位：区卫健局，各镇政府、街道办事处）</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13.强化日常监督管理。严格落实托育服务机构设置标准、管理规范和镇（街道）属地管理责任，建立健全托育服务机构备案登记、信息公示、质量评估、安全管理等制度。实施联动巡查、违法查处、诚信评价、动态管理等综合监管机制，加强监督管理。定期对服务质量、安全保障等进行考核评估。发展托育服务行业协会，推动行业发展和自律。</w:t>
      </w:r>
      <w:r>
        <w:rPr>
          <w:rFonts w:hint="eastAsia" w:ascii="楷体_GB2312" w:hAnsi="楷体_GB2312" w:eastAsia="楷体_GB2312" w:cs="楷体_GB2312"/>
          <w:snapToGrid w:val="0"/>
          <w:sz w:val="32"/>
          <w:szCs w:val="32"/>
          <w:lang w:val="en-US" w:eastAsia="zh-CN" w:bidi="ar-SA"/>
        </w:rPr>
        <w:t>（责任单位：区民政局、区卫健局、区行政审批服务局、区市场监管局，各镇政府、街道办事处）</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黑体" w:hAnsi="黑体" w:eastAsia="黑体" w:cs="黑体"/>
          <w:snapToGrid w:val="0"/>
          <w:sz w:val="32"/>
          <w:szCs w:val="32"/>
          <w:lang w:val="en-US" w:eastAsia="zh-CN" w:bidi="ar-SA"/>
        </w:rPr>
      </w:pPr>
      <w:r>
        <w:rPr>
          <w:rFonts w:hint="eastAsia" w:ascii="黑体" w:hAnsi="黑体" w:eastAsia="黑体" w:cs="黑体"/>
          <w:snapToGrid w:val="0"/>
          <w:sz w:val="32"/>
          <w:szCs w:val="32"/>
          <w:lang w:val="en-US" w:eastAsia="zh-CN" w:bidi="ar-SA"/>
        </w:rPr>
        <w:t>三、保障措施</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楷体_GB2312" w:hAnsi="楷体_GB2312" w:eastAsia="楷体_GB2312" w:cs="楷体_GB2312"/>
          <w:snapToGrid w:val="0"/>
          <w:sz w:val="32"/>
          <w:szCs w:val="32"/>
          <w:lang w:val="en-US" w:eastAsia="zh-CN" w:bidi="ar-SA"/>
        </w:rPr>
        <w:t>（一）加强政策保障。</w:t>
      </w:r>
      <w:r>
        <w:rPr>
          <w:rFonts w:hint="eastAsia" w:ascii="Times New Roman" w:hAnsi="Times New Roman" w:eastAsia="仿宋_GB2312" w:cs="Times New Roman"/>
          <w:snapToGrid w:val="0"/>
          <w:sz w:val="32"/>
          <w:szCs w:val="32"/>
          <w:lang w:val="en-US" w:eastAsia="zh-CN" w:bidi="ar-SA"/>
        </w:rPr>
        <w:t>为社区提供托育服务的机构，按照财政部等六部委《关于养老、托育、家政等社区家庭服务业税费优惠政策的公告》（财政部公告2019年第76号）规定，享受税费等优惠政策；托育机构用电、用水、用气、用热按居民生活类价格执行；鼓励通过建设补贴、运营补贴、以奖代补等形式支持普惠性托育机构发展；鼓励金融机构为托育机构提供低息贷款，商业保险机构开发托育机构综合责任保险。</w:t>
      </w:r>
      <w:r>
        <w:rPr>
          <w:rFonts w:hint="eastAsia" w:ascii="楷体_GB2312" w:hAnsi="楷体_GB2312" w:eastAsia="楷体_GB2312" w:cs="楷体_GB2312"/>
          <w:snapToGrid w:val="0"/>
          <w:sz w:val="32"/>
          <w:szCs w:val="32"/>
          <w:lang w:val="en-US" w:eastAsia="zh-CN" w:bidi="ar-SA"/>
        </w:rPr>
        <w:t>（责任单位：区税务局、区发改局、区财政局、区民政局、自然资源和规划局张店分局、区住建局、区人防办、张店供电中心，各镇政府、街道办事处）</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楷体_GB2312" w:hAnsi="楷体_GB2312" w:eastAsia="楷体_GB2312" w:cs="楷体_GB2312"/>
          <w:snapToGrid w:val="0"/>
          <w:sz w:val="32"/>
          <w:szCs w:val="32"/>
          <w:lang w:val="en-US" w:eastAsia="zh-CN" w:bidi="ar-SA"/>
        </w:rPr>
        <w:t>（二）加强用地保障。</w:t>
      </w:r>
      <w:r>
        <w:rPr>
          <w:rFonts w:hint="eastAsia" w:ascii="Times New Roman" w:hAnsi="Times New Roman" w:eastAsia="仿宋_GB2312" w:cs="Times New Roman"/>
          <w:snapToGrid w:val="0"/>
          <w:sz w:val="32"/>
          <w:szCs w:val="32"/>
          <w:lang w:val="en-US" w:eastAsia="zh-CN" w:bidi="ar-SA"/>
        </w:rPr>
        <w:t>允许利用教育、医疗卫生、福利、商业服务等类别用地发展托育服务。托育用地可采取划拨或有偿使用方式予以保障，有偿使用底价按教育、医疗卫生、福利等用地评估价确定。支持利用低效土地或闲置土地建设托育服务机构、设施。鼓励使用村集体建设用地建设托育机构，采取政府和社会资本合作方式发展普惠托育服务，人员密集地区的国有营业场地优先用于托育机构建设，以较低的租赁价格提供给托育服务机构使用。</w:t>
      </w:r>
      <w:r>
        <w:rPr>
          <w:rFonts w:hint="eastAsia" w:ascii="楷体_GB2312" w:hAnsi="楷体_GB2312" w:eastAsia="楷体_GB2312" w:cs="楷体_GB2312"/>
          <w:snapToGrid w:val="0"/>
          <w:sz w:val="32"/>
          <w:szCs w:val="32"/>
          <w:lang w:val="en-US" w:eastAsia="zh-CN" w:bidi="ar-SA"/>
        </w:rPr>
        <w:t>（责任单位：自然资源和规划局张店分局、区发改局、区住建局，各镇政府、街道办事处）</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atLeas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楷体_GB2312" w:hAnsi="楷体_GB2312" w:eastAsia="楷体_GB2312" w:cs="楷体_GB2312"/>
          <w:snapToGrid w:val="0"/>
          <w:sz w:val="32"/>
          <w:szCs w:val="32"/>
          <w:lang w:val="en-US" w:eastAsia="zh-CN" w:bidi="ar-SA"/>
        </w:rPr>
        <w:t>（三）加强人才保障。</w:t>
      </w:r>
      <w:r>
        <w:rPr>
          <w:rFonts w:hint="eastAsia" w:ascii="Times New Roman" w:hAnsi="Times New Roman" w:eastAsia="仿宋_GB2312" w:cs="Times New Roman"/>
          <w:snapToGrid w:val="0"/>
          <w:sz w:val="32"/>
          <w:szCs w:val="32"/>
          <w:lang w:val="en-US" w:eastAsia="zh-CN" w:bidi="ar-SA"/>
        </w:rPr>
        <w:t>支持高等院校和职业院校开设托育人才培养、婴幼儿照护等行业管理专业。加强从业人员职业道德、职业技能等培训。将托育从业人员列入急需紧缺职业（工种）目录和政府补贴性培训目录并落实相关政策。卫生健康部门及医疗、卫生、保健机构要为辖区内托育机构提供管理、医疗等技术指导。鼓励将托育机构作为医疗机构儿科等相关科室医护人员的基层服务定点单位，服务时长计入基层服务时间，在医护人员申报专业技术高级职称时作为评分条件。</w:t>
      </w:r>
      <w:r>
        <w:rPr>
          <w:rFonts w:hint="eastAsia" w:ascii="楷体_GB2312" w:hAnsi="楷体_GB2312" w:eastAsia="楷体_GB2312" w:cs="楷体_GB2312"/>
          <w:snapToGrid w:val="0"/>
          <w:sz w:val="32"/>
          <w:szCs w:val="32"/>
          <w:lang w:val="en-US" w:eastAsia="zh-CN" w:bidi="ar-SA"/>
        </w:rPr>
        <w:t>（责任单位：区教体局、区人社局、区卫健局，各镇政府、街道办事处）</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atLeas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楷体_GB2312" w:hAnsi="楷体_GB2312" w:eastAsia="楷体_GB2312" w:cs="楷体_GB2312"/>
          <w:snapToGrid w:val="0"/>
          <w:sz w:val="32"/>
          <w:szCs w:val="32"/>
          <w:lang w:val="en-US" w:eastAsia="zh-CN" w:bidi="ar-SA"/>
        </w:rPr>
        <w:t>（四）加强组织保障。</w:t>
      </w:r>
      <w:r>
        <w:rPr>
          <w:rFonts w:hint="eastAsia" w:ascii="Times New Roman" w:hAnsi="Times New Roman" w:eastAsia="仿宋_GB2312" w:cs="Times New Roman"/>
          <w:snapToGrid w:val="0"/>
          <w:sz w:val="32"/>
          <w:szCs w:val="32"/>
          <w:lang w:val="en-US" w:eastAsia="zh-CN" w:bidi="ar-SA"/>
        </w:rPr>
        <w:t>要将婴幼儿照护服务纳入经济社会发展总体规划和目标责任考核，列为重要民生工程，建立健全组织领导体系和工作推进机制，完善政策规定，积极构建管理体系和服务体系。卫生健康部门是婴幼儿照护服务的牵头部门，各相关部门、群团组织和行业组织要按分工落实相关职责任务。建立促进3岁以下婴幼儿照护服务发展联席会议，推动各项政策措施真正落地。建立健全过程管理和责任追究制度，及时发现问题，调整完善措施。对履行职责不到位、发生安全和责任事故的，依法依规追究责任。</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atLeas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atLeas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附件：1.促进3岁以下婴幼儿照护服务发展工作部门职责</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atLeas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 xml:space="preserve">      分工</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atLeast"/>
        <w:ind w:left="1600" w:leftChars="200" w:hanging="960" w:hangingChars="3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 xml:space="preserve">      2.促进3岁以下婴幼儿照护服务发展联席会议组成人员名单</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p>
    <w:p>
      <w:pPr>
        <w:keepNext w:val="0"/>
        <w:keepLines w:val="0"/>
        <w:pageBreakBefore w:val="0"/>
        <w:widowControl w:val="0"/>
        <w:tabs>
          <w:tab w:val="left" w:pos="7560"/>
        </w:tabs>
        <w:kinsoku/>
        <w:wordWrap w:val="0"/>
        <w:overflowPunct/>
        <w:topLinePunct w:val="0"/>
        <w:autoSpaceDE/>
        <w:autoSpaceDN/>
        <w:bidi w:val="0"/>
        <w:spacing w:line="560" w:lineRule="exact"/>
        <w:jc w:val="right"/>
        <w:textAlignment w:val="auto"/>
        <w:outlineLvl w:val="9"/>
        <w:rPr>
          <w:rFonts w:ascii="Times New Roman" w:hAnsi="Times New Roman" w:eastAsia="仿宋_GB2312" w:cs="Times New Roman"/>
          <w:snapToGrid w:val="0"/>
          <w:sz w:val="32"/>
          <w:szCs w:val="32"/>
          <w:lang w:val="en-US" w:eastAsia="zh-CN" w:bidi="ar-SA"/>
        </w:rPr>
      </w:pPr>
      <w:r>
        <w:rPr>
          <w:rFonts w:ascii="Times New Roman" w:hAnsi="Times New Roman" w:eastAsia="仿宋_GB2312" w:cs="Times New Roman"/>
          <w:snapToGrid w:val="0"/>
          <w:sz w:val="32"/>
          <w:szCs w:val="32"/>
          <w:lang w:val="en-US" w:eastAsia="zh-CN" w:bidi="ar-SA"/>
        </w:rPr>
        <w:t>张店区人民政府</w:t>
      </w:r>
      <w:r>
        <w:rPr>
          <w:rFonts w:hint="eastAsia" w:cs="Times New Roman"/>
          <w:snapToGrid w:val="0"/>
          <w:sz w:val="32"/>
          <w:szCs w:val="32"/>
          <w:lang w:val="en-US" w:eastAsia="zh-CN" w:bidi="ar-SA"/>
        </w:rPr>
        <w:t xml:space="preserve">办公室    </w:t>
      </w:r>
    </w:p>
    <w:p>
      <w:pPr>
        <w:pStyle w:val="2"/>
        <w:keepNext w:val="0"/>
        <w:keepLines w:val="0"/>
        <w:pageBreakBefore w:val="0"/>
        <w:widowControl w:val="0"/>
        <w:kinsoku/>
        <w:wordWrap w:val="0"/>
        <w:overflowPunct/>
        <w:topLinePunct w:val="0"/>
        <w:autoSpaceDE/>
        <w:autoSpaceDN/>
        <w:bidi w:val="0"/>
        <w:adjustRightInd w:val="0"/>
        <w:snapToGrid w:val="0"/>
        <w:spacing w:after="0" w:afterLines="0" w:line="560" w:lineRule="exact"/>
        <w:jc w:val="right"/>
        <w:textAlignment w:val="auto"/>
        <w:outlineLvl w:val="9"/>
        <w:rPr>
          <w:rFonts w:hint="eastAsia" w:ascii="Times New Roman" w:hAnsi="Times New Roman" w:eastAsia="仿宋_GB2312" w:cs="Times New Roman"/>
          <w:snapToGrid w:val="0"/>
          <w:sz w:val="32"/>
          <w:szCs w:val="32"/>
          <w:lang w:val="en-US" w:eastAsia="zh-CN" w:bidi="ar-SA"/>
        </w:rPr>
      </w:pPr>
      <w:r>
        <w:rPr>
          <w:rFonts w:ascii="Times New Roman" w:hAnsi="Times New Roman" w:eastAsia="仿宋_GB2312" w:cs="Times New Roman"/>
          <w:snapToGrid w:val="0"/>
          <w:sz w:val="32"/>
          <w:szCs w:val="32"/>
          <w:lang w:val="en-US" w:eastAsia="zh-CN" w:bidi="ar-SA"/>
        </w:rPr>
        <w:t>2021年</w:t>
      </w:r>
      <w:r>
        <w:rPr>
          <w:rFonts w:hint="eastAsia" w:ascii="Times New Roman" w:hAnsi="Times New Roman" w:eastAsia="仿宋_GB2312" w:cs="Times New Roman"/>
          <w:snapToGrid w:val="0"/>
          <w:sz w:val="32"/>
          <w:szCs w:val="32"/>
          <w:lang w:val="en-US" w:eastAsia="zh-CN" w:bidi="ar-SA"/>
        </w:rPr>
        <w:t>12</w:t>
      </w:r>
      <w:r>
        <w:rPr>
          <w:rFonts w:ascii="Times New Roman" w:hAnsi="Times New Roman" w:eastAsia="仿宋_GB2312" w:cs="Times New Roman"/>
          <w:snapToGrid w:val="0"/>
          <w:sz w:val="32"/>
          <w:szCs w:val="32"/>
          <w:lang w:val="en-US" w:eastAsia="zh-CN" w:bidi="ar-SA"/>
        </w:rPr>
        <w:t>月</w:t>
      </w:r>
      <w:r>
        <w:rPr>
          <w:rFonts w:hint="eastAsia" w:ascii="Times New Roman" w:hAnsi="Times New Roman" w:eastAsia="仿宋_GB2312" w:cs="Times New Roman"/>
          <w:snapToGrid w:val="0"/>
          <w:sz w:val="32"/>
          <w:szCs w:val="32"/>
          <w:lang w:val="en-US" w:eastAsia="zh-CN" w:bidi="ar-SA"/>
        </w:rPr>
        <w:t>31</w:t>
      </w:r>
      <w:r>
        <w:rPr>
          <w:rFonts w:ascii="Times New Roman" w:hAnsi="Times New Roman" w:eastAsia="仿宋_GB2312" w:cs="Times New Roman"/>
          <w:snapToGrid w:val="0"/>
          <w:sz w:val="32"/>
          <w:szCs w:val="32"/>
          <w:lang w:val="en-US" w:eastAsia="zh-CN" w:bidi="ar-SA"/>
        </w:rPr>
        <w:t>日</w:t>
      </w:r>
      <w:r>
        <w:rPr>
          <w:rFonts w:hint="eastAsia" w:ascii="Times New Roman" w:hAnsi="Times New Roman" w:eastAsia="仿宋_GB2312" w:cs="Times New Roman"/>
          <w:snapToGrid w:val="0"/>
          <w:sz w:val="32"/>
          <w:szCs w:val="32"/>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（此件公开发布）</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黑体" w:hAnsi="黑体" w:eastAsia="黑体" w:cs="黑体"/>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br w:type="page"/>
      </w:r>
      <w:r>
        <w:rPr>
          <w:rFonts w:hint="eastAsia" w:ascii="黑体" w:hAnsi="黑体" w:eastAsia="黑体" w:cs="黑体"/>
          <w:snapToGrid w:val="0"/>
          <w:sz w:val="32"/>
          <w:szCs w:val="32"/>
          <w:lang w:val="en-US" w:eastAsia="zh-CN" w:bidi="ar-SA"/>
        </w:rPr>
        <w:t>附件1</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jc w:val="center"/>
        <w:textAlignment w:val="auto"/>
        <w:outlineLvl w:val="9"/>
        <w:rPr>
          <w:rFonts w:hint="eastAsia" w:ascii="方正小标宋简体" w:hAnsi="方正小标宋简体" w:eastAsia="方正小标宋简体" w:cs="方正小标宋简体"/>
          <w:snapToGrid w:val="0"/>
          <w:sz w:val="44"/>
          <w:szCs w:val="44"/>
          <w:lang w:val="en-US" w:eastAsia="zh-CN" w:bidi="ar-SA"/>
        </w:rPr>
      </w:pPr>
      <w:r>
        <w:rPr>
          <w:rFonts w:hint="eastAsia" w:ascii="方正小标宋简体" w:hAnsi="方正小标宋简体" w:eastAsia="方正小标宋简体" w:cs="方正小标宋简体"/>
          <w:snapToGrid w:val="0"/>
          <w:sz w:val="44"/>
          <w:szCs w:val="44"/>
          <w:lang w:val="en-US" w:eastAsia="zh-CN" w:bidi="ar-SA"/>
        </w:rPr>
        <w:t>促进３岁以下婴幼儿照护服务发展工作</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jc w:val="center"/>
        <w:textAlignment w:val="auto"/>
        <w:outlineLvl w:val="9"/>
        <w:rPr>
          <w:rFonts w:hint="eastAsia" w:ascii="方正小标宋简体" w:hAnsi="方正小标宋简体" w:eastAsia="方正小标宋简体" w:cs="方正小标宋简体"/>
          <w:snapToGrid w:val="0"/>
          <w:sz w:val="44"/>
          <w:szCs w:val="44"/>
          <w:lang w:val="en-US" w:eastAsia="zh-CN" w:bidi="ar-SA"/>
        </w:rPr>
      </w:pPr>
      <w:r>
        <w:rPr>
          <w:rFonts w:hint="eastAsia" w:ascii="方正小标宋简体" w:hAnsi="方正小标宋简体" w:eastAsia="方正小标宋简体" w:cs="方正小标宋简体"/>
          <w:snapToGrid w:val="0"/>
          <w:sz w:val="44"/>
          <w:szCs w:val="44"/>
          <w:lang w:val="en-US" w:eastAsia="zh-CN" w:bidi="ar-SA"/>
        </w:rPr>
        <w:t>部门职责分工</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宣传部门负责组织新闻媒体、网络平台抓好婴幼儿照护知识宣传。</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发展改革部门负责将婴幼儿照护服务纳入经济社会发展相关规划。</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教育体育部门负责各类婴幼儿照护服务人才培养。</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公安部门负责监督指导各类婴幼儿照护服务机构开展安全防范。</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行政审批部门依职权负责婴幼儿照护服务机构法人注册登记。</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民政部门负责会同业务主管单位对民办非企业类婴幼儿照护服务机构违反社会组织登记管理法规的行为进行查处,推动有条件的地方将婴幼儿照护服务纳入城乡社区服务范围。</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机构编制部门依职权负责事业单位性质婴幼儿照护服务机构审批。</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财政部门负责利用现有资金和政策渠道对婴幼儿照护服务行业发展予以支持。</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人力资源社会保障部门负责对婴幼儿照护服务从业人员开展职业技能培训。按规定开展婴幼儿照护服务人员职业技能等级评价,依法保障从业人员各项劳动保障权益。</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自然资源和规划部门负责优先保障婴幼儿照护服务机构和设施建设的土地供应,完善相关规划、规范和标准。</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住房城乡建设部门负责按照国家相关工程建设标准和规范,加强新建婴幼儿照护服务设施的工程质量安全监管,落实建设各方责任主体工程质量终身责任制,做好婴幼儿照护服务设施建设管理工作。</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卫生健康部门负责组织制定婴幼儿照护服务的政策规范,协调相关部门做好对婴幼儿照护服务机构的监督管理,负责婴幼儿照护机构卫生保健和婴幼儿早期发展的业务指导。</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应急管理部门负责督促婴幼儿照护服务机构落实安全管理主体责任,开展日常安全监管。</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消防救援机构负责督促婴幼儿照护服务机构落实消防安全主体责任,依法开展各类婴幼儿照护服务场所的消防监督检查。</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税务部门负责贯彻落实有关支持婴幼儿照护服务发展税收优惠政策。</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市场监管部门负责督促婴幼儿照护服务机构落实食品用药安全主体责任,推动部门落实管理责任,依法开展各类婴幼儿照护服务机构的食品用药安全监督检查。</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人防部门负责托育机构人防设施建设相关优惠政策落实。</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公用事业服务部门负责托育机构用水、用气、用热相关价格优惠政策落实。</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工会组织负责鼓励基层工会组织推动和配合有条件的用人单位举办福利性婴幼儿照护服务。</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共青团组织负责对青年开展婴幼儿照护相关宣传教育。</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妇联组织负责参与为家庭提供科学育儿指导服务。</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计划生育协会负责参与婴幼儿照护服务的宣传教育和社会监督。</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供电中心负责托育机构用电价格优惠政策落实。</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黑体" w:hAnsi="黑体" w:eastAsia="黑体" w:cs="黑体"/>
          <w:snapToGrid w:val="0"/>
          <w:sz w:val="32"/>
          <w:szCs w:val="32"/>
          <w:lang w:val="en-US" w:eastAsia="zh-CN" w:bidi="ar-SA"/>
        </w:rPr>
      </w:pPr>
      <w:r>
        <w:rPr>
          <w:rFonts w:hint="eastAsia" w:ascii="黑体" w:hAnsi="黑体" w:eastAsia="黑体" w:cs="黑体"/>
          <w:snapToGrid w:val="0"/>
          <w:sz w:val="32"/>
          <w:szCs w:val="32"/>
          <w:lang w:val="en-US" w:eastAsia="zh-CN" w:bidi="ar-SA"/>
        </w:rPr>
        <w:t>附件2</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jc w:val="center"/>
        <w:textAlignment w:val="auto"/>
        <w:outlineLvl w:val="9"/>
        <w:rPr>
          <w:rFonts w:hint="eastAsia" w:ascii="方正小标宋简体" w:hAnsi="方正小标宋简体" w:eastAsia="方正小标宋简体" w:cs="方正小标宋简体"/>
          <w:snapToGrid w:val="0"/>
          <w:sz w:val="44"/>
          <w:szCs w:val="44"/>
          <w:lang w:val="en-US" w:eastAsia="zh-CN" w:bidi="ar-SA"/>
        </w:rPr>
      </w:pPr>
      <w:r>
        <w:rPr>
          <w:rFonts w:hint="eastAsia" w:ascii="方正小标宋简体" w:hAnsi="方正小标宋简体" w:eastAsia="方正小标宋简体" w:cs="方正小标宋简体"/>
          <w:snapToGrid w:val="0"/>
          <w:sz w:val="44"/>
          <w:szCs w:val="44"/>
          <w:lang w:val="en-US" w:eastAsia="zh-CN" w:bidi="ar-SA"/>
        </w:rPr>
        <w:t>促进3岁以下婴幼儿照护服务发展联席会议</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jc w:val="center"/>
        <w:textAlignment w:val="auto"/>
        <w:outlineLvl w:val="9"/>
        <w:rPr>
          <w:rFonts w:hint="eastAsia" w:ascii="方正小标宋简体" w:hAnsi="方正小标宋简体" w:eastAsia="方正小标宋简体" w:cs="方正小标宋简体"/>
          <w:snapToGrid w:val="0"/>
          <w:sz w:val="44"/>
          <w:szCs w:val="44"/>
          <w:lang w:val="en-US" w:eastAsia="zh-CN" w:bidi="ar-SA"/>
        </w:rPr>
      </w:pPr>
      <w:r>
        <w:rPr>
          <w:rFonts w:hint="eastAsia" w:ascii="方正小标宋简体" w:hAnsi="方正小标宋简体" w:eastAsia="方正小标宋简体" w:cs="方正小标宋简体"/>
          <w:snapToGrid w:val="0"/>
          <w:sz w:val="44"/>
          <w:szCs w:val="44"/>
          <w:lang w:val="en-US" w:eastAsia="zh-CN" w:bidi="ar-SA"/>
        </w:rPr>
        <w:t>组成人员名单</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黑体" w:hAnsi="黑体" w:eastAsia="黑体" w:cs="黑体"/>
          <w:snapToGrid w:val="0"/>
          <w:sz w:val="32"/>
          <w:szCs w:val="32"/>
          <w:lang w:val="en-US" w:eastAsia="zh-CN" w:bidi="ar-SA"/>
        </w:rPr>
        <w:t>召 集 人：</w:t>
      </w:r>
      <w:r>
        <w:rPr>
          <w:rFonts w:hint="eastAsia" w:ascii="Times New Roman" w:hAnsi="Times New Roman" w:eastAsia="仿宋_GB2312" w:cs="Times New Roman"/>
          <w:snapToGrid w:val="0"/>
          <w:sz w:val="32"/>
          <w:szCs w:val="32"/>
          <w:lang w:val="en-US" w:eastAsia="zh-CN" w:bidi="ar-SA"/>
        </w:rPr>
        <w:t>刘正道  区政府党组成员</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黑体" w:hAnsi="黑体" w:eastAsia="黑体" w:cs="黑体"/>
          <w:snapToGrid w:val="0"/>
          <w:sz w:val="32"/>
          <w:szCs w:val="32"/>
          <w:lang w:val="en-US" w:eastAsia="zh-CN" w:bidi="ar-SA"/>
        </w:rPr>
        <w:t>副召集人：</w:t>
      </w:r>
      <w:r>
        <w:rPr>
          <w:rFonts w:hint="eastAsia" w:ascii="Times New Roman" w:hAnsi="Times New Roman" w:eastAsia="仿宋_GB2312" w:cs="Times New Roman"/>
          <w:snapToGrid w:val="0"/>
          <w:sz w:val="32"/>
          <w:szCs w:val="32"/>
          <w:lang w:val="en-US" w:eastAsia="zh-CN" w:bidi="ar-SA"/>
        </w:rPr>
        <w:t>杨佃雷  区政府办公室副主任</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2240" w:firstLineChars="7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国  峰  区卫生健康局局长</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黑体" w:hAnsi="黑体" w:eastAsia="黑体" w:cs="黑体"/>
          <w:snapToGrid w:val="0"/>
          <w:sz w:val="32"/>
          <w:szCs w:val="32"/>
          <w:lang w:val="en-US" w:eastAsia="zh-CN" w:bidi="ar-SA"/>
        </w:rPr>
        <w:t>成    员：</w:t>
      </w:r>
      <w:r>
        <w:rPr>
          <w:rFonts w:hint="eastAsia" w:ascii="Times New Roman" w:hAnsi="Times New Roman" w:eastAsia="仿宋_GB2312" w:cs="Times New Roman"/>
          <w:snapToGrid w:val="0"/>
          <w:sz w:val="32"/>
          <w:szCs w:val="32"/>
          <w:lang w:val="en-US" w:eastAsia="zh-CN" w:bidi="ar-SA"/>
        </w:rPr>
        <w:t>邢媛媛  区委编办副主任</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2240" w:firstLineChars="7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田琳琳  区妇女儿童工作委员会办公室主任</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2240" w:firstLineChars="7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齐  慧  区发展改革局四级主任科员</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2240" w:firstLineChars="7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殷延平  区教育体育局副局长</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2240" w:firstLineChars="7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郭孔光  区公安分局治安大队大队长</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2240" w:firstLineChars="7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程  诚  区民政局综合服务中心主任</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2240" w:firstLineChars="7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张衍斌  区财政局副局长</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2240" w:firstLineChars="7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赵  亮  区劳动就业服务中心主任</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2240" w:firstLineChars="7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李孝鸥  市自然资源局张店分局正科级干部</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2240" w:firstLineChars="7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周  琴  区住房建设局四级主任科员</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2240" w:firstLineChars="7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张大为  区老龄事业服务中心主任</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3520" w:leftChars="700" w:hanging="1280" w:hangingChars="4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蒋  峰  区应急局副局长、区安全生产监察大队大队长</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2240" w:firstLineChars="7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曹鸿岩  区行政审批局副局长</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2240" w:firstLineChars="7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阎梅英  区市场监管局正科级干部</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2240" w:firstLineChars="7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刘媛媛  区税务局副局长</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2240" w:firstLineChars="7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王百舜  区供电中心副主任</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2240" w:firstLineChars="7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张  健  区消防救援大队一级助理员</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Times New Roman" w:hAnsi="Times New Roman" w:eastAsia="仿宋_GB2312" w:cs="Times New Roman"/>
          <w:snapToGrid w:val="0"/>
          <w:sz w:val="32"/>
          <w:szCs w:val="32"/>
          <w:lang w:val="en-US" w:eastAsia="zh-CN" w:bidi="ar-SA"/>
        </w:rPr>
        <w:t>联席会议办公室设在区卫生健康局，具体承担联席会议日常工作，办公室主任由区卫生健康局分管负责同志兼任。联席会议成员职务如发生变动，由该成员单位接任领导自然替补，并由联席会议办公室负责通知。联席会议设联络员，由各成员单位相关科室负责同志担任。</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outlineLvl w:val="9"/>
        <w:rPr>
          <w:rFonts w:hint="eastAsia" w:ascii="Times New Roman" w:hAnsi="Times New Roman" w:eastAsia="仿宋_GB2312" w:cs="Times New Roman"/>
          <w:snapToGrid w:val="0"/>
          <w:sz w:val="32"/>
          <w:szCs w:val="32"/>
          <w:lang w:val="en-US" w:eastAsia="zh-CN" w:bidi="ar-SA"/>
        </w:rPr>
      </w:pPr>
    </w:p>
    <w:p>
      <w:pPr>
        <w:keepNext w:val="0"/>
        <w:keepLines w:val="0"/>
        <w:pageBreakBefore w:val="0"/>
        <w:widowControl w:val="0"/>
        <w:pBdr>
          <w:bottom w:val="single" w:color="auto" w:sz="4" w:space="0"/>
        </w:pBdr>
        <w:kinsoku/>
        <w:wordWrap/>
        <w:overflowPunct/>
        <w:topLinePunct w:val="0"/>
        <w:bidi w:val="0"/>
        <w:snapToGrid/>
        <w:spacing w:line="400" w:lineRule="exact"/>
        <w:ind w:firstLine="640" w:firstLineChars="200"/>
        <w:textAlignment w:val="auto"/>
        <w:outlineLvl w:val="9"/>
        <w:rPr>
          <w:rFonts w:hint="eastAsia" w:ascii="仿宋" w:hAnsi="仿宋" w:eastAsia="仿宋_GB2312" w:cs="仿宋_GB2312"/>
          <w:sz w:val="32"/>
          <w:szCs w:val="32"/>
        </w:rPr>
      </w:pPr>
      <w:r>
        <w:rPr>
          <w:rFonts w:hint="eastAsia" w:ascii="仿宋" w:hAnsi="仿宋" w:eastAsia="仿宋_GB2312" w:cs="仿宋_GB2312"/>
          <w:sz w:val="32"/>
          <w:szCs w:val="32"/>
        </w:rPr>
        <w:t xml:space="preserve">  </w:t>
      </w:r>
    </w:p>
    <w:p>
      <w:pPr>
        <w:pStyle w:val="8"/>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抄送：区委有关部门，区人大常委会办公室，区政协办公室，区监委，</w:t>
      </w:r>
    </w:p>
    <w:p>
      <w:pPr>
        <w:pStyle w:val="8"/>
        <w:keepNext w:val="0"/>
        <w:keepLines w:val="0"/>
        <w:pageBreakBefore w:val="0"/>
        <w:widowControl w:val="0"/>
        <w:pBdr>
          <w:bottom w:val="none" w:color="auto" w:sz="0" w:space="0"/>
        </w:pBdr>
        <w:kinsoku/>
        <w:wordWrap/>
        <w:overflowPunct/>
        <w:topLinePunct w:val="0"/>
        <w:autoSpaceDE/>
        <w:autoSpaceDN/>
        <w:bidi w:val="0"/>
        <w:adjustRightInd/>
        <w:snapToGrid/>
        <w:spacing w:line="480" w:lineRule="exact"/>
        <w:ind w:firstLine="1120" w:firstLineChars="4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区法院，区检察院。</w:t>
      </w:r>
    </w:p>
    <w:p>
      <w:pPr>
        <w:pStyle w:val="8"/>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textAlignment w:val="auto"/>
        <w:outlineLvl w:val="9"/>
        <w:rPr>
          <w:rFonts w:hint="eastAsia" w:ascii="Times New Roman" w:hAnsi="Times New Roman" w:eastAsia="仿宋_GB2312" w:cs="Times New Roman"/>
          <w:snapToGrid w:val="0"/>
          <w:sz w:val="32"/>
          <w:szCs w:val="32"/>
          <w:lang w:val="en-US" w:eastAsia="zh-CN" w:bidi="ar-SA"/>
        </w:rPr>
      </w:pPr>
      <w:r>
        <w:rPr>
          <w:rFonts w:hint="eastAsia" w:ascii="仿宋_GB2312" w:hAnsi="仿宋_GB2312" w:eastAsia="仿宋_GB2312" w:cs="仿宋_GB2312"/>
          <w:sz w:val="28"/>
          <w:szCs w:val="28"/>
          <w:lang w:val="en-US" w:eastAsia="zh-CN"/>
        </w:rPr>
        <w:t xml:space="preserve">淄博市张店区人民政府办公室            </w:t>
      </w:r>
      <w:r>
        <w:rPr>
          <w:rFonts w:hint="eastAsia" w:ascii="仿宋_GB2312" w:hAnsi="仿宋_GB2312" w:eastAsia="仿宋_GB2312" w:cs="仿宋_GB2312"/>
          <w:b w:val="0"/>
          <w:bCs w:val="0"/>
          <w:sz w:val="28"/>
          <w:szCs w:val="28"/>
          <w:lang w:val="en-US" w:eastAsia="zh-CN"/>
        </w:rPr>
        <w:t>2021</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b w:val="0"/>
          <w:bCs w:val="0"/>
          <w:sz w:val="28"/>
          <w:szCs w:val="28"/>
          <w:lang w:val="en-US" w:eastAsia="zh-CN"/>
        </w:rPr>
        <w:t>12</w:t>
      </w:r>
      <w:r>
        <w:rPr>
          <w:rFonts w:hint="eastAsia" w:ascii="仿宋_GB2312" w:hAnsi="仿宋_GB2312" w:eastAsia="仿宋_GB2312" w:cs="仿宋_GB2312"/>
          <w:sz w:val="28"/>
          <w:szCs w:val="28"/>
          <w:lang w:val="en-US" w:eastAsia="zh-CN"/>
        </w:rPr>
        <w:t>月3</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sz w:val="28"/>
          <w:szCs w:val="28"/>
          <w:lang w:val="en-US" w:eastAsia="zh-CN"/>
        </w:rPr>
        <w:t>日印发</w:t>
      </w:r>
    </w:p>
    <w:p>
      <w:pPr>
        <w:pStyle w:val="21"/>
        <w:keepNext w:val="0"/>
        <w:keepLines w:val="0"/>
        <w:pageBreakBefore w:val="0"/>
        <w:kinsoku/>
        <w:overflowPunct/>
        <w:topLinePunct w:val="0"/>
        <w:autoSpaceDE/>
        <w:autoSpaceDN/>
        <w:bidi w:val="0"/>
        <w:spacing w:line="56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ZDDR-2021-0010008</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仿宋_GB2312"/>
          <w:bCs/>
          <w:color w:val="00000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仿宋_GB2312"/>
          <w:bCs/>
          <w:color w:val="00000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仿宋_GB2312"/>
          <w:bCs/>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仿宋_GB2312" w:cs="仿宋_GB2312"/>
          <w:bCs/>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仿宋_GB2312" w:cs="仿宋_GB2312"/>
          <w:bCs/>
          <w:color w:val="00000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张政发</w:t>
      </w:r>
      <w:r>
        <w:rPr>
          <w:rFonts w:ascii="Times New Roman" w:hAnsi="Times New Roman" w:eastAsia="仿宋_GB2312"/>
          <w:sz w:val="32"/>
          <w:szCs w:val="32"/>
        </w:rPr>
        <w:t>〔</w:t>
      </w:r>
      <w:r>
        <w:rPr>
          <w:rFonts w:ascii="Times New Roman" w:hAnsi="Times New Roman" w:eastAsia="仿宋" w:cs="仿宋"/>
          <w:color w:val="000000"/>
          <w:sz w:val="32"/>
          <w:szCs w:val="32"/>
        </w:rPr>
        <w:t>202</w:t>
      </w:r>
      <w:r>
        <w:rPr>
          <w:rFonts w:hint="eastAsia" w:ascii="Times New Roman" w:hAnsi="Times New Roman" w:eastAsia="仿宋" w:cs="仿宋"/>
          <w:color w:val="000000"/>
          <w:sz w:val="32"/>
          <w:szCs w:val="32"/>
          <w:lang w:val="en-US" w:eastAsia="zh-CN"/>
        </w:rPr>
        <w:t>1</w:t>
      </w:r>
      <w:r>
        <w:rPr>
          <w:rFonts w:ascii="Times New Roman" w:hAnsi="Times New Roman" w:eastAsia="仿宋_GB2312"/>
          <w:sz w:val="32"/>
          <w:szCs w:val="32"/>
        </w:rPr>
        <w:t>〕</w:t>
      </w:r>
      <w:r>
        <w:rPr>
          <w:rFonts w:hint="eastAsia" w:ascii="Times New Roman" w:hAnsi="Times New Roman" w:eastAsia="仿宋_GB2312" w:cs="仿宋_GB2312"/>
          <w:bCs/>
          <w:color w:val="000000"/>
          <w:sz w:val="32"/>
          <w:szCs w:val="32"/>
          <w:lang w:val="en-US" w:eastAsia="zh-CN"/>
        </w:rPr>
        <w:t>18</w:t>
      </w:r>
      <w:r>
        <w:rPr>
          <w:rFonts w:hint="eastAsia" w:ascii="Times New Roman" w:hAnsi="Times New Roman" w:eastAsia="仿宋_GB2312" w:cs="仿宋_GB2312"/>
          <w:bCs/>
          <w:color w:val="000000"/>
          <w:sz w:val="32"/>
          <w:szCs w:val="32"/>
        </w:rPr>
        <w:t>号</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仿宋_GB2312"/>
          <w:bCs/>
          <w:color w:val="00000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仿宋_GB2312"/>
          <w:bCs/>
          <w:color w:val="00000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bCs/>
          <w:color w:val="000000"/>
          <w:sz w:val="44"/>
          <w:szCs w:val="44"/>
        </w:rPr>
      </w:pPr>
      <w:r>
        <w:rPr>
          <w:rFonts w:hint="eastAsia" w:ascii="Times New Roman" w:hAnsi="Times New Roman" w:eastAsia="方正小标宋简体"/>
          <w:bCs/>
          <w:color w:val="000000"/>
          <w:sz w:val="44"/>
          <w:szCs w:val="44"/>
        </w:rPr>
        <w:t>张店区人民政府</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bCs/>
          <w:color w:val="000000"/>
          <w:sz w:val="44"/>
          <w:szCs w:val="44"/>
          <w:lang w:val="en-US" w:eastAsia="zh-CN"/>
        </w:rPr>
      </w:pPr>
      <w:r>
        <w:rPr>
          <w:rFonts w:hint="eastAsia" w:ascii="Times New Roman" w:hAnsi="Times New Roman" w:eastAsia="方正小标宋简体"/>
          <w:bCs/>
          <w:color w:val="000000"/>
          <w:sz w:val="44"/>
          <w:szCs w:val="44"/>
        </w:rPr>
        <w:t>关于印发《</w:t>
      </w:r>
      <w:r>
        <w:rPr>
          <w:rFonts w:hint="eastAsia" w:ascii="Times New Roman" w:hAnsi="Times New Roman" w:eastAsia="方正小标宋简体" w:cs="Times New Roman"/>
          <w:snapToGrid w:val="0"/>
          <w:color w:val="auto"/>
          <w:spacing w:val="-20"/>
          <w:kern w:val="0"/>
          <w:sz w:val="44"/>
          <w:szCs w:val="44"/>
          <w:highlight w:val="none"/>
          <w:lang w:val="en-US" w:eastAsia="zh-CN" w:bidi="ar-SA"/>
        </w:rPr>
        <w:t>张店区鼓励总部经济发展若干措施</w:t>
      </w:r>
      <w:r>
        <w:rPr>
          <w:rFonts w:hint="eastAsia" w:ascii="Times New Roman" w:hAnsi="Times New Roman" w:eastAsia="方正小标宋简体"/>
          <w:bCs/>
          <w:color w:val="000000"/>
          <w:sz w:val="44"/>
          <w:szCs w:val="44"/>
        </w:rPr>
        <w:t>》的通知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bCs/>
          <w:color w:val="000000"/>
          <w:sz w:val="44"/>
          <w:szCs w:val="44"/>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各镇政府、街道办事处，区政府</w:t>
      </w:r>
      <w:r>
        <w:rPr>
          <w:rFonts w:hint="eastAsia" w:ascii="Times New Roman" w:hAnsi="Times New Roman" w:eastAsia="仿宋_GB2312" w:cs="Times New Roman"/>
          <w:color w:val="000000"/>
          <w:sz w:val="32"/>
          <w:szCs w:val="32"/>
          <w:lang w:eastAsia="zh-CN"/>
        </w:rPr>
        <w:t>各</w:t>
      </w:r>
      <w:r>
        <w:rPr>
          <w:rFonts w:hint="eastAsia" w:ascii="Times New Roman" w:hAnsi="Times New Roman" w:eastAsia="仿宋_GB2312" w:cs="Times New Roman"/>
          <w:color w:val="000000"/>
          <w:sz w:val="32"/>
          <w:szCs w:val="32"/>
        </w:rPr>
        <w:t>部门</w:t>
      </w:r>
      <w:r>
        <w:rPr>
          <w:rFonts w:hint="eastAsia" w:ascii="Times New Roman" w:hAnsi="Times New Roman" w:eastAsia="仿宋_GB2312" w:cs="Times New Roman"/>
          <w:color w:val="000000"/>
          <w:sz w:val="32"/>
          <w:szCs w:val="32"/>
          <w:lang w:eastAsia="zh-CN"/>
        </w:rPr>
        <w:t>，各</w:t>
      </w:r>
      <w:r>
        <w:rPr>
          <w:rFonts w:hint="eastAsia" w:ascii="Times New Roman" w:hAnsi="Times New Roman" w:eastAsia="仿宋_GB2312" w:cs="Times New Roman"/>
          <w:color w:val="000000"/>
          <w:sz w:val="32"/>
          <w:szCs w:val="32"/>
          <w:lang w:val="en-US" w:eastAsia="zh-CN"/>
        </w:rPr>
        <w:t>有关单位</w:t>
      </w:r>
      <w:r>
        <w:rPr>
          <w:rFonts w:hint="eastAsia" w:ascii="Times New Roman" w:hAnsi="Times New Roman" w:eastAsia="仿宋_GB2312" w:cs="Times New Roman"/>
          <w:color w:val="000000"/>
          <w:sz w:val="32"/>
          <w:szCs w:val="32"/>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60" w:lineRule="exact"/>
        <w:ind w:left="0" w:leftChars="0" w:right="0" w:rightChars="0" w:firstLine="640"/>
        <w:jc w:val="both"/>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仿宋_GB2312"/>
          <w:i w:val="0"/>
          <w:caps w:val="0"/>
          <w:color w:val="000000"/>
          <w:spacing w:val="0"/>
          <w:sz w:val="32"/>
          <w:szCs w:val="32"/>
        </w:rPr>
        <w:t>《张店区</w:t>
      </w:r>
      <w:r>
        <w:rPr>
          <w:rFonts w:hint="eastAsia" w:ascii="Times New Roman" w:hAnsi="Times New Roman" w:eastAsia="仿宋_GB2312" w:cs="仿宋_GB2312"/>
          <w:i w:val="0"/>
          <w:caps w:val="0"/>
          <w:color w:val="000000"/>
          <w:spacing w:val="0"/>
          <w:sz w:val="32"/>
          <w:szCs w:val="32"/>
          <w:lang w:val="en-US" w:eastAsia="zh-CN"/>
        </w:rPr>
        <w:t>鼓励总部经济发展若干措施</w:t>
      </w:r>
      <w:r>
        <w:rPr>
          <w:rFonts w:hint="eastAsia" w:ascii="Times New Roman" w:hAnsi="Times New Roman" w:eastAsia="仿宋_GB2312" w:cs="仿宋_GB2312"/>
          <w:i w:val="0"/>
          <w:caps w:val="0"/>
          <w:color w:val="000000"/>
          <w:spacing w:val="0"/>
          <w:sz w:val="32"/>
          <w:szCs w:val="32"/>
        </w:rPr>
        <w:t>》</w:t>
      </w:r>
      <w:r>
        <w:rPr>
          <w:rFonts w:hint="eastAsia" w:ascii="Times New Roman" w:hAnsi="Times New Roman" w:eastAsia="仿宋_GB2312" w:cs="仿宋_GB2312"/>
          <w:i w:val="0"/>
          <w:caps w:val="0"/>
          <w:color w:val="000000"/>
          <w:spacing w:val="0"/>
          <w:sz w:val="32"/>
          <w:szCs w:val="32"/>
          <w:lang w:val="en-US" w:eastAsia="zh-CN"/>
        </w:rPr>
        <w:t>已经区政府研究同意，现</w:t>
      </w:r>
      <w:r>
        <w:rPr>
          <w:rFonts w:hint="eastAsia" w:ascii="Times New Roman" w:hAnsi="Times New Roman" w:eastAsia="仿宋_GB2312" w:cs="仿宋_GB2312"/>
          <w:i w:val="0"/>
          <w:caps w:val="0"/>
          <w:color w:val="000000"/>
          <w:spacing w:val="0"/>
          <w:sz w:val="32"/>
          <w:szCs w:val="32"/>
        </w:rPr>
        <w:t>印发给你们，请认真</w:t>
      </w:r>
      <w:r>
        <w:rPr>
          <w:rFonts w:hint="eastAsia" w:ascii="Times New Roman" w:hAnsi="Times New Roman" w:eastAsia="仿宋_GB2312" w:cs="仿宋_GB2312"/>
          <w:i w:val="0"/>
          <w:caps w:val="0"/>
          <w:color w:val="000000"/>
          <w:spacing w:val="0"/>
          <w:sz w:val="32"/>
          <w:szCs w:val="32"/>
          <w:lang w:val="en-US" w:eastAsia="zh-CN"/>
        </w:rPr>
        <w:t>遵照</w:t>
      </w:r>
      <w:r>
        <w:rPr>
          <w:rFonts w:hint="eastAsia" w:ascii="Times New Roman" w:hAnsi="Times New Roman" w:eastAsia="仿宋_GB2312" w:cs="仿宋_GB2312"/>
          <w:i w:val="0"/>
          <w:caps w:val="0"/>
          <w:color w:val="000000"/>
          <w:spacing w:val="0"/>
          <w:sz w:val="32"/>
          <w:szCs w:val="32"/>
        </w:rPr>
        <w:t>执行。</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60" w:lineRule="exact"/>
        <w:ind w:left="0" w:leftChars="0" w:right="0" w:rightChars="0" w:firstLine="640"/>
        <w:jc w:val="both"/>
        <w:textAlignment w:val="auto"/>
        <w:outlineLvl w:val="9"/>
        <w:rPr>
          <w:rFonts w:hint="eastAsia" w:ascii="Times New Roman" w:hAnsi="Times New Roman" w:eastAsia="仿宋_GB2312" w:cs="Times New Roman"/>
          <w:color w:val="000000"/>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60" w:lineRule="exact"/>
        <w:ind w:left="0" w:leftChars="0" w:right="0" w:rightChars="0" w:firstLine="640"/>
        <w:jc w:val="both"/>
        <w:textAlignment w:val="auto"/>
        <w:outlineLvl w:val="9"/>
        <w:rPr>
          <w:rFonts w:ascii="Times New Roman" w:hAnsi="Times New Roman"/>
          <w:color w:val="000000"/>
        </w:rPr>
      </w:pPr>
      <w:r>
        <w:rPr>
          <w:rFonts w:ascii="Times New Roman" w:hAnsi="Times New Roman"/>
          <w:color w:val="000000"/>
        </w:rPr>
        <w:t xml:space="preserve">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60" w:lineRule="exact"/>
        <w:ind w:left="0" w:leftChars="0" w:right="0" w:rightChars="0" w:firstLine="640"/>
        <w:jc w:val="center"/>
        <w:textAlignment w:val="auto"/>
        <w:outlineLvl w:val="9"/>
        <w:rPr>
          <w:rFonts w:hint="eastAsia" w:ascii="Times New Roman" w:hAnsi="Times New Roman" w:eastAsia="仿宋_GB2312" w:cs="仿宋_GB2312"/>
          <w:i w:val="0"/>
          <w:caps w:val="0"/>
          <w:color w:val="000000"/>
          <w:spacing w:val="0"/>
          <w:sz w:val="32"/>
          <w:szCs w:val="32"/>
          <w:lang w:val="en-US" w:eastAsia="zh-CN"/>
        </w:rPr>
      </w:pPr>
      <w:r>
        <w:rPr>
          <w:rFonts w:hint="eastAsia" w:ascii="Times New Roman" w:hAnsi="Times New Roman" w:eastAsia="仿宋_GB2312" w:cs="仿宋_GB2312"/>
          <w:i w:val="0"/>
          <w:caps w:val="0"/>
          <w:color w:val="000000"/>
          <w:spacing w:val="0"/>
          <w:sz w:val="32"/>
          <w:szCs w:val="32"/>
          <w:lang w:val="en-US" w:eastAsia="zh-CN"/>
        </w:rPr>
        <w:t xml:space="preserve">                    淄博市张店区人民政府</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5120" w:firstLineChars="1600"/>
        <w:jc w:val="both"/>
        <w:textAlignment w:val="auto"/>
        <w:outlineLvl w:val="9"/>
        <w:rPr>
          <w:rFonts w:hint="eastAsia" w:ascii="Times New Roman" w:hAnsi="Times New Roman" w:eastAsia="仿宋_GB2312" w:cs="仿宋_GB2312"/>
          <w:i w:val="0"/>
          <w:caps w:val="0"/>
          <w:color w:val="000000"/>
          <w:spacing w:val="0"/>
          <w:sz w:val="32"/>
          <w:szCs w:val="32"/>
          <w:lang w:val="en-US" w:eastAsia="zh-CN"/>
        </w:rPr>
      </w:pPr>
      <w:r>
        <w:rPr>
          <w:rFonts w:hint="default" w:ascii="Times New Roman" w:hAnsi="Times New Roman" w:eastAsia="仿宋_GB2312" w:cs="仿宋_GB2312"/>
          <w:i w:val="0"/>
          <w:caps w:val="0"/>
          <w:color w:val="000000"/>
          <w:spacing w:val="0"/>
          <w:sz w:val="32"/>
          <w:szCs w:val="32"/>
          <w:lang w:val="en-US" w:eastAsia="zh-CN"/>
        </w:rPr>
        <w:t>2021</w:t>
      </w:r>
      <w:r>
        <w:rPr>
          <w:rFonts w:hint="eastAsia" w:ascii="Times New Roman" w:hAnsi="Times New Roman" w:eastAsia="仿宋_GB2312" w:cs="仿宋_GB2312"/>
          <w:i w:val="0"/>
          <w:caps w:val="0"/>
          <w:color w:val="000000"/>
          <w:spacing w:val="0"/>
          <w:sz w:val="32"/>
          <w:szCs w:val="32"/>
          <w:lang w:val="en-US" w:eastAsia="zh-CN"/>
        </w:rPr>
        <w:t xml:space="preserve">年12月29日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60" w:lineRule="exact"/>
        <w:ind w:left="0" w:leftChars="0" w:right="0" w:rightChars="0" w:firstLine="640"/>
        <w:jc w:val="both"/>
        <w:textAlignment w:val="auto"/>
        <w:outlineLvl w:val="9"/>
        <w:rPr>
          <w:rFonts w:hint="eastAsia" w:ascii="Times New Roman" w:hAnsi="Times New Roman" w:eastAsia="仿宋_GB2312" w:cs="仿宋_GB2312"/>
          <w:i w:val="0"/>
          <w:caps w:val="0"/>
          <w:color w:val="000000"/>
          <w:spacing w:val="0"/>
          <w:sz w:val="32"/>
          <w:szCs w:val="32"/>
          <w:lang w:val="en-US" w:eastAsia="zh-CN"/>
        </w:rPr>
      </w:pPr>
      <w:r>
        <w:rPr>
          <w:rFonts w:hint="eastAsia" w:ascii="Times New Roman" w:hAnsi="Times New Roman" w:eastAsia="仿宋_GB2312" w:cs="仿宋_GB2312"/>
          <w:i w:val="0"/>
          <w:caps w:val="0"/>
          <w:color w:val="000000"/>
          <w:spacing w:val="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snapToGrid w:val="0"/>
          <w:color w:val="auto"/>
          <w:spacing w:val="0"/>
          <w:kern w:val="0"/>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黑体"/>
          <w:snapToGrid w:val="0"/>
          <w:color w:val="auto"/>
          <w:spacing w:val="0"/>
          <w:kern w:val="0"/>
          <w:sz w:val="44"/>
          <w:szCs w:val="44"/>
          <w:highlight w:val="none"/>
        </w:rPr>
      </w:pPr>
      <w:r>
        <w:rPr>
          <w:rFonts w:hint="eastAsia" w:ascii="Times New Roman" w:hAnsi="Times New Roman" w:eastAsia="方正小标宋简体"/>
          <w:snapToGrid w:val="0"/>
          <w:color w:val="auto"/>
          <w:spacing w:val="0"/>
          <w:kern w:val="0"/>
          <w:sz w:val="44"/>
          <w:szCs w:val="44"/>
          <w:highlight w:val="none"/>
        </w:rPr>
        <w:t>张店区鼓励总部经济发展若干措施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为</w:t>
      </w:r>
      <w:r>
        <w:rPr>
          <w:rFonts w:hint="eastAsia" w:ascii="Times New Roman" w:hAnsi="Times New Roman" w:eastAsia="仿宋_GB2312"/>
          <w:color w:val="auto"/>
          <w:kern w:val="0"/>
          <w:sz w:val="32"/>
          <w:szCs w:val="32"/>
          <w:highlight w:val="none"/>
        </w:rPr>
        <w:t>依托中心城区资源优势，进一步加快我区总部经济集聚，推动产业蝶变，增强城市综合竞争力，聚力打造首善至善之区、精致精美之城，现结合我区</w:t>
      </w:r>
      <w:r>
        <w:rPr>
          <w:rFonts w:hint="eastAsia" w:ascii="Times New Roman" w:hAnsi="Times New Roman" w:eastAsia="仿宋_GB2312"/>
          <w:color w:val="auto"/>
          <w:kern w:val="0"/>
          <w:sz w:val="32"/>
          <w:szCs w:val="32"/>
          <w:highlight w:val="none"/>
          <w:lang w:val="en-US" w:eastAsia="zh-CN"/>
        </w:rPr>
        <w:t>产业发展</w:t>
      </w:r>
      <w:r>
        <w:rPr>
          <w:rFonts w:hint="eastAsia" w:ascii="Times New Roman" w:hAnsi="Times New Roman" w:eastAsia="仿宋_GB2312"/>
          <w:color w:val="auto"/>
          <w:kern w:val="0"/>
          <w:sz w:val="32"/>
          <w:szCs w:val="32"/>
          <w:highlight w:val="none"/>
        </w:rPr>
        <w:t>实际</w:t>
      </w: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kern w:val="0"/>
          <w:sz w:val="32"/>
          <w:szCs w:val="32"/>
          <w:highlight w:val="none"/>
          <w:lang w:val="en-US" w:eastAsia="zh-CN"/>
        </w:rPr>
        <w:t>制定本办法。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黑体"/>
          <w:color w:val="auto"/>
          <w:kern w:val="0"/>
          <w:sz w:val="32"/>
          <w:szCs w:val="32"/>
          <w:highlight w:val="none"/>
          <w:lang w:val="en-US" w:eastAsia="zh-CN"/>
        </w:rPr>
      </w:pPr>
      <w:r>
        <w:rPr>
          <w:rFonts w:hint="eastAsia" w:ascii="Times New Roman" w:hAnsi="Times New Roman" w:eastAsia="黑体" w:cs="黑体"/>
          <w:color w:val="auto"/>
          <w:kern w:val="0"/>
          <w:sz w:val="32"/>
          <w:szCs w:val="32"/>
          <w:highlight w:val="none"/>
          <w:lang w:val="en-US" w:eastAsia="zh-CN"/>
        </w:rPr>
        <w:t>一、发展目标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楷体_GB2312" w:cs="楷体_GB2312"/>
          <w:b w:val="0"/>
          <w:bCs w:val="0"/>
          <w:i w:val="0"/>
          <w:iCs w:val="0"/>
          <w:color w:val="auto"/>
          <w:kern w:val="0"/>
          <w:sz w:val="32"/>
          <w:szCs w:val="32"/>
          <w:highlight w:val="none"/>
          <w:lang w:val="en-US" w:eastAsia="zh-CN"/>
        </w:rPr>
        <w:t>（一）围绕一个示范中心：</w:t>
      </w:r>
      <w:r>
        <w:rPr>
          <w:rFonts w:hint="eastAsia" w:ascii="Times New Roman" w:hAnsi="Times New Roman" w:eastAsia="仿宋_GB2312"/>
          <w:color w:val="auto"/>
          <w:kern w:val="0"/>
          <w:sz w:val="32"/>
          <w:szCs w:val="32"/>
          <w:highlight w:val="none"/>
          <w:lang w:val="en-US" w:eastAsia="zh-CN"/>
        </w:rPr>
        <w:t>牢牢把握省会经济圈一体化发展战略契机，依托全新CBD片区建设，聚力优化商务楼宇质效水平，将我区打造成全市总部企业集群示范中心，扭住行业龙头布局产业集群，力争5年内总部企业产值贡献超300亿元，形成全区加速崛起的稳定税源支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楷体_GB2312" w:cs="楷体_GB2312"/>
          <w:b w:val="0"/>
          <w:bCs w:val="0"/>
          <w:i w:val="0"/>
          <w:iCs w:val="0"/>
          <w:color w:val="auto"/>
          <w:kern w:val="0"/>
          <w:sz w:val="32"/>
          <w:szCs w:val="32"/>
          <w:highlight w:val="none"/>
          <w:lang w:val="en-US" w:eastAsia="zh-CN"/>
        </w:rPr>
        <w:t>（二）打造十大支撑产业：</w:t>
      </w:r>
      <w:r>
        <w:rPr>
          <w:rFonts w:hint="eastAsia" w:ascii="Times New Roman" w:hAnsi="Times New Roman" w:eastAsia="仿宋_GB2312"/>
          <w:color w:val="auto"/>
          <w:kern w:val="0"/>
          <w:sz w:val="32"/>
          <w:szCs w:val="32"/>
          <w:highlight w:val="none"/>
          <w:lang w:val="en-US" w:eastAsia="zh-CN"/>
        </w:rPr>
        <w:t>围绕“2+4”产业布局，结合我区发展实际，重点在现代农业、高端制造业、新兴生产性服务业、高端生活性服务业、金融业、医药康养、现代物流、文体娱乐、大型房地产业等10大产业领域发力，促进企业总部快速集聚，形成经济高质量发展的产业支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auto"/>
          <w:kern w:val="0"/>
          <w:sz w:val="32"/>
          <w:szCs w:val="32"/>
          <w:highlight w:val="none"/>
          <w:u w:val="none"/>
          <w:lang w:val="en-US" w:eastAsia="zh-CN"/>
        </w:rPr>
      </w:pPr>
      <w:r>
        <w:rPr>
          <w:rFonts w:hint="eastAsia" w:ascii="Times New Roman" w:hAnsi="Times New Roman" w:eastAsia="楷体_GB2312" w:cs="楷体_GB2312"/>
          <w:b w:val="0"/>
          <w:bCs w:val="0"/>
          <w:i w:val="0"/>
          <w:iCs w:val="0"/>
          <w:color w:val="auto"/>
          <w:kern w:val="0"/>
          <w:sz w:val="32"/>
          <w:szCs w:val="32"/>
          <w:highlight w:val="none"/>
          <w:lang w:val="en-US" w:eastAsia="zh-CN"/>
        </w:rPr>
        <w:t>（三）健全八项扶持措施：</w:t>
      </w:r>
      <w:r>
        <w:rPr>
          <w:rFonts w:hint="eastAsia" w:ascii="Times New Roman" w:hAnsi="Times New Roman" w:eastAsia="仿宋_GB2312"/>
          <w:color w:val="auto"/>
          <w:kern w:val="0"/>
          <w:sz w:val="32"/>
          <w:szCs w:val="32"/>
          <w:highlight w:val="none"/>
          <w:lang w:val="en-US" w:eastAsia="zh-CN"/>
        </w:rPr>
        <w:t>围绕总部企业招引，健全开办注资奖励、经营贡献奖励、企业成长奖励、租房购房奖励、人才贡献奖励、产业配套奖励、招商引荐奖励、特色激励政策等8方面扶持措施，形成总部企业快速聚集的政策支撑。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黑体"/>
          <w:b w:val="0"/>
          <w:bCs w:val="0"/>
          <w:color w:val="auto"/>
          <w:kern w:val="0"/>
          <w:sz w:val="32"/>
          <w:szCs w:val="32"/>
          <w:highlight w:val="none"/>
          <w:lang w:val="en-US" w:eastAsia="zh-CN"/>
        </w:rPr>
      </w:pPr>
      <w:r>
        <w:rPr>
          <w:rFonts w:hint="eastAsia" w:ascii="Times New Roman" w:hAnsi="Times New Roman" w:eastAsia="黑体" w:cs="黑体"/>
          <w:b w:val="0"/>
          <w:bCs w:val="0"/>
          <w:color w:val="auto"/>
          <w:kern w:val="0"/>
          <w:sz w:val="32"/>
          <w:szCs w:val="32"/>
          <w:highlight w:val="none"/>
          <w:lang w:val="en-US" w:eastAsia="zh-CN"/>
        </w:rPr>
        <w:t>二、扶持措施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企业在我区注册设立公司之日起，纳入张店区规模以上服务业统计范围，政府给予扶持政策，具体政策如下：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楷体_GB2312" w:cs="Times New Roman"/>
          <w:b w:val="0"/>
          <w:bCs w:val="0"/>
          <w:i w:val="0"/>
          <w:iCs w:val="0"/>
          <w:color w:val="auto"/>
          <w:kern w:val="0"/>
          <w:sz w:val="32"/>
          <w:szCs w:val="32"/>
          <w:highlight w:val="none"/>
          <w:lang w:val="en-US" w:eastAsia="zh-CN"/>
        </w:rPr>
        <w:t>（一）</w:t>
      </w:r>
      <w:r>
        <w:rPr>
          <w:rFonts w:hint="default" w:ascii="Times New Roman" w:hAnsi="Times New Roman" w:eastAsia="楷体_GB2312" w:cs="Times New Roman"/>
          <w:b w:val="0"/>
          <w:bCs w:val="0"/>
          <w:i w:val="0"/>
          <w:iCs w:val="0"/>
          <w:color w:val="auto"/>
          <w:kern w:val="0"/>
          <w:sz w:val="32"/>
          <w:szCs w:val="32"/>
          <w:highlight w:val="none"/>
          <w:lang w:val="en-US" w:eastAsia="zh-CN"/>
        </w:rPr>
        <w:t>开办注资奖励：</w:t>
      </w:r>
      <w:r>
        <w:rPr>
          <w:rFonts w:hint="eastAsia" w:ascii="Times New Roman" w:hAnsi="Times New Roman" w:eastAsia="仿宋_GB2312" w:cs="仿宋_GB2312"/>
          <w:color w:val="auto"/>
          <w:kern w:val="0"/>
          <w:sz w:val="32"/>
          <w:szCs w:val="32"/>
          <w:highlight w:val="none"/>
          <w:lang w:val="en-US" w:eastAsia="zh-CN"/>
        </w:rPr>
        <w:t>经认定的总部企业，实缴注册资本5000万元以上的，按照实际注册资本的1%给予补助，专项用于支持企业发展，最高不超过2000万元。以上补助资金自企业实际产生地方贡献年度起分三年按40%、30%、30%的比例兑现到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楷体_GB2312" w:cs="Times New Roman"/>
          <w:b w:val="0"/>
          <w:bCs w:val="0"/>
          <w:i w:val="0"/>
          <w:iCs w:val="0"/>
          <w:color w:val="auto"/>
          <w:kern w:val="0"/>
          <w:sz w:val="32"/>
          <w:szCs w:val="32"/>
          <w:highlight w:val="none"/>
          <w:lang w:val="en-US" w:eastAsia="zh-CN"/>
        </w:rPr>
        <w:t>（二）经营贡献奖励：</w:t>
      </w:r>
      <w:r>
        <w:rPr>
          <w:rFonts w:hint="eastAsia" w:ascii="Times New Roman" w:hAnsi="Times New Roman" w:eastAsia="仿宋_GB2312" w:cs="仿宋_GB2312"/>
          <w:color w:val="auto"/>
          <w:kern w:val="0"/>
          <w:sz w:val="32"/>
          <w:szCs w:val="32"/>
          <w:highlight w:val="none"/>
          <w:lang w:val="en-US" w:eastAsia="zh-CN"/>
        </w:rPr>
        <w:t>经认定的总部企业，自认定之日起至5年内，前三年按照企业对地方财政主体贡献的80%，后两年按50%的标准专项用于支持企业</w:t>
      </w:r>
      <w:r>
        <w:rPr>
          <w:rFonts w:hint="eastAsia" w:ascii="Times New Roman" w:hAnsi="Times New Roman" w:eastAsia="仿宋_GB2312" w:cs="Times New Roman"/>
          <w:color w:val="auto"/>
          <w:kern w:val="0"/>
          <w:sz w:val="32"/>
          <w:szCs w:val="32"/>
          <w:highlight w:val="none"/>
          <w:lang w:val="en-US" w:eastAsia="zh-CN"/>
        </w:rPr>
        <w:t>发展</w:t>
      </w:r>
      <w:r>
        <w:rPr>
          <w:rFonts w:hint="eastAsia" w:ascii="Times New Roman" w:hAnsi="Times New Roman" w:eastAsia="仿宋_GB2312" w:cs="仿宋_GB2312"/>
          <w:color w:val="auto"/>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楷体_GB2312" w:cs="Times New Roman"/>
          <w:b w:val="0"/>
          <w:bCs w:val="0"/>
          <w:i w:val="0"/>
          <w:iCs w:val="0"/>
          <w:color w:val="auto"/>
          <w:kern w:val="0"/>
          <w:sz w:val="32"/>
          <w:szCs w:val="32"/>
          <w:highlight w:val="none"/>
          <w:lang w:val="en-US" w:eastAsia="zh-CN"/>
        </w:rPr>
        <w:t>（三）企业成长奖励：</w:t>
      </w:r>
      <w:r>
        <w:rPr>
          <w:rFonts w:hint="eastAsia" w:ascii="Times New Roman" w:hAnsi="Times New Roman" w:eastAsia="仿宋_GB2312" w:cs="仿宋_GB2312"/>
          <w:color w:val="auto"/>
          <w:kern w:val="0"/>
          <w:sz w:val="32"/>
          <w:szCs w:val="32"/>
          <w:highlight w:val="none"/>
          <w:lang w:val="en-US" w:eastAsia="zh-CN"/>
        </w:rPr>
        <w:t>经认定的总部企业，年营业收入首次超过30亿元、50亿元、100亿元、500亿元的，分别给予企业20万元、30万元、50万元、100万元奖励。首次入选“山东100强”“国家规划布局内重点软件企业”“中国软件100强”“中国500强”“世界500强”的，分别给予企业100万元、200万元、200万元、300万元、1000万元奖励。</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u w:val="none"/>
          <w:lang w:val="en-US" w:eastAsia="zh-CN"/>
        </w:rPr>
      </w:pPr>
      <w:r>
        <w:rPr>
          <w:rFonts w:hint="eastAsia" w:ascii="Times New Roman" w:hAnsi="Times New Roman" w:eastAsia="楷体_GB2312" w:cs="Times New Roman"/>
          <w:b w:val="0"/>
          <w:bCs w:val="0"/>
          <w:i w:val="0"/>
          <w:iCs w:val="0"/>
          <w:color w:val="auto"/>
          <w:kern w:val="0"/>
          <w:sz w:val="32"/>
          <w:szCs w:val="32"/>
          <w:highlight w:val="none"/>
          <w:lang w:val="en-US" w:eastAsia="zh-CN"/>
        </w:rPr>
        <w:t>（四）租房购房补助：</w:t>
      </w:r>
      <w:r>
        <w:rPr>
          <w:rFonts w:hint="eastAsia" w:ascii="Times New Roman" w:hAnsi="Times New Roman" w:eastAsia="仿宋_GB2312" w:cs="仿宋_GB2312"/>
          <w:color w:val="auto"/>
          <w:kern w:val="0"/>
          <w:sz w:val="32"/>
          <w:szCs w:val="32"/>
          <w:highlight w:val="none"/>
          <w:lang w:val="en-US" w:eastAsia="zh-CN"/>
        </w:rPr>
        <w:t>经认定的总部企业，</w:t>
      </w:r>
      <w:r>
        <w:rPr>
          <w:rFonts w:hint="eastAsia" w:ascii="Times New Roman" w:hAnsi="Times New Roman" w:eastAsia="仿宋_GB2312" w:cs="仿宋_GB2312"/>
          <w:color w:val="auto"/>
          <w:kern w:val="0"/>
          <w:sz w:val="32"/>
          <w:szCs w:val="32"/>
          <w:highlight w:val="none"/>
          <w:lang w:val="en-US" w:eastAsia="zh-CN" w:bidi="ar-SA"/>
        </w:rPr>
        <w:t>自建或购置办公用房的，</w:t>
      </w:r>
      <w:r>
        <w:rPr>
          <w:rFonts w:hint="eastAsia" w:ascii="Times New Roman" w:hAnsi="Times New Roman" w:eastAsia="仿宋_GB2312" w:cs="仿宋_GB2312"/>
          <w:color w:val="auto"/>
          <w:kern w:val="0"/>
          <w:sz w:val="32"/>
          <w:szCs w:val="32"/>
          <w:highlight w:val="none"/>
          <w:lang w:val="en-US" w:eastAsia="zh-CN"/>
        </w:rPr>
        <w:t>自认定之日起</w:t>
      </w:r>
      <w:r>
        <w:rPr>
          <w:rFonts w:hint="eastAsia" w:ascii="Times New Roman" w:hAnsi="Times New Roman" w:eastAsia="仿宋_GB2312" w:cs="仿宋_GB2312"/>
          <w:color w:val="auto"/>
          <w:kern w:val="0"/>
          <w:sz w:val="32"/>
          <w:szCs w:val="32"/>
          <w:highlight w:val="none"/>
          <w:lang w:val="en-US" w:eastAsia="zh-CN" w:bidi="ar-SA"/>
        </w:rPr>
        <w:t>按照购房合同价格或建房核算成本的10%给予企业补助（最高不超过500万），</w:t>
      </w:r>
      <w:r>
        <w:rPr>
          <w:rFonts w:hint="eastAsia" w:ascii="Times New Roman" w:hAnsi="Times New Roman" w:eastAsia="仿宋_GB2312" w:cs="仿宋_GB2312"/>
          <w:color w:val="auto"/>
          <w:kern w:val="0"/>
          <w:sz w:val="32"/>
          <w:szCs w:val="32"/>
          <w:highlight w:val="none"/>
          <w:lang w:val="en-US" w:eastAsia="zh-CN"/>
        </w:rPr>
        <w:t>专项用于支持企业发展，</w:t>
      </w:r>
      <w:r>
        <w:rPr>
          <w:rFonts w:hint="eastAsia" w:ascii="Times New Roman" w:hAnsi="Times New Roman" w:eastAsia="仿宋_GB2312" w:cs="仿宋_GB2312"/>
          <w:color w:val="auto"/>
          <w:kern w:val="0"/>
          <w:sz w:val="32"/>
          <w:szCs w:val="32"/>
          <w:highlight w:val="none"/>
          <w:lang w:val="en-US" w:eastAsia="zh-CN" w:bidi="ar-SA"/>
        </w:rPr>
        <w:t>分5年兑付。租赁办公用房的自认定之日3年内按照租赁合同价的50%予以补助，</w:t>
      </w:r>
      <w:r>
        <w:rPr>
          <w:rFonts w:hint="eastAsia" w:ascii="Times New Roman" w:hAnsi="Times New Roman" w:eastAsia="仿宋_GB2312" w:cs="仿宋_GB2312"/>
          <w:color w:val="auto"/>
          <w:kern w:val="0"/>
          <w:sz w:val="32"/>
          <w:szCs w:val="32"/>
          <w:highlight w:val="none"/>
          <w:lang w:val="en-US" w:eastAsia="zh-CN"/>
        </w:rPr>
        <w:t>专项用于支持企业发展</w:t>
      </w:r>
      <w:r>
        <w:rPr>
          <w:rFonts w:hint="eastAsia" w:ascii="Times New Roman" w:hAnsi="Times New Roman" w:eastAsia="仿宋_GB2312" w:cs="仿宋_GB2312"/>
          <w:color w:val="auto"/>
          <w:kern w:val="0"/>
          <w:sz w:val="32"/>
          <w:szCs w:val="32"/>
          <w:highlight w:val="none"/>
          <w:lang w:val="en-US" w:eastAsia="zh-CN" w:bidi="ar-SA"/>
        </w:rPr>
        <w:t>。</w:t>
      </w:r>
      <w:r>
        <w:rPr>
          <w:rFonts w:hint="eastAsia" w:ascii="Times New Roman" w:hAnsi="Times New Roman" w:eastAsia="仿宋_GB2312" w:cs="仿宋_GB2312"/>
          <w:color w:val="auto"/>
          <w:kern w:val="0"/>
          <w:sz w:val="32"/>
          <w:szCs w:val="32"/>
          <w:highlight w:val="none"/>
          <w:u w:val="none"/>
          <w:lang w:val="en-US" w:eastAsia="zh-CN" w:bidi="ar-SA"/>
        </w:rPr>
        <w:t>入驻政府自持资产的根据合作协议可享受100%租房补助，</w:t>
      </w:r>
      <w:r>
        <w:rPr>
          <w:rFonts w:hint="eastAsia" w:ascii="Times New Roman" w:hAnsi="Times New Roman" w:eastAsia="仿宋_GB2312" w:cs="仿宋_GB2312"/>
          <w:color w:val="auto"/>
          <w:kern w:val="0"/>
          <w:sz w:val="32"/>
          <w:szCs w:val="32"/>
          <w:highlight w:val="none"/>
          <w:lang w:val="en-US" w:eastAsia="zh-CN"/>
        </w:rPr>
        <w:t>专项用于支持企业发展</w:t>
      </w:r>
      <w:r>
        <w:rPr>
          <w:rFonts w:hint="eastAsia" w:ascii="Times New Roman" w:hAnsi="Times New Roman" w:eastAsia="仿宋_GB2312" w:cs="仿宋_GB2312"/>
          <w:color w:val="auto"/>
          <w:kern w:val="0"/>
          <w:sz w:val="32"/>
          <w:szCs w:val="32"/>
          <w:highlight w:val="none"/>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楷体_GB2312" w:cs="Times New Roman"/>
          <w:b w:val="0"/>
          <w:bCs w:val="0"/>
          <w:i w:val="0"/>
          <w:iCs w:val="0"/>
          <w:color w:val="auto"/>
          <w:kern w:val="0"/>
          <w:sz w:val="32"/>
          <w:szCs w:val="32"/>
          <w:highlight w:val="none"/>
          <w:lang w:val="en-US" w:eastAsia="zh-CN"/>
        </w:rPr>
        <w:t>（五）人才贡献奖励：</w:t>
      </w:r>
      <w:r>
        <w:rPr>
          <w:rFonts w:hint="eastAsia" w:ascii="Times New Roman" w:hAnsi="Times New Roman" w:eastAsia="仿宋_GB2312" w:cs="仿宋_GB2312"/>
          <w:color w:val="auto"/>
          <w:kern w:val="0"/>
          <w:sz w:val="32"/>
          <w:szCs w:val="32"/>
          <w:highlight w:val="none"/>
          <w:lang w:val="en-US" w:eastAsia="zh-CN"/>
        </w:rPr>
        <w:t>经认定的总部企业，五年内其高级管理人员个人地方财政贡献按100%比例予以奖励，高管减持股份形成的个人地方财政贡献按90%比例予以奖励。</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楷体_GB2312" w:cs="Times New Roman"/>
          <w:b w:val="0"/>
          <w:bCs w:val="0"/>
          <w:i w:val="0"/>
          <w:iCs w:val="0"/>
          <w:color w:val="auto"/>
          <w:kern w:val="0"/>
          <w:sz w:val="32"/>
          <w:szCs w:val="32"/>
          <w:highlight w:val="none"/>
          <w:lang w:val="en-US" w:eastAsia="zh-CN"/>
        </w:rPr>
        <w:t>（六）产业配套奖励：</w:t>
      </w:r>
      <w:r>
        <w:rPr>
          <w:rFonts w:hint="eastAsia" w:ascii="Times New Roman" w:hAnsi="Times New Roman" w:eastAsia="仿宋_GB2312" w:cs="仿宋_GB2312"/>
          <w:color w:val="auto"/>
          <w:kern w:val="0"/>
          <w:sz w:val="32"/>
          <w:szCs w:val="32"/>
          <w:highlight w:val="none"/>
          <w:lang w:val="en-US" w:eastAsia="zh-CN"/>
        </w:rPr>
        <w:t>经认定的总部企业，对其引进的总投资超</w:t>
      </w:r>
      <w:r>
        <w:rPr>
          <w:rFonts w:hint="default" w:ascii="Times New Roman" w:hAnsi="Times New Roman" w:eastAsia="仿宋_GB2312" w:cs="Times New Roman"/>
          <w:color w:val="auto"/>
          <w:kern w:val="0"/>
          <w:sz w:val="32"/>
          <w:szCs w:val="32"/>
          <w:highlight w:val="none"/>
          <w:lang w:val="en-US" w:eastAsia="zh-CN"/>
        </w:rPr>
        <w:t>过</w:t>
      </w:r>
      <w:r>
        <w:rPr>
          <w:rFonts w:hint="eastAsia"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lang w:val="en-US" w:eastAsia="zh-CN"/>
        </w:rPr>
        <w:t>亿元、</w:t>
      </w:r>
      <w:r>
        <w:rPr>
          <w:rFonts w:hint="eastAsia" w:ascii="Times New Roman" w:hAnsi="Times New Roman" w:eastAsia="仿宋_GB2312" w:cs="Times New Roman"/>
          <w:color w:val="auto"/>
          <w:kern w:val="0"/>
          <w:sz w:val="32"/>
          <w:szCs w:val="32"/>
          <w:highlight w:val="none"/>
          <w:lang w:val="en-US" w:eastAsia="zh-CN"/>
        </w:rPr>
        <w:t>5</w:t>
      </w:r>
      <w:r>
        <w:rPr>
          <w:rFonts w:hint="eastAsia" w:ascii="Times New Roman" w:hAnsi="Times New Roman" w:eastAsia="仿宋_GB2312" w:cs="仿宋_GB2312"/>
          <w:color w:val="auto"/>
          <w:kern w:val="0"/>
          <w:sz w:val="32"/>
          <w:szCs w:val="32"/>
          <w:highlight w:val="none"/>
          <w:lang w:val="en-US" w:eastAsia="zh-CN"/>
        </w:rPr>
        <w:t>亿元、10亿元的产业链上下游关键配套项目，分别给予引进企业30万元、50万元、100万元的奖励。</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u w:val="none"/>
          <w:lang w:val="en-US" w:eastAsia="zh-CN"/>
        </w:rPr>
      </w:pPr>
      <w:r>
        <w:rPr>
          <w:rFonts w:hint="eastAsia" w:ascii="Times New Roman" w:hAnsi="Times New Roman" w:eastAsia="楷体_GB2312" w:cs="Times New Roman"/>
          <w:b w:val="0"/>
          <w:bCs w:val="0"/>
          <w:i w:val="0"/>
          <w:iCs w:val="0"/>
          <w:color w:val="auto"/>
          <w:kern w:val="0"/>
          <w:sz w:val="32"/>
          <w:szCs w:val="32"/>
          <w:highlight w:val="none"/>
          <w:lang w:val="en-US" w:eastAsia="zh-CN"/>
        </w:rPr>
        <w:t>（七）招商引荐奖励：</w:t>
      </w:r>
      <w:r>
        <w:rPr>
          <w:rFonts w:hint="eastAsia" w:ascii="Times New Roman" w:hAnsi="Times New Roman" w:eastAsia="仿宋_GB2312" w:cs="仿宋_GB2312"/>
          <w:color w:val="auto"/>
          <w:kern w:val="0"/>
          <w:sz w:val="32"/>
          <w:szCs w:val="32"/>
          <w:highlight w:val="none"/>
          <w:lang w:val="en-US" w:eastAsia="zh-CN"/>
        </w:rPr>
        <w:t>对总部企业引荐单位或个人一次性给予2万元招商引资激励，引荐世界500强、中国500强、民营500强、沪深主板上市企业省级以上区域总部、企业职能总部的给予引荐人一次性5万元招商引资奖励；</w:t>
      </w:r>
      <w:r>
        <w:rPr>
          <w:rFonts w:hint="eastAsia" w:ascii="Times New Roman" w:hAnsi="Times New Roman" w:eastAsia="仿宋_GB2312" w:cs="仿宋_GB2312"/>
          <w:color w:val="auto"/>
          <w:kern w:val="0"/>
          <w:sz w:val="32"/>
          <w:szCs w:val="32"/>
          <w:highlight w:val="none"/>
          <w:u w:val="none"/>
          <w:lang w:val="en-US" w:eastAsia="zh-CN"/>
        </w:rPr>
        <w:t>引荐企业存续期间，按企业年度纳税所产生的地方实际财力贡献（即扣除奖补后区财政剩余财力）1%给予引荐人持续性奖励。</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仿宋_GB2312"/>
          <w:color w:val="auto"/>
          <w:kern w:val="0"/>
          <w:sz w:val="32"/>
          <w:szCs w:val="32"/>
          <w:highlight w:val="none"/>
          <w:lang w:val="en-US" w:eastAsia="zh-CN"/>
        </w:rPr>
      </w:pPr>
      <w:r>
        <w:rPr>
          <w:rFonts w:hint="eastAsia" w:ascii="Times New Roman" w:hAnsi="Times New Roman" w:eastAsia="楷体_GB2312" w:cs="Times New Roman"/>
          <w:b w:val="0"/>
          <w:bCs w:val="0"/>
          <w:i w:val="0"/>
          <w:iCs w:val="0"/>
          <w:color w:val="auto"/>
          <w:kern w:val="0"/>
          <w:sz w:val="32"/>
          <w:szCs w:val="32"/>
          <w:highlight w:val="none"/>
          <w:lang w:val="en-US" w:eastAsia="zh-CN"/>
        </w:rPr>
        <w:t>（八）特色激励：</w:t>
      </w:r>
      <w:r>
        <w:rPr>
          <w:rFonts w:hint="eastAsia" w:ascii="Times New Roman" w:hAnsi="Times New Roman" w:eastAsia="仿宋_GB2312" w:cs="仿宋_GB2312"/>
          <w:color w:val="auto"/>
          <w:kern w:val="0"/>
          <w:sz w:val="32"/>
          <w:szCs w:val="32"/>
          <w:highlight w:val="none"/>
          <w:lang w:val="en-US" w:eastAsia="zh-CN"/>
        </w:rPr>
        <w:t>经认定的总部企业，</w:t>
      </w:r>
      <w:r>
        <w:rPr>
          <w:rFonts w:hint="eastAsia" w:ascii="Times New Roman" w:hAnsi="Times New Roman" w:eastAsia="仿宋_GB2312" w:cs="仿宋_GB2312"/>
          <w:color w:val="auto"/>
          <w:kern w:val="0"/>
          <w:sz w:val="32"/>
          <w:szCs w:val="32"/>
          <w:highlight w:val="none"/>
          <w:u w:val="none"/>
          <w:lang w:val="en-US" w:eastAsia="zh-CN"/>
        </w:rPr>
        <w:t>可享受全区范围内医疗机构企业家绿色通道服务并可享受免费查体名额一个，认定标准之上每增加1000万税收增加一个名额；纳税2000万以上企业，高管人员父母养老可免费享受民政系统社会化购买服务相关内容；年纳税总额3000万元以上的，除享受以上优惠政策外，给予</w:t>
      </w:r>
      <w:r>
        <w:rPr>
          <w:rFonts w:hint="eastAsia" w:ascii="Times New Roman" w:hAnsi="Times New Roman" w:eastAsia="仿宋_GB2312" w:cs="仿宋_GB2312"/>
          <w:color w:val="auto"/>
          <w:kern w:val="0"/>
          <w:sz w:val="32"/>
          <w:szCs w:val="32"/>
          <w:highlight w:val="none"/>
          <w:u w:val="none"/>
        </w:rPr>
        <w:t>区</w:t>
      </w:r>
      <w:r>
        <w:rPr>
          <w:rFonts w:hint="eastAsia" w:ascii="Times New Roman" w:hAnsi="Times New Roman" w:eastAsia="仿宋_GB2312" w:cs="仿宋_GB2312"/>
          <w:color w:val="auto"/>
          <w:kern w:val="0"/>
          <w:sz w:val="32"/>
          <w:szCs w:val="32"/>
          <w:highlight w:val="none"/>
          <w:u w:val="none"/>
          <w:lang w:val="en-US" w:eastAsia="zh-CN"/>
        </w:rPr>
        <w:t>划范围内</w:t>
      </w:r>
      <w:r>
        <w:rPr>
          <w:rFonts w:hint="eastAsia" w:ascii="Times New Roman" w:hAnsi="Times New Roman" w:eastAsia="仿宋_GB2312" w:cs="仿宋_GB2312"/>
          <w:color w:val="auto"/>
          <w:kern w:val="0"/>
          <w:sz w:val="32"/>
          <w:szCs w:val="32"/>
          <w:highlight w:val="none"/>
          <w:u w:val="none"/>
        </w:rPr>
        <w:t>公办幼儿园、小学、初中</w:t>
      </w:r>
      <w:r>
        <w:rPr>
          <w:rFonts w:hint="eastAsia" w:ascii="Times New Roman" w:hAnsi="Times New Roman" w:eastAsia="仿宋_GB2312" w:cs="仿宋_GB2312"/>
          <w:color w:val="auto"/>
          <w:kern w:val="0"/>
          <w:sz w:val="32"/>
          <w:szCs w:val="32"/>
          <w:highlight w:val="none"/>
          <w:u w:val="none"/>
          <w:lang w:eastAsia="zh-CN"/>
        </w:rPr>
        <w:t>、</w:t>
      </w:r>
      <w:r>
        <w:rPr>
          <w:rFonts w:hint="eastAsia" w:ascii="Times New Roman" w:hAnsi="Times New Roman" w:eastAsia="仿宋_GB2312" w:cs="仿宋_GB2312"/>
          <w:color w:val="auto"/>
          <w:kern w:val="0"/>
          <w:sz w:val="32"/>
          <w:szCs w:val="32"/>
          <w:highlight w:val="none"/>
          <w:u w:val="none"/>
          <w:lang w:val="en-US" w:eastAsia="zh-CN"/>
        </w:rPr>
        <w:t>高中</w:t>
      </w:r>
      <w:r>
        <w:rPr>
          <w:rFonts w:hint="eastAsia" w:ascii="Times New Roman" w:hAnsi="Times New Roman" w:eastAsia="仿宋_GB2312" w:cs="仿宋_GB2312"/>
          <w:color w:val="auto"/>
          <w:kern w:val="0"/>
          <w:sz w:val="32"/>
          <w:szCs w:val="32"/>
          <w:highlight w:val="none"/>
          <w:u w:val="none"/>
        </w:rPr>
        <w:t>学位一个（任选其一）</w:t>
      </w:r>
      <w:r>
        <w:rPr>
          <w:rFonts w:hint="eastAsia" w:ascii="Times New Roman" w:hAnsi="Times New Roman" w:eastAsia="仿宋_GB2312" w:cs="仿宋_GB2312"/>
          <w:color w:val="auto"/>
          <w:kern w:val="0"/>
          <w:sz w:val="32"/>
          <w:szCs w:val="32"/>
          <w:highlight w:val="none"/>
          <w:u w:val="none"/>
          <w:lang w:eastAsia="zh-CN"/>
        </w:rPr>
        <w:t>，</w:t>
      </w:r>
      <w:r>
        <w:rPr>
          <w:rFonts w:hint="eastAsia" w:ascii="Times New Roman" w:hAnsi="Times New Roman" w:eastAsia="仿宋_GB2312" w:cs="仿宋_GB2312"/>
          <w:color w:val="auto"/>
          <w:kern w:val="0"/>
          <w:sz w:val="32"/>
          <w:szCs w:val="32"/>
          <w:highlight w:val="none"/>
          <w:u w:val="none"/>
          <w:lang w:val="en-US" w:eastAsia="zh-CN"/>
        </w:rPr>
        <w:t>每新增3000万元增加一个名额；企业高管个人市内首次购房的，按实际成交价的5%给予补助。符合特定条件的，可一次性申请5年内个人地方财政贡献用于购房，5年后</w:t>
      </w:r>
      <w:r>
        <w:rPr>
          <w:rFonts w:hint="eastAsia" w:ascii="Times New Roman" w:hAnsi="Times New Roman" w:eastAsia="仿宋_GB2312" w:cs="仿宋_GB2312"/>
          <w:kern w:val="0"/>
          <w:sz w:val="32"/>
          <w:szCs w:val="32"/>
          <w:highlight w:val="none"/>
          <w:lang w:val="en-US" w:eastAsia="zh-CN"/>
        </w:rPr>
        <w:t>个人地方经济贡献未完成承诺的，由高管个人一次性补足承诺金额；企</w:t>
      </w:r>
      <w:r>
        <w:rPr>
          <w:rFonts w:hint="eastAsia" w:ascii="Times New Roman" w:hAnsi="Times New Roman" w:eastAsia="仿宋_GB2312" w:cs="仿宋_GB2312"/>
          <w:color w:val="auto"/>
          <w:kern w:val="0"/>
          <w:sz w:val="32"/>
          <w:szCs w:val="32"/>
          <w:highlight w:val="none"/>
          <w:u w:val="none"/>
          <w:lang w:val="en-US" w:eastAsia="zh-CN"/>
        </w:rPr>
        <w:t>业</w:t>
      </w:r>
      <w:r>
        <w:rPr>
          <w:rFonts w:hint="eastAsia" w:ascii="Times New Roman" w:hAnsi="Times New Roman" w:eastAsia="仿宋_GB2312" w:cs="仿宋_GB2312"/>
          <w:color w:val="auto"/>
          <w:kern w:val="0"/>
          <w:sz w:val="32"/>
          <w:szCs w:val="32"/>
          <w:highlight w:val="none"/>
          <w:lang w:val="en-US" w:eastAsia="zh-CN"/>
        </w:rPr>
        <w:t>高管人员可享受市内火车站贵宾通道；</w:t>
      </w:r>
      <w:r>
        <w:rPr>
          <w:rFonts w:hint="eastAsia" w:ascii="Times New Roman" w:hAnsi="Times New Roman" w:eastAsia="仿宋_GB2312" w:cs="仿宋_GB2312"/>
          <w:color w:val="auto"/>
          <w:kern w:val="0"/>
          <w:sz w:val="32"/>
          <w:szCs w:val="32"/>
          <w:highlight w:val="none"/>
        </w:rPr>
        <w:t>区内文化休闲体育场馆、大型赛事</w:t>
      </w:r>
      <w:r>
        <w:rPr>
          <w:rFonts w:hint="eastAsia" w:ascii="Times New Roman" w:hAnsi="Times New Roman" w:eastAsia="仿宋_GB2312" w:cs="仿宋_GB2312"/>
          <w:color w:val="auto"/>
          <w:kern w:val="0"/>
          <w:sz w:val="32"/>
          <w:szCs w:val="32"/>
          <w:highlight w:val="none"/>
          <w:lang w:val="en-US" w:eastAsia="zh-CN"/>
        </w:rPr>
        <w:t>免费入场服务；市内高端商务场所VIP等尊享服务。经认定的总部企业，按照最高检统一部署的“企业合规改革”试点地区相关要求，可以对企业提供更优更实的司法保护，保障企业可持续发展。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黑体"/>
          <w:color w:val="auto"/>
          <w:kern w:val="0"/>
          <w:sz w:val="32"/>
          <w:szCs w:val="32"/>
          <w:highlight w:val="none"/>
          <w:lang w:val="en-US" w:eastAsia="zh-CN"/>
        </w:rPr>
      </w:pPr>
      <w:r>
        <w:rPr>
          <w:rFonts w:hint="eastAsia" w:ascii="Times New Roman" w:hAnsi="Times New Roman" w:eastAsia="黑体" w:cs="黑体"/>
          <w:color w:val="auto"/>
          <w:kern w:val="0"/>
          <w:sz w:val="32"/>
          <w:szCs w:val="32"/>
          <w:highlight w:val="none"/>
          <w:lang w:val="en-US" w:eastAsia="zh-CN"/>
        </w:rPr>
        <w:t>三、附则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（一）本政策适用于注册地、税务关系、统计关系均在张店区范围内，有健全的财务制度、具有独立法人资格，且承诺自享受奖励政策起5年内不搬离张</w:t>
      </w:r>
      <w:r>
        <w:rPr>
          <w:rFonts w:hint="eastAsia" w:ascii="Times New Roman" w:hAnsi="Times New Roman" w:eastAsia="仿宋_GB2312" w:cs="仿宋_GB2312"/>
          <w:b w:val="0"/>
          <w:bCs w:val="0"/>
          <w:color w:val="000000"/>
          <w:kern w:val="0"/>
          <w:sz w:val="32"/>
          <w:szCs w:val="32"/>
          <w:highlight w:val="none"/>
          <w:lang w:val="en-US" w:eastAsia="zh-CN"/>
        </w:rPr>
        <w:t>店、不减少</w:t>
      </w:r>
      <w:r>
        <w:rPr>
          <w:rFonts w:hint="eastAsia" w:ascii="Times New Roman" w:hAnsi="Times New Roman" w:eastAsia="仿宋_GB2312"/>
          <w:color w:val="auto"/>
          <w:kern w:val="0"/>
          <w:sz w:val="32"/>
          <w:szCs w:val="32"/>
          <w:highlight w:val="none"/>
          <w:lang w:val="en-US" w:eastAsia="zh-CN"/>
        </w:rPr>
        <w:t>注册资本且在张店连续纳税的企业或机构。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二）总部企业按本政策享受的扶持奖励资金年度总额除有特殊规定的，原则上不高于该企业地方财政主体贡献总额。企业高管所享受补助金额原则上不高于个人地方财政贡献总额。获得奖励的涉税支出由受奖企业或个人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（三）企业高管认定原则上不超过3人，纳税每超出认定标准1000万可相应增加1名高管，最高不超过5人。涉及企业和个人建设、置业政策5年内仅可享受一次，且承诺5年内不得进行交易。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（四）总部企业扶持措施中提到的就医绿色通道、养老服务、公办学校学位分别由区卫健局、区民政局、区教体局负责细则的制定和执行。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（五）企业同一</w:t>
      </w:r>
      <w:r>
        <w:rPr>
          <w:rFonts w:hint="eastAsia" w:ascii="Times New Roman" w:hAnsi="Times New Roman" w:eastAsia="仿宋_GB2312"/>
          <w:color w:val="auto"/>
          <w:kern w:val="0"/>
          <w:sz w:val="32"/>
          <w:szCs w:val="32"/>
          <w:highlight w:val="none"/>
          <w:lang w:val="en-US" w:eastAsia="zh-CN"/>
        </w:rPr>
        <w:t>项目、同一事项，同时符合张店区级财政负担的其他政策的，按照就高</w:t>
      </w:r>
      <w:r>
        <w:rPr>
          <w:rFonts w:hint="eastAsia" w:ascii="Times New Roman" w:hAnsi="Times New Roman" w:eastAsia="仿宋_GB2312" w:cs="Times New Roman"/>
          <w:color w:val="auto"/>
          <w:kern w:val="0"/>
          <w:sz w:val="32"/>
          <w:szCs w:val="32"/>
          <w:highlight w:val="none"/>
          <w:lang w:val="en-US" w:eastAsia="zh-CN" w:bidi="ar-SA"/>
        </w:rPr>
        <w:t>、不重复，只享受一次的原则予以奖励；总部项目招商引荐人不得超过1人，且就同一项目在全区范围内不得重复享受招商引荐奖励。</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（六）张店区政府有权根据政策执行情况对本政策做适当修改，本政策解释权由区财政局和区服务业发展中心负责。本政策自2022年1月29日起施行，有效期至2027年1月28日。</w:t>
      </w:r>
    </w:p>
    <w:p>
      <w:pPr>
        <w:pStyle w:val="21"/>
        <w:keepNext w:val="0"/>
        <w:keepLines w:val="0"/>
        <w:pageBreakBefore w:val="0"/>
        <w:kinsoku/>
        <w:overflowPunct/>
        <w:topLinePunct w:val="0"/>
        <w:autoSpaceDE/>
        <w:autoSpaceDN/>
        <w:bidi w:val="0"/>
        <w:spacing w:line="560" w:lineRule="exact"/>
        <w:jc w:val="left"/>
        <w:textAlignment w:val="auto"/>
        <w:rPr>
          <w:rFonts w:hint="eastAsia" w:ascii="Times New Roman" w:hAnsi="Times New Roman" w:eastAsia="仿宋_GB2312" w:cs="Times New Roman"/>
          <w:color w:val="auto"/>
          <w:kern w:val="0"/>
          <w:sz w:val="32"/>
          <w:szCs w:val="32"/>
          <w:highlight w:val="none"/>
          <w:lang w:val="en-US" w:eastAsia="zh-CN" w:bidi="ar-SA"/>
        </w:rPr>
      </w:pPr>
    </w:p>
    <w:p>
      <w:pPr>
        <w:pStyle w:val="21"/>
        <w:keepNext w:val="0"/>
        <w:keepLines w:val="0"/>
        <w:pageBreakBefore w:val="0"/>
        <w:kinsoku/>
        <w:overflowPunct/>
        <w:topLinePunct w:val="0"/>
        <w:autoSpaceDE/>
        <w:autoSpaceDN/>
        <w:bidi w:val="0"/>
        <w:spacing w:line="560" w:lineRule="exact"/>
        <w:jc w:val="left"/>
        <w:textAlignment w:val="auto"/>
        <w:rPr>
          <w:rFonts w:hint="eastAsia" w:ascii="Times New Roman" w:hAnsi="Times New Roman" w:cs="Times New Roman"/>
          <w:color w:val="auto"/>
          <w:kern w:val="0"/>
          <w:sz w:val="32"/>
          <w:szCs w:val="32"/>
          <w:highlight w:val="none"/>
          <w:lang w:val="en-US" w:eastAsia="zh-CN" w:bidi="ar-SA"/>
        </w:rPr>
      </w:pPr>
      <w:r>
        <w:rPr>
          <w:rFonts w:hint="eastAsia" w:ascii="Times New Roman" w:hAnsi="Times New Roman" w:cs="Times New Roman"/>
          <w:color w:val="auto"/>
          <w:kern w:val="0"/>
          <w:sz w:val="32"/>
          <w:szCs w:val="32"/>
          <w:highlight w:val="none"/>
          <w:lang w:val="en-US" w:eastAsia="zh-CN" w:bidi="ar-SA"/>
        </w:rPr>
        <w:t>附件：1.总部企业认定标准实施细则</w:t>
      </w:r>
    </w:p>
    <w:p>
      <w:pPr>
        <w:pStyle w:val="21"/>
        <w:keepNext w:val="0"/>
        <w:keepLines w:val="0"/>
        <w:pageBreakBefore w:val="0"/>
        <w:kinsoku/>
        <w:overflowPunct/>
        <w:topLinePunct w:val="0"/>
        <w:autoSpaceDE/>
        <w:autoSpaceDN/>
        <w:bidi w:val="0"/>
        <w:spacing w:line="560" w:lineRule="exact"/>
        <w:ind w:firstLine="1488" w:firstLineChars="465"/>
        <w:jc w:val="left"/>
        <w:textAlignment w:val="auto"/>
        <w:rPr>
          <w:rFonts w:hint="eastAsia" w:ascii="Times New Roman" w:hAnsi="Times New Roman" w:eastAsia="仿宋_GB2312" w:cs="仿宋_GB2312"/>
          <w:bCs/>
          <w:color w:val="auto"/>
          <w:kern w:val="0"/>
          <w:sz w:val="32"/>
          <w:szCs w:val="32"/>
          <w:highlight w:val="none"/>
        </w:rPr>
      </w:pPr>
      <w:r>
        <w:rPr>
          <w:rFonts w:hint="eastAsia" w:ascii="Times New Roman" w:hAnsi="Times New Roman" w:cs="Times New Roman"/>
          <w:color w:val="auto"/>
          <w:kern w:val="0"/>
          <w:sz w:val="32"/>
          <w:szCs w:val="32"/>
          <w:highlight w:val="none"/>
          <w:lang w:val="en-US" w:eastAsia="zh-CN" w:bidi="ar-SA"/>
        </w:rPr>
        <w:t>2.</w:t>
      </w:r>
      <w:r>
        <w:rPr>
          <w:rFonts w:hint="eastAsia" w:ascii="Times New Roman" w:hAnsi="Times New Roman" w:eastAsia="仿宋_GB2312" w:cs="仿宋_GB2312"/>
          <w:bCs/>
          <w:color w:val="auto"/>
          <w:kern w:val="0"/>
          <w:sz w:val="32"/>
          <w:szCs w:val="32"/>
          <w:highlight w:val="none"/>
          <w:lang w:val="en-US" w:eastAsia="zh-CN"/>
        </w:rPr>
        <w:t>张店区</w:t>
      </w:r>
      <w:r>
        <w:rPr>
          <w:rFonts w:hint="eastAsia" w:ascii="Times New Roman" w:hAnsi="Times New Roman" w:eastAsia="仿宋_GB2312" w:cs="仿宋_GB2312"/>
          <w:bCs/>
          <w:color w:val="auto"/>
          <w:kern w:val="0"/>
          <w:sz w:val="32"/>
          <w:szCs w:val="32"/>
          <w:highlight w:val="none"/>
        </w:rPr>
        <w:t>总部企业奖励资金认定申请表</w:t>
      </w:r>
    </w:p>
    <w:p>
      <w:pPr>
        <w:pStyle w:val="21"/>
        <w:keepNext w:val="0"/>
        <w:keepLines w:val="0"/>
        <w:pageBreakBefore w:val="0"/>
        <w:kinsoku/>
        <w:overflowPunct/>
        <w:topLinePunct w:val="0"/>
        <w:autoSpaceDE/>
        <w:autoSpaceDN/>
        <w:bidi w:val="0"/>
        <w:spacing w:line="560" w:lineRule="exact"/>
        <w:textAlignment w:val="auto"/>
        <w:rPr>
          <w:rFonts w:hint="default" w:ascii="Times New Roman" w:hAnsi="Times New Roman" w:cs="Times New Roman"/>
          <w:color w:val="auto"/>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仿宋_GB2312"/>
          <w:b/>
          <w:bCs/>
          <w:color w:val="auto"/>
          <w:kern w:val="0"/>
          <w:sz w:val="32"/>
          <w:szCs w:val="32"/>
          <w:highlight w:val="none"/>
          <w:lang w:val="en-US" w:eastAsia="zh-CN"/>
        </w:rPr>
      </w:pP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仿宋_GB2312"/>
          <w:b/>
          <w:bCs/>
          <w:color w:val="auto"/>
          <w:kern w:val="0"/>
          <w:sz w:val="32"/>
          <w:szCs w:val="32"/>
          <w:highlight w:val="none"/>
          <w:lang w:val="en-US" w:eastAsia="zh-CN"/>
        </w:rPr>
      </w:pP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仿宋_GB2312"/>
          <w:b/>
          <w:bCs/>
          <w:color w:val="auto"/>
          <w:kern w:val="0"/>
          <w:sz w:val="32"/>
          <w:szCs w:val="32"/>
          <w:highlight w:val="none"/>
          <w:lang w:val="en-US" w:eastAsia="zh-CN"/>
        </w:rPr>
      </w:pP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仿宋_GB2312"/>
          <w:b/>
          <w:bCs/>
          <w:color w:val="auto"/>
          <w:kern w:val="0"/>
          <w:sz w:val="32"/>
          <w:szCs w:val="32"/>
          <w:highlight w:val="none"/>
          <w:lang w:val="en-US" w:eastAsia="zh-CN"/>
        </w:rPr>
      </w:pP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仿宋_GB2312"/>
          <w:b/>
          <w:bCs/>
          <w:color w:val="auto"/>
          <w:kern w:val="0"/>
          <w:sz w:val="32"/>
          <w:szCs w:val="32"/>
          <w:highlight w:val="none"/>
          <w:lang w:val="en-US" w:eastAsia="zh-CN"/>
        </w:rPr>
      </w:pP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仿宋_GB2312"/>
          <w:b/>
          <w:bCs/>
          <w:color w:val="auto"/>
          <w:kern w:val="0"/>
          <w:sz w:val="32"/>
          <w:szCs w:val="32"/>
          <w:highlight w:val="none"/>
          <w:lang w:val="en-US" w:eastAsia="zh-CN"/>
        </w:rPr>
      </w:pP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仿宋_GB2312"/>
          <w:b/>
          <w:bCs/>
          <w:color w:val="auto"/>
          <w:kern w:val="0"/>
          <w:sz w:val="32"/>
          <w:szCs w:val="32"/>
          <w:highlight w:val="none"/>
          <w:lang w:val="en-US" w:eastAsia="zh-CN"/>
        </w:rPr>
      </w:pP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仿宋_GB2312"/>
          <w:b/>
          <w:bCs/>
          <w:color w:val="auto"/>
          <w:kern w:val="0"/>
          <w:sz w:val="32"/>
          <w:szCs w:val="32"/>
          <w:highlight w:val="none"/>
          <w:lang w:val="en-US" w:eastAsia="zh-CN"/>
        </w:rPr>
      </w:pP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仿宋_GB2312"/>
          <w:b/>
          <w:bCs/>
          <w:color w:val="auto"/>
          <w:kern w:val="0"/>
          <w:sz w:val="32"/>
          <w:szCs w:val="32"/>
          <w:highlight w:val="none"/>
          <w:lang w:val="en-US" w:eastAsia="zh-CN"/>
        </w:rPr>
      </w:pP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仿宋_GB2312"/>
          <w:b/>
          <w:bCs/>
          <w:color w:val="auto"/>
          <w:kern w:val="0"/>
          <w:sz w:val="32"/>
          <w:szCs w:val="32"/>
          <w:highlight w:val="none"/>
          <w:lang w:val="en-US" w:eastAsia="zh-CN"/>
        </w:rPr>
      </w:pP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仿宋_GB2312"/>
          <w:b/>
          <w:bCs/>
          <w:color w:val="auto"/>
          <w:kern w:val="0"/>
          <w:sz w:val="32"/>
          <w:szCs w:val="32"/>
          <w:highlight w:val="none"/>
          <w:lang w:val="en-US" w:eastAsia="zh-CN"/>
        </w:rPr>
      </w:pP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仿宋_GB2312"/>
          <w:b/>
          <w:bCs/>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黑体" w:cs="黑体"/>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黑体" w:cs="黑体"/>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黑体" w:cs="黑体"/>
          <w:color w:val="auto"/>
          <w:kern w:val="0"/>
          <w:sz w:val="32"/>
          <w:szCs w:val="32"/>
          <w:highlight w:val="none"/>
          <w:lang w:val="en-US" w:eastAsia="zh-CN"/>
        </w:rPr>
      </w:pPr>
      <w:r>
        <w:rPr>
          <w:rFonts w:hint="eastAsia" w:ascii="Times New Roman" w:hAnsi="Times New Roman" w:eastAsia="黑体" w:cs="黑体"/>
          <w:color w:val="auto"/>
          <w:kern w:val="0"/>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color w:val="auto"/>
          <w:kern w:val="0"/>
          <w:sz w:val="44"/>
          <w:szCs w:val="44"/>
          <w:highlight w:val="none"/>
        </w:rPr>
      </w:pPr>
      <w:r>
        <w:rPr>
          <w:rFonts w:hint="eastAsia" w:ascii="Times New Roman" w:hAnsi="Times New Roman" w:eastAsia="方正小标宋简体" w:cs="方正小标宋简体"/>
          <w:color w:val="auto"/>
          <w:kern w:val="0"/>
          <w:sz w:val="44"/>
          <w:szCs w:val="44"/>
          <w:highlight w:val="none"/>
          <w:lang w:val="en-US" w:eastAsia="zh-CN"/>
        </w:rPr>
        <w:t>总部企业认定标准实施</w:t>
      </w:r>
      <w:r>
        <w:rPr>
          <w:rFonts w:hint="eastAsia" w:ascii="Times New Roman" w:hAnsi="Times New Roman" w:eastAsia="方正小标宋简体" w:cs="方正小标宋简体"/>
          <w:color w:val="auto"/>
          <w:kern w:val="0"/>
          <w:sz w:val="44"/>
          <w:szCs w:val="44"/>
          <w:highlight w:val="none"/>
        </w:rPr>
        <w:t>细则</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黑体" w:cs="黑体"/>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黑体" w:cs="黑体"/>
          <w:color w:val="auto"/>
          <w:kern w:val="0"/>
          <w:sz w:val="32"/>
          <w:szCs w:val="32"/>
          <w:highlight w:val="none"/>
          <w:lang w:val="en-US" w:eastAsia="zh-CN"/>
        </w:rPr>
      </w:pPr>
      <w:r>
        <w:rPr>
          <w:rFonts w:hint="eastAsia" w:ascii="Times New Roman" w:hAnsi="Times New Roman" w:eastAsia="黑体" w:cs="黑体"/>
          <w:color w:val="auto"/>
          <w:kern w:val="0"/>
          <w:sz w:val="32"/>
          <w:szCs w:val="32"/>
          <w:highlight w:val="none"/>
          <w:lang w:val="en-US" w:eastAsia="zh-CN"/>
        </w:rPr>
        <w:t>一、认定标准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楷体_GB2312"/>
          <w:color w:val="auto"/>
          <w:kern w:val="0"/>
          <w:sz w:val="32"/>
          <w:szCs w:val="32"/>
          <w:highlight w:val="none"/>
          <w:lang w:val="en-US" w:eastAsia="zh-CN"/>
        </w:rPr>
      </w:pPr>
      <w:r>
        <w:rPr>
          <w:rFonts w:hint="eastAsia" w:ascii="Times New Roman" w:hAnsi="Times New Roman" w:eastAsia="楷体_GB2312" w:cs="楷体_GB2312"/>
          <w:color w:val="auto"/>
          <w:kern w:val="0"/>
          <w:sz w:val="32"/>
          <w:szCs w:val="32"/>
          <w:highlight w:val="none"/>
          <w:lang w:val="en-US" w:eastAsia="zh-CN"/>
        </w:rPr>
        <w:t>（一） 基本条件</w:t>
      </w:r>
    </w:p>
    <w:p>
      <w:pPr>
        <w:pStyle w:val="1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1.</w:t>
      </w:r>
      <w:r>
        <w:rPr>
          <w:rFonts w:hint="eastAsia" w:ascii="Times New Roman" w:hAnsi="Times New Roman" w:eastAsia="仿宋_GB2312" w:cs="Times New Roman"/>
          <w:color w:val="auto"/>
          <w:kern w:val="0"/>
          <w:sz w:val="32"/>
          <w:szCs w:val="32"/>
          <w:highlight w:val="none"/>
          <w:lang w:val="en-US" w:eastAsia="zh-CN"/>
        </w:rPr>
        <w:t xml:space="preserve"> </w:t>
      </w:r>
      <w:r>
        <w:rPr>
          <w:rFonts w:hint="eastAsia" w:ascii="Times New Roman" w:hAnsi="Times New Roman" w:eastAsia="仿宋_GB2312" w:cs="Times New Roman"/>
          <w:color w:val="auto"/>
          <w:kern w:val="0"/>
          <w:sz w:val="32"/>
          <w:szCs w:val="32"/>
          <w:highlight w:val="none"/>
        </w:rPr>
        <w:t>202</w:t>
      </w:r>
      <w:r>
        <w:rPr>
          <w:rFonts w:hint="eastAsia" w:ascii="Times New Roman" w:hAnsi="Times New Roman" w:eastAsia="仿宋_GB2312" w:cs="Times New Roman"/>
          <w:color w:val="auto"/>
          <w:kern w:val="0"/>
          <w:sz w:val="32"/>
          <w:szCs w:val="32"/>
          <w:highlight w:val="none"/>
          <w:lang w:val="en-US" w:eastAsia="zh-CN"/>
        </w:rPr>
        <w:t>1</w:t>
      </w:r>
      <w:r>
        <w:rPr>
          <w:rFonts w:hint="eastAsia" w:ascii="Times New Roman" w:hAnsi="Times New Roman" w:eastAsia="仿宋_GB2312" w:cs="Times New Roman"/>
          <w:color w:val="auto"/>
          <w:kern w:val="0"/>
          <w:sz w:val="32"/>
          <w:szCs w:val="32"/>
          <w:highlight w:val="none"/>
        </w:rPr>
        <w:t>年1月1日以后在</w:t>
      </w:r>
      <w:r>
        <w:rPr>
          <w:rFonts w:hint="eastAsia" w:ascii="Times New Roman" w:hAnsi="Times New Roman" w:eastAsia="仿宋_GB2312" w:cs="Times New Roman"/>
          <w:color w:val="auto"/>
          <w:kern w:val="0"/>
          <w:sz w:val="32"/>
          <w:szCs w:val="32"/>
          <w:highlight w:val="none"/>
          <w:lang w:val="en-US" w:eastAsia="zh-CN"/>
        </w:rPr>
        <w:t>张店辖区内</w:t>
      </w:r>
      <w:r>
        <w:rPr>
          <w:rFonts w:hint="eastAsia" w:ascii="Times New Roman" w:hAnsi="Times New Roman" w:eastAsia="仿宋_GB2312" w:cs="Times New Roman"/>
          <w:color w:val="auto"/>
          <w:kern w:val="0"/>
          <w:sz w:val="32"/>
          <w:szCs w:val="32"/>
          <w:highlight w:val="none"/>
          <w:u w:val="none"/>
        </w:rPr>
        <w:t>工商注册和税务登记并</w:t>
      </w:r>
      <w:r>
        <w:rPr>
          <w:rFonts w:hint="eastAsia" w:ascii="Times New Roman" w:hAnsi="Times New Roman" w:eastAsia="仿宋_GB2312" w:cs="Times New Roman"/>
          <w:color w:val="auto"/>
          <w:kern w:val="0"/>
          <w:sz w:val="32"/>
          <w:szCs w:val="32"/>
          <w:highlight w:val="none"/>
        </w:rPr>
        <w:t>依法诚信经营的</w:t>
      </w:r>
      <w:r>
        <w:rPr>
          <w:rFonts w:hint="eastAsia" w:ascii="Times New Roman" w:hAnsi="Times New Roman" w:eastAsia="仿宋_GB2312" w:cs="Times New Roman"/>
          <w:color w:val="auto"/>
          <w:kern w:val="0"/>
          <w:sz w:val="32"/>
          <w:szCs w:val="32"/>
          <w:highlight w:val="none"/>
          <w:lang w:val="en-US" w:eastAsia="zh-CN"/>
        </w:rPr>
        <w:t>市外引进</w:t>
      </w:r>
      <w:r>
        <w:rPr>
          <w:rFonts w:hint="eastAsia" w:ascii="Times New Roman" w:hAnsi="Times New Roman" w:eastAsia="仿宋_GB2312" w:cs="Times New Roman"/>
          <w:color w:val="auto"/>
          <w:kern w:val="0"/>
          <w:sz w:val="32"/>
          <w:szCs w:val="32"/>
          <w:highlight w:val="none"/>
        </w:rPr>
        <w:t>企业；</w:t>
      </w:r>
    </w:p>
    <w:p>
      <w:pPr>
        <w:pStyle w:val="1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2.</w:t>
      </w:r>
      <w:r>
        <w:rPr>
          <w:rFonts w:hint="eastAsia" w:ascii="Times New Roman" w:hAnsi="Times New Roman" w:eastAsia="仿宋_GB2312" w:cs="Times New Roman"/>
          <w:color w:val="auto"/>
          <w:kern w:val="0"/>
          <w:sz w:val="32"/>
          <w:szCs w:val="32"/>
          <w:highlight w:val="none"/>
          <w:lang w:val="en-US" w:eastAsia="zh-CN"/>
        </w:rPr>
        <w:t xml:space="preserve"> </w:t>
      </w:r>
      <w:r>
        <w:rPr>
          <w:rFonts w:hint="eastAsia" w:ascii="Times New Roman" w:hAnsi="Times New Roman" w:eastAsia="仿宋_GB2312" w:cs="Times New Roman"/>
          <w:color w:val="auto"/>
          <w:kern w:val="0"/>
          <w:sz w:val="32"/>
          <w:szCs w:val="32"/>
          <w:highlight w:val="none"/>
        </w:rPr>
        <w:t>主要投资方</w:t>
      </w:r>
      <w:r>
        <w:rPr>
          <w:rFonts w:hint="eastAsia" w:ascii="Times New Roman" w:hAnsi="Times New Roman" w:eastAsia="仿宋_GB2312" w:cs="Times New Roman"/>
          <w:color w:val="auto"/>
          <w:kern w:val="0"/>
          <w:sz w:val="32"/>
          <w:szCs w:val="32"/>
          <w:highlight w:val="none"/>
          <w:lang w:val="en-US" w:eastAsia="zh-CN"/>
        </w:rPr>
        <w:t>在区外具</w:t>
      </w:r>
      <w:r>
        <w:rPr>
          <w:rFonts w:hint="eastAsia" w:ascii="Times New Roman" w:hAnsi="Times New Roman" w:eastAsia="仿宋_GB2312" w:cs="Times New Roman"/>
          <w:color w:val="auto"/>
          <w:kern w:val="0"/>
          <w:sz w:val="32"/>
          <w:szCs w:val="32"/>
          <w:highlight w:val="none"/>
        </w:rPr>
        <w:t>有</w:t>
      </w:r>
      <w:r>
        <w:rPr>
          <w:rFonts w:hint="eastAsia" w:ascii="Times New Roman" w:hAnsi="Times New Roman" w:eastAsia="仿宋_GB2312" w:cs="Times New Roman"/>
          <w:color w:val="auto"/>
          <w:kern w:val="0"/>
          <w:sz w:val="32"/>
          <w:szCs w:val="32"/>
          <w:highlight w:val="none"/>
          <w:lang w:val="en-US" w:eastAsia="zh-CN"/>
        </w:rPr>
        <w:t>或实际控制3</w:t>
      </w:r>
      <w:r>
        <w:rPr>
          <w:rFonts w:hint="eastAsia" w:ascii="Times New Roman" w:hAnsi="Times New Roman" w:eastAsia="仿宋_GB2312" w:cs="Times New Roman"/>
          <w:color w:val="auto"/>
          <w:kern w:val="0"/>
          <w:sz w:val="32"/>
          <w:szCs w:val="32"/>
          <w:highlight w:val="none"/>
        </w:rPr>
        <w:t>家以上分</w:t>
      </w:r>
      <w:r>
        <w:rPr>
          <w:rFonts w:hint="eastAsia" w:ascii="Times New Roman" w:hAnsi="Times New Roman" w:eastAsia="仿宋_GB2312" w:cs="Times New Roman"/>
          <w:color w:val="auto"/>
          <w:kern w:val="0"/>
          <w:sz w:val="32"/>
          <w:szCs w:val="32"/>
          <w:highlight w:val="none"/>
          <w:lang w:val="en-US" w:eastAsia="zh-CN"/>
        </w:rPr>
        <w:t>支机构或</w:t>
      </w:r>
      <w:r>
        <w:rPr>
          <w:rFonts w:hint="eastAsia" w:ascii="Times New Roman" w:hAnsi="Times New Roman" w:eastAsia="仿宋_GB2312" w:cs="Times New Roman"/>
          <w:color w:val="auto"/>
          <w:kern w:val="0"/>
          <w:sz w:val="32"/>
          <w:szCs w:val="32"/>
          <w:highlight w:val="none"/>
        </w:rPr>
        <w:t>子</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分</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rPr>
        <w:t>公司或10家以上连锁</w:t>
      </w:r>
      <w:r>
        <w:rPr>
          <w:rFonts w:hint="eastAsia" w:ascii="Times New Roman" w:hAnsi="Times New Roman" w:eastAsia="仿宋_GB2312" w:cs="Times New Roman"/>
          <w:color w:val="auto"/>
          <w:kern w:val="0"/>
          <w:sz w:val="32"/>
          <w:szCs w:val="32"/>
          <w:highlight w:val="none"/>
          <w:lang w:val="en-US" w:eastAsia="zh-CN" w:bidi="ar-SA"/>
        </w:rPr>
        <w:t>店，且区外业务收入占公司总收入比例不低于20%，并在我区设立了总部、省级以上区域总部或全国职能总部（金融及类金融类总部可放宽至市级以上；职能总部指运营、销售、设计、研发、金融投资等总部）</w:t>
      </w:r>
      <w:r>
        <w:rPr>
          <w:rFonts w:hint="eastAsia" w:ascii="Times New Roman" w:hAnsi="Times New Roman" w:eastAsia="仿宋_GB2312"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 w:cs="楷体"/>
          <w:bCs/>
          <w:color w:val="auto"/>
          <w:kern w:val="0"/>
          <w:sz w:val="32"/>
          <w:szCs w:val="32"/>
          <w:highlight w:val="none"/>
        </w:rPr>
      </w:pPr>
      <w:r>
        <w:rPr>
          <w:rFonts w:hint="eastAsia" w:ascii="Times New Roman" w:hAnsi="Times New Roman" w:eastAsia="楷体_GB2312" w:cs="楷体_GB2312"/>
          <w:color w:val="auto"/>
          <w:kern w:val="0"/>
          <w:sz w:val="32"/>
          <w:szCs w:val="32"/>
          <w:highlight w:val="none"/>
          <w:lang w:val="en-US" w:eastAsia="zh-CN"/>
        </w:rPr>
        <w:t>（二） 符合基本条件的基础上，主要投资方符合以下条件之一的可直接认定为总部企业（房地产类除外）</w:t>
      </w:r>
    </w:p>
    <w:p>
      <w:pPr>
        <w:pStyle w:val="1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val="en-US" w:eastAsia="zh-CN"/>
        </w:rPr>
        <w:t>1</w:t>
      </w:r>
      <w:r>
        <w:rPr>
          <w:rFonts w:hint="eastAsia"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 xml:space="preserve"> 属于上三年度内《财富》杂志、中国企业联合会、中国企业家协会、中国连锁经营协会等权威机构分别发布的</w:t>
      </w:r>
      <w:r>
        <w:rPr>
          <w:rFonts w:hint="eastAsia" w:ascii="Times New Roman" w:hAnsi="Times New Roman" w:eastAsia="仿宋_GB2312" w:cs="Times New Roman"/>
          <w:color w:val="auto"/>
          <w:kern w:val="0"/>
          <w:sz w:val="32"/>
          <w:szCs w:val="32"/>
          <w:highlight w:val="none"/>
        </w:rPr>
        <w:t>世界500强、中国企业500强、中国民营企业500强、中国连锁企业100强</w:t>
      </w:r>
      <w:r>
        <w:rPr>
          <w:rFonts w:hint="eastAsia" w:ascii="Times New Roman" w:hAnsi="Times New Roman" w:eastAsia="仿宋_GB2312" w:cs="Times New Roman"/>
          <w:color w:val="auto"/>
          <w:kern w:val="0"/>
          <w:sz w:val="32"/>
          <w:szCs w:val="32"/>
          <w:highlight w:val="none"/>
          <w:lang w:val="en-US" w:eastAsia="zh-CN"/>
        </w:rPr>
        <w:t>企业</w:t>
      </w:r>
      <w:r>
        <w:rPr>
          <w:rFonts w:hint="eastAsia" w:ascii="Times New Roman" w:hAnsi="Times New Roman" w:eastAsia="仿宋_GB2312" w:cs="Times New Roman"/>
          <w:color w:val="auto"/>
          <w:kern w:val="0"/>
          <w:sz w:val="32"/>
          <w:szCs w:val="32"/>
          <w:highlight w:val="none"/>
          <w:lang w:eastAsia="zh-CN"/>
        </w:rPr>
        <w:t>；</w:t>
      </w:r>
    </w:p>
    <w:p>
      <w:pPr>
        <w:pStyle w:val="1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val="en-US" w:eastAsia="zh-CN"/>
        </w:rPr>
        <w:t>2</w:t>
      </w:r>
      <w:r>
        <w:rPr>
          <w:rFonts w:hint="eastAsia"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 xml:space="preserve"> </w:t>
      </w:r>
      <w:r>
        <w:rPr>
          <w:rFonts w:hint="eastAsia" w:ascii="Times New Roman" w:hAnsi="Times New Roman" w:eastAsia="仿宋_GB2312" w:cs="Times New Roman"/>
          <w:color w:val="auto"/>
          <w:kern w:val="0"/>
          <w:sz w:val="32"/>
          <w:szCs w:val="32"/>
          <w:highlight w:val="none"/>
        </w:rPr>
        <w:t>沪深港交易所、境外主要交易所上市公司</w:t>
      </w:r>
      <w:r>
        <w:rPr>
          <w:rFonts w:hint="eastAsia" w:ascii="Times New Roman" w:hAnsi="Times New Roman" w:eastAsia="仿宋_GB2312" w:cs="Times New Roman"/>
          <w:color w:val="auto"/>
          <w:kern w:val="0"/>
          <w:sz w:val="32"/>
          <w:szCs w:val="32"/>
          <w:highlight w:val="none"/>
          <w:lang w:eastAsia="zh-CN"/>
        </w:rPr>
        <w:t>；</w:t>
      </w:r>
    </w:p>
    <w:p>
      <w:pPr>
        <w:pStyle w:val="1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3</w:t>
      </w:r>
      <w:r>
        <w:rPr>
          <w:rFonts w:hint="eastAsia"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 xml:space="preserve"> 国家和中央部门、省直管理的大企业（集团）；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楷体_GB2312"/>
          <w:color w:val="auto"/>
          <w:kern w:val="0"/>
          <w:sz w:val="32"/>
          <w:szCs w:val="32"/>
          <w:highlight w:val="none"/>
          <w:lang w:val="en-US" w:eastAsia="zh-CN"/>
        </w:rPr>
      </w:pPr>
      <w:r>
        <w:rPr>
          <w:rFonts w:hint="eastAsia" w:ascii="Times New Roman" w:hAnsi="Times New Roman" w:eastAsia="楷体_GB2312" w:cs="楷体_GB2312"/>
          <w:color w:val="auto"/>
          <w:kern w:val="0"/>
          <w:sz w:val="32"/>
          <w:szCs w:val="32"/>
          <w:highlight w:val="none"/>
          <w:lang w:val="en-US" w:eastAsia="zh-CN"/>
        </w:rPr>
        <w:t>（三） 未符合第二条规定的企业，在符合本办法第一条的基础上，同时达到以下认定标准条件的也可以申报总部企业。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bCs/>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 xml:space="preserve">1. </w:t>
      </w:r>
      <w:r>
        <w:rPr>
          <w:rFonts w:hint="eastAsia" w:ascii="Times New Roman" w:hAnsi="Times New Roman" w:eastAsia="仿宋_GB2312" w:cs="Times New Roman"/>
          <w:b/>
          <w:bCs/>
          <w:color w:val="auto"/>
          <w:kern w:val="0"/>
          <w:sz w:val="32"/>
          <w:szCs w:val="32"/>
          <w:highlight w:val="none"/>
          <w:lang w:val="en-US" w:eastAsia="zh-CN" w:bidi="ar-SA"/>
        </w:rPr>
        <w:t>现代农业总部企业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（1）上年度营业收入5000万元以上；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（2）上年度企业税收</w:t>
      </w:r>
      <w:r>
        <w:rPr>
          <w:rFonts w:hint="eastAsia" w:ascii="Times New Roman" w:hAnsi="Times New Roman" w:eastAsia="仿宋_GB2312" w:cs="Times New Roman"/>
          <w:color w:val="auto"/>
          <w:kern w:val="0"/>
          <w:sz w:val="32"/>
          <w:szCs w:val="32"/>
          <w:highlight w:val="none"/>
          <w:u w:val="none"/>
          <w:lang w:val="en-US" w:eastAsia="zh-CN" w:bidi="ar-SA"/>
        </w:rPr>
        <w:t>贡献500万元</w:t>
      </w:r>
      <w:r>
        <w:rPr>
          <w:rFonts w:hint="eastAsia" w:ascii="Times New Roman" w:hAnsi="Times New Roman" w:eastAsia="仿宋_GB2312" w:cs="Times New Roman"/>
          <w:color w:val="auto"/>
          <w:kern w:val="0"/>
          <w:sz w:val="32"/>
          <w:szCs w:val="32"/>
          <w:highlight w:val="none"/>
          <w:lang w:val="en-US" w:eastAsia="zh-CN" w:bidi="ar-SA"/>
        </w:rPr>
        <w:t>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 xml:space="preserve">2. </w:t>
      </w:r>
      <w:r>
        <w:rPr>
          <w:rFonts w:hint="eastAsia" w:ascii="Times New Roman" w:hAnsi="Times New Roman" w:eastAsia="仿宋_GB2312" w:cs="Times New Roman"/>
          <w:b/>
          <w:bCs/>
          <w:color w:val="auto"/>
          <w:kern w:val="0"/>
          <w:sz w:val="32"/>
          <w:szCs w:val="32"/>
          <w:highlight w:val="none"/>
          <w:lang w:val="en-US" w:eastAsia="zh-CN" w:bidi="ar-SA"/>
        </w:rPr>
        <w:t>高端制造业总部企业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（1）上年度营业收入5亿元以上；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（2）上年度企业税收贡献3000万元以上。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 xml:space="preserve">3. </w:t>
      </w:r>
      <w:r>
        <w:rPr>
          <w:rFonts w:hint="eastAsia" w:ascii="Times New Roman" w:hAnsi="Times New Roman" w:eastAsia="仿宋_GB2312" w:cs="Times New Roman"/>
          <w:b/>
          <w:bCs/>
          <w:color w:val="auto"/>
          <w:kern w:val="0"/>
          <w:sz w:val="32"/>
          <w:szCs w:val="32"/>
          <w:highlight w:val="none"/>
          <w:lang w:val="en-US" w:eastAsia="zh-CN" w:bidi="ar-SA"/>
        </w:rPr>
        <w:t>新兴生产性服务业（信息传输、软件和信息技术业，科学研究和技术服务业，租赁和商务服务业）总部企业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（1）上年度营业收入1亿元以上；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（2）上年度企业税收贡献1000万元以上。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 xml:space="preserve">4. </w:t>
      </w:r>
      <w:r>
        <w:rPr>
          <w:rFonts w:hint="eastAsia" w:ascii="Times New Roman" w:hAnsi="Times New Roman" w:eastAsia="仿宋_GB2312" w:cs="Times New Roman"/>
          <w:b/>
          <w:bCs/>
          <w:color w:val="auto"/>
          <w:kern w:val="0"/>
          <w:sz w:val="32"/>
          <w:szCs w:val="32"/>
          <w:highlight w:val="none"/>
          <w:lang w:val="en-US" w:eastAsia="zh-CN" w:bidi="ar-SA"/>
        </w:rPr>
        <w:t>高端生活性服务业（住宿、餐饮、零售业）总部企业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（1）上年度营业收入5000万元以上；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（2）上年度企业税收贡献500万元以上。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bCs/>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 xml:space="preserve">5. </w:t>
      </w:r>
      <w:r>
        <w:rPr>
          <w:rFonts w:hint="eastAsia" w:ascii="Times New Roman" w:hAnsi="Times New Roman" w:eastAsia="仿宋_GB2312" w:cs="Times New Roman"/>
          <w:b/>
          <w:bCs/>
          <w:color w:val="auto"/>
          <w:kern w:val="0"/>
          <w:sz w:val="32"/>
          <w:szCs w:val="32"/>
          <w:highlight w:val="none"/>
          <w:lang w:val="en-US" w:eastAsia="zh-CN" w:bidi="ar-SA"/>
        </w:rPr>
        <w:t>金融（类金融）业总部企业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（1）经国家金融监管部门批准设立的法人金融机构以及法人金融机构的职能总部、运营总部、后台服务中心；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（2）银行市级以上（含市级）分行以及上年度企业税收贡献800万元以上的保险公司市级以上（含市级）分公司；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（3）上年度企业税收贡献500万元以上的证券、期货市级以上（含市级）分公司、保险中介机构及取得地方金融监管部门核</w:t>
      </w:r>
      <w:r>
        <w:rPr>
          <w:rFonts w:hint="eastAsia" w:ascii="Times New Roman" w:hAnsi="Times New Roman" w:eastAsia="仿宋_GB2312" w:cs="Times New Roman"/>
          <w:b w:val="0"/>
          <w:bCs w:val="0"/>
          <w:color w:val="auto"/>
          <w:kern w:val="0"/>
          <w:sz w:val="32"/>
          <w:szCs w:val="32"/>
          <w:highlight w:val="none"/>
          <w:lang w:val="en-US" w:eastAsia="zh-CN" w:bidi="ar-SA"/>
        </w:rPr>
        <w:t>发业务许</w:t>
      </w:r>
      <w:r>
        <w:rPr>
          <w:rFonts w:hint="eastAsia" w:ascii="Times New Roman" w:hAnsi="Times New Roman" w:eastAsia="仿宋_GB2312" w:cs="Times New Roman"/>
          <w:color w:val="auto"/>
          <w:kern w:val="0"/>
          <w:sz w:val="32"/>
          <w:szCs w:val="32"/>
          <w:highlight w:val="none"/>
          <w:lang w:val="en-US" w:eastAsia="zh-CN" w:bidi="ar-SA"/>
        </w:rPr>
        <w:t>可证的地方金融组织。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bCs/>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 xml:space="preserve">6. </w:t>
      </w:r>
      <w:r>
        <w:rPr>
          <w:rFonts w:hint="eastAsia" w:ascii="Times New Roman" w:hAnsi="Times New Roman" w:eastAsia="仿宋_GB2312" w:cs="Times New Roman"/>
          <w:b/>
          <w:bCs/>
          <w:color w:val="auto"/>
          <w:kern w:val="0"/>
          <w:sz w:val="32"/>
          <w:szCs w:val="32"/>
          <w:highlight w:val="none"/>
          <w:lang w:val="en-US" w:eastAsia="zh-CN" w:bidi="ar-SA"/>
        </w:rPr>
        <w:t>医药康养总部企业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w:t>
      </w:r>
      <w:r>
        <w:rPr>
          <w:rFonts w:hint="eastAsia" w:ascii="Times New Roman" w:hAnsi="Times New Roman" w:eastAsia="仿宋_GB2312" w:cs="Times New Roman"/>
          <w:color w:val="auto"/>
          <w:kern w:val="0"/>
          <w:sz w:val="32"/>
          <w:szCs w:val="32"/>
          <w:highlight w:val="none"/>
          <w:u w:val="none"/>
          <w:lang w:val="en-US" w:eastAsia="zh-CN" w:bidi="ar-SA"/>
        </w:rPr>
        <w:t>上年度营业收入1亿元以上；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bidi="ar-SA"/>
        </w:rPr>
        <w:t>（2）</w:t>
      </w:r>
      <w:r>
        <w:rPr>
          <w:rFonts w:hint="eastAsia" w:ascii="Times New Roman" w:hAnsi="Times New Roman" w:eastAsia="仿宋_GB2312" w:cs="Times New Roman"/>
          <w:color w:val="auto"/>
          <w:kern w:val="0"/>
          <w:sz w:val="32"/>
          <w:szCs w:val="32"/>
          <w:highlight w:val="none"/>
          <w:u w:val="none"/>
          <w:lang w:val="en-US" w:eastAsia="zh-CN" w:bidi="ar-SA"/>
        </w:rPr>
        <w:t>上年度企业税收贡献2000万元以上。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 xml:space="preserve">7. </w:t>
      </w:r>
      <w:r>
        <w:rPr>
          <w:rFonts w:hint="eastAsia" w:ascii="Times New Roman" w:hAnsi="Times New Roman" w:eastAsia="仿宋_GB2312" w:cs="Times New Roman"/>
          <w:b/>
          <w:bCs/>
          <w:color w:val="auto"/>
          <w:kern w:val="0"/>
          <w:sz w:val="32"/>
          <w:szCs w:val="32"/>
          <w:highlight w:val="none"/>
          <w:lang w:val="en-US" w:eastAsia="zh-CN" w:bidi="ar-SA"/>
        </w:rPr>
        <w:t>现代交通物流业总部企业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（1）上年度营业收入1亿元以上；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（2）上年度企业税收贡献1000万元以上。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 xml:space="preserve">8. </w:t>
      </w:r>
      <w:r>
        <w:rPr>
          <w:rFonts w:hint="eastAsia" w:ascii="Times New Roman" w:hAnsi="Times New Roman" w:eastAsia="仿宋_GB2312" w:cs="Times New Roman"/>
          <w:b/>
          <w:bCs/>
          <w:color w:val="auto"/>
          <w:kern w:val="0"/>
          <w:sz w:val="32"/>
          <w:szCs w:val="32"/>
          <w:highlight w:val="none"/>
          <w:lang w:val="en-US" w:eastAsia="zh-CN" w:bidi="ar-SA"/>
        </w:rPr>
        <w:t>文化、体育和娱乐业（含旅游业）总部企业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（1）上年度营业收入5000万元以上；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（2）上年度企业税收贡献500万元以上。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 xml:space="preserve">9. </w:t>
      </w:r>
      <w:r>
        <w:rPr>
          <w:rFonts w:hint="eastAsia" w:ascii="Times New Roman" w:hAnsi="Times New Roman" w:eastAsia="仿宋_GB2312" w:cs="Times New Roman"/>
          <w:b/>
          <w:bCs/>
          <w:color w:val="auto"/>
          <w:kern w:val="0"/>
          <w:sz w:val="32"/>
          <w:szCs w:val="32"/>
          <w:highlight w:val="none"/>
          <w:lang w:val="en-US" w:eastAsia="zh-CN" w:bidi="ar-SA"/>
        </w:rPr>
        <w:t>大型房地产业总部企业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（1）上年度营业收入10亿元以上；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（2）上年度企业税收贡献2亿元以上。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 xml:space="preserve">10. </w:t>
      </w:r>
      <w:r>
        <w:rPr>
          <w:rFonts w:hint="eastAsia" w:ascii="Times New Roman" w:hAnsi="Times New Roman" w:eastAsia="仿宋_GB2312" w:cs="Times New Roman"/>
          <w:b/>
          <w:bCs/>
          <w:color w:val="auto"/>
          <w:kern w:val="0"/>
          <w:sz w:val="32"/>
          <w:szCs w:val="32"/>
          <w:highlight w:val="none"/>
          <w:lang w:val="en-US" w:eastAsia="zh-CN" w:bidi="ar-SA"/>
        </w:rPr>
        <w:t>其他总部企业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（1）上年度营业收入3亿元以上；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（2）上年度企业税收贡献3000万元以上。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楷体_GB2312"/>
          <w:color w:val="auto"/>
          <w:kern w:val="0"/>
          <w:sz w:val="32"/>
          <w:szCs w:val="32"/>
          <w:highlight w:val="none"/>
          <w:lang w:val="en-US" w:eastAsia="zh-CN"/>
        </w:rPr>
      </w:pPr>
      <w:r>
        <w:rPr>
          <w:rFonts w:hint="eastAsia" w:ascii="Times New Roman" w:hAnsi="Times New Roman" w:eastAsia="楷体_GB2312" w:cs="楷体_GB2312"/>
          <w:color w:val="auto"/>
          <w:kern w:val="0"/>
          <w:sz w:val="32"/>
          <w:szCs w:val="32"/>
          <w:highlight w:val="none"/>
          <w:lang w:val="en-US" w:eastAsia="zh-CN"/>
        </w:rPr>
        <w:t>（四）特定条件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黑体"/>
          <w:color w:val="auto"/>
          <w:kern w:val="0"/>
          <w:sz w:val="32"/>
          <w:szCs w:val="32"/>
          <w:highlight w:val="none"/>
          <w:lang w:val="en-US" w:eastAsia="zh-CN"/>
        </w:rPr>
      </w:pPr>
      <w:r>
        <w:rPr>
          <w:rFonts w:hint="eastAsia" w:ascii="Times New Roman" w:hAnsi="Times New Roman" w:eastAsia="仿宋_GB2312"/>
          <w:snapToGrid w:val="0"/>
          <w:color w:val="auto"/>
          <w:kern w:val="0"/>
          <w:sz w:val="32"/>
          <w:szCs w:val="32"/>
          <w:highlight w:val="none"/>
        </w:rPr>
        <w:t>在我区</w:t>
      </w:r>
      <w:r>
        <w:rPr>
          <w:rFonts w:hint="eastAsia" w:ascii="Times New Roman" w:hAnsi="Times New Roman" w:eastAsia="仿宋_GB2312"/>
          <w:snapToGrid w:val="0"/>
          <w:color w:val="auto"/>
          <w:kern w:val="0"/>
          <w:sz w:val="32"/>
          <w:szCs w:val="32"/>
          <w:highlight w:val="none"/>
          <w:lang w:val="en-US" w:eastAsia="zh-CN"/>
        </w:rPr>
        <w:t>办公</w:t>
      </w:r>
      <w:r>
        <w:rPr>
          <w:rFonts w:hint="eastAsia" w:ascii="Times New Roman" w:hAnsi="Times New Roman" w:eastAsia="仿宋_GB2312"/>
          <w:snapToGrid w:val="0"/>
          <w:color w:val="auto"/>
          <w:kern w:val="0"/>
          <w:sz w:val="32"/>
          <w:szCs w:val="32"/>
          <w:highlight w:val="none"/>
        </w:rPr>
        <w:t>的特定总部</w:t>
      </w:r>
      <w:r>
        <w:rPr>
          <w:rFonts w:hint="eastAsia" w:ascii="Times New Roman" w:hAnsi="Times New Roman" w:eastAsia="仿宋_GB2312"/>
          <w:snapToGrid w:val="0"/>
          <w:color w:val="auto"/>
          <w:kern w:val="0"/>
          <w:sz w:val="32"/>
          <w:szCs w:val="32"/>
          <w:highlight w:val="none"/>
          <w:lang w:eastAsia="zh-CN"/>
        </w:rPr>
        <w:t>、</w:t>
      </w:r>
      <w:r>
        <w:rPr>
          <w:rFonts w:hint="eastAsia" w:ascii="Times New Roman" w:hAnsi="Times New Roman" w:eastAsia="仿宋_GB2312"/>
          <w:snapToGrid w:val="0"/>
          <w:color w:val="auto"/>
          <w:kern w:val="0"/>
          <w:sz w:val="32"/>
          <w:szCs w:val="32"/>
          <w:highlight w:val="none"/>
        </w:rPr>
        <w:t>新型业态总部</w:t>
      </w:r>
      <w:r>
        <w:rPr>
          <w:rFonts w:hint="eastAsia" w:ascii="Times New Roman" w:hAnsi="Times New Roman" w:eastAsia="仿宋_GB2312"/>
          <w:snapToGrid w:val="0"/>
          <w:color w:val="auto"/>
          <w:kern w:val="0"/>
          <w:sz w:val="32"/>
          <w:szCs w:val="32"/>
          <w:highlight w:val="none"/>
          <w:lang w:eastAsia="zh-CN"/>
        </w:rPr>
        <w:t>、</w:t>
      </w:r>
      <w:r>
        <w:rPr>
          <w:rFonts w:hint="eastAsia" w:ascii="Times New Roman" w:hAnsi="Times New Roman" w:eastAsia="仿宋_GB2312"/>
          <w:snapToGrid w:val="0"/>
          <w:color w:val="auto"/>
          <w:kern w:val="0"/>
          <w:sz w:val="32"/>
          <w:szCs w:val="32"/>
          <w:highlight w:val="none"/>
        </w:rPr>
        <w:t>实际履行地区总部职</w:t>
      </w:r>
      <w:r>
        <w:rPr>
          <w:rFonts w:hint="eastAsia" w:ascii="Times New Roman" w:hAnsi="Times New Roman" w:eastAsia="仿宋_GB2312"/>
          <w:snapToGrid w:val="0"/>
          <w:color w:val="auto"/>
          <w:kern w:val="0"/>
          <w:sz w:val="32"/>
          <w:szCs w:val="32"/>
          <w:highlight w:val="none"/>
          <w:lang w:val="en-US" w:eastAsia="zh-CN"/>
        </w:rPr>
        <w:t>能的；</w:t>
      </w:r>
      <w:r>
        <w:rPr>
          <w:rFonts w:hint="eastAsia" w:ascii="Times New Roman" w:hAnsi="Times New Roman" w:eastAsia="仿宋_GB2312"/>
          <w:snapToGrid w:val="0"/>
          <w:color w:val="auto"/>
          <w:kern w:val="0"/>
          <w:sz w:val="32"/>
          <w:szCs w:val="32"/>
          <w:highlight w:val="none"/>
        </w:rPr>
        <w:t>符合</w:t>
      </w:r>
      <w:r>
        <w:rPr>
          <w:rFonts w:hint="eastAsia" w:ascii="Times New Roman" w:hAnsi="Times New Roman" w:eastAsia="仿宋_GB2312"/>
          <w:snapToGrid w:val="0"/>
          <w:color w:val="auto"/>
          <w:kern w:val="0"/>
          <w:sz w:val="32"/>
          <w:szCs w:val="32"/>
          <w:highlight w:val="none"/>
          <w:lang w:val="en-US" w:eastAsia="zh-CN"/>
        </w:rPr>
        <w:t>省会经济圈一体化战略，我</w:t>
      </w:r>
      <w:r>
        <w:rPr>
          <w:rFonts w:hint="eastAsia" w:ascii="Times New Roman" w:hAnsi="Times New Roman" w:eastAsia="仿宋_GB2312"/>
          <w:snapToGrid w:val="0"/>
          <w:color w:val="auto"/>
          <w:kern w:val="0"/>
          <w:sz w:val="32"/>
          <w:szCs w:val="32"/>
          <w:highlight w:val="none"/>
        </w:rPr>
        <w:t>市重点发展</w:t>
      </w:r>
      <w:r>
        <w:rPr>
          <w:rFonts w:hint="eastAsia" w:ascii="Times New Roman" w:hAnsi="Times New Roman" w:eastAsia="仿宋_GB2312"/>
          <w:snapToGrid w:val="0"/>
          <w:color w:val="auto"/>
          <w:kern w:val="0"/>
          <w:sz w:val="32"/>
          <w:szCs w:val="32"/>
          <w:highlight w:val="none"/>
          <w:lang w:val="en-US" w:eastAsia="zh-CN"/>
        </w:rPr>
        <w:t>的</w:t>
      </w:r>
      <w:r>
        <w:rPr>
          <w:rFonts w:hint="eastAsia" w:ascii="Times New Roman" w:hAnsi="Times New Roman" w:eastAsia="仿宋_GB2312"/>
          <w:snapToGrid w:val="0"/>
          <w:color w:val="auto"/>
          <w:kern w:val="0"/>
          <w:sz w:val="32"/>
          <w:szCs w:val="32"/>
          <w:highlight w:val="none"/>
        </w:rPr>
        <w:t>新型功能材料、先进结构材料、化学新药及高端医疗器械、陶琉文化创意等产业</w:t>
      </w:r>
      <w:r>
        <w:rPr>
          <w:rFonts w:hint="eastAsia" w:ascii="Times New Roman" w:hAnsi="Times New Roman" w:eastAsia="仿宋_GB2312"/>
          <w:snapToGrid w:val="0"/>
          <w:color w:val="auto"/>
          <w:kern w:val="0"/>
          <w:sz w:val="32"/>
          <w:szCs w:val="32"/>
          <w:highlight w:val="none"/>
          <w:lang w:val="en-US" w:eastAsia="zh-CN"/>
        </w:rPr>
        <w:t>的</w:t>
      </w:r>
      <w:r>
        <w:rPr>
          <w:rFonts w:hint="eastAsia" w:ascii="Times New Roman" w:hAnsi="Times New Roman" w:eastAsia="仿宋_GB2312"/>
          <w:snapToGrid w:val="0"/>
          <w:color w:val="auto"/>
          <w:kern w:val="0"/>
          <w:sz w:val="32"/>
          <w:szCs w:val="32"/>
          <w:highlight w:val="none"/>
          <w:lang w:eastAsia="zh-CN"/>
        </w:rPr>
        <w:t>；</w:t>
      </w:r>
      <w:r>
        <w:rPr>
          <w:rFonts w:hint="eastAsia" w:ascii="Times New Roman" w:hAnsi="Times New Roman" w:eastAsia="仿宋_GB2312"/>
          <w:snapToGrid w:val="0"/>
          <w:color w:val="auto"/>
          <w:kern w:val="0"/>
          <w:sz w:val="32"/>
          <w:szCs w:val="32"/>
          <w:highlight w:val="none"/>
          <w:lang w:val="en-US" w:eastAsia="zh-CN"/>
        </w:rPr>
        <w:t>对本地经济增长贡献大，对当地产业发展</w:t>
      </w:r>
      <w:r>
        <w:rPr>
          <w:rFonts w:hint="eastAsia" w:ascii="Times New Roman" w:hAnsi="Times New Roman" w:eastAsia="仿宋_GB2312"/>
          <w:snapToGrid w:val="0"/>
          <w:color w:val="auto"/>
          <w:kern w:val="0"/>
          <w:sz w:val="32"/>
          <w:szCs w:val="32"/>
          <w:highlight w:val="none"/>
        </w:rPr>
        <w:t>具有重大支撑作用</w:t>
      </w:r>
      <w:r>
        <w:rPr>
          <w:rFonts w:hint="eastAsia" w:ascii="Times New Roman" w:hAnsi="Times New Roman" w:eastAsia="仿宋_GB2312"/>
          <w:snapToGrid w:val="0"/>
          <w:color w:val="auto"/>
          <w:kern w:val="0"/>
          <w:sz w:val="32"/>
          <w:szCs w:val="32"/>
          <w:highlight w:val="none"/>
          <w:lang w:val="en-US" w:eastAsia="zh-CN"/>
        </w:rPr>
        <w:t>的</w:t>
      </w:r>
      <w:r>
        <w:rPr>
          <w:rFonts w:hint="eastAsia" w:ascii="Times New Roman" w:hAnsi="Times New Roman" w:eastAsia="仿宋_GB2312"/>
          <w:snapToGrid w:val="0"/>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bidi="ar-SA"/>
        </w:rPr>
        <w:t>在总部企业认定上</w:t>
      </w:r>
      <w:r>
        <w:rPr>
          <w:rFonts w:hint="eastAsia" w:ascii="Times New Roman" w:hAnsi="Times New Roman" w:eastAsia="仿宋_GB2312"/>
          <w:snapToGrid w:val="0"/>
          <w:color w:val="auto"/>
          <w:kern w:val="0"/>
          <w:sz w:val="32"/>
          <w:szCs w:val="32"/>
          <w:highlight w:val="none"/>
        </w:rPr>
        <w:t>可以“一事一议”</w:t>
      </w:r>
      <w:r>
        <w:rPr>
          <w:rFonts w:hint="eastAsia" w:ascii="Times New Roman" w:hAnsi="Times New Roman" w:eastAsia="仿宋_GB2312"/>
          <w:b w:val="0"/>
          <w:bCs w:val="0"/>
          <w:snapToGrid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黑体"/>
          <w:b/>
          <w:color w:val="auto"/>
          <w:kern w:val="0"/>
          <w:sz w:val="32"/>
          <w:szCs w:val="32"/>
          <w:highlight w:val="none"/>
        </w:rPr>
      </w:pPr>
      <w:r>
        <w:rPr>
          <w:rFonts w:hint="eastAsia" w:ascii="Times New Roman" w:hAnsi="Times New Roman" w:eastAsia="黑体" w:cs="黑体"/>
          <w:color w:val="auto"/>
          <w:kern w:val="0"/>
          <w:sz w:val="32"/>
          <w:szCs w:val="32"/>
          <w:highlight w:val="none"/>
          <w:lang w:val="en-US" w:eastAsia="zh-CN"/>
        </w:rPr>
        <w:t>二、申报及审核流程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rPr>
        <w:t>每年进行一次评审认定</w:t>
      </w:r>
      <w:r>
        <w:rPr>
          <w:rFonts w:hint="eastAsia" w:ascii="Times New Roman" w:hAnsi="Times New Roman" w:eastAsia="仿宋_GB2312" w:cs="Times New Roman"/>
          <w:color w:val="auto"/>
          <w:kern w:val="0"/>
          <w:sz w:val="32"/>
          <w:szCs w:val="32"/>
          <w:highlight w:val="none"/>
          <w:lang w:val="en-US" w:eastAsia="zh-CN" w:bidi="ar-SA"/>
        </w:rPr>
        <w:t>。申请总部认定的企业应于每年第1季度向所在镇办报送申报材料，镇办汇总梳理后于4月份前报送区服务业发展中心，区服务业发展中心原则上于7月份前确定上年度总部企业。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楷体_GB2312" w:cs="楷体_GB2312"/>
          <w:color w:val="auto"/>
          <w:kern w:val="0"/>
          <w:sz w:val="32"/>
          <w:szCs w:val="32"/>
          <w:highlight w:val="none"/>
          <w:lang w:val="en-US" w:eastAsia="zh-CN"/>
        </w:rPr>
        <w:t>（一）报送材料。</w:t>
      </w:r>
      <w:r>
        <w:rPr>
          <w:rFonts w:hint="eastAsia" w:ascii="Times New Roman" w:hAnsi="Times New Roman" w:eastAsia="仿宋_GB2312" w:cs="Times New Roman"/>
          <w:color w:val="auto"/>
          <w:kern w:val="0"/>
          <w:sz w:val="32"/>
          <w:szCs w:val="32"/>
          <w:highlight w:val="none"/>
          <w:lang w:val="en-US" w:eastAsia="zh-CN"/>
        </w:rPr>
        <w:t>申请总部认定的企业，需向注册地所在辖区镇、街道提交以下材料：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1. 《张店区总部企业认定申请表》；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 企业营业执照和税务登记证；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3. 经会计师事务所出具的本企业验资报告和年度报告；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4. 本地税务部门出具的企业上年度的完税证明、本企业上年度的营业收入证明；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5. 企业投资方控股投资或被授权管理和服务的企业名单，并附企业营业执照和税务登记证及验资报告复印件；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6. 企业法定代表人签署的设立总部及履行有关职能的说明。内容包括企业与控股投资或被授权提供管理和服务的企业之间的关联关系、组织架构、职能分配、纳税办法、业务收入占比等事宜的陈述和必要承诺，其中如果拟设立的跨国公司地区总部只管理或服务我国境内（跨省区域）的关联企业，则应说明母公司在全球其他地区或我国其他地区设立类似总部企业的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7. 如符合直接认定条件的，提供相关证明资料。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（上述材料中，除1、6项需收原件外，各类证照、证明和审计报告均收复印件、验原件。）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楷体_GB2312" w:cs="楷体_GB2312"/>
          <w:color w:val="auto"/>
          <w:kern w:val="0"/>
          <w:sz w:val="32"/>
          <w:szCs w:val="32"/>
          <w:highlight w:val="none"/>
          <w:lang w:val="en-US" w:eastAsia="zh-CN"/>
        </w:rPr>
        <w:t>（二）初审。</w:t>
      </w:r>
      <w:r>
        <w:rPr>
          <w:rFonts w:hint="eastAsia" w:ascii="Times New Roman" w:hAnsi="Times New Roman" w:eastAsia="仿宋_GB2312" w:cs="Times New Roman"/>
          <w:color w:val="auto"/>
          <w:kern w:val="0"/>
          <w:sz w:val="32"/>
          <w:szCs w:val="32"/>
          <w:highlight w:val="none"/>
          <w:lang w:val="en-US" w:eastAsia="zh-CN"/>
        </w:rPr>
        <w:t>各镇、街道收到企业申请材料后进行核实，提出初审意见汇总后，按规定时间报区服务业发展中心。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楷体_GB2312" w:cs="楷体_GB2312"/>
          <w:color w:val="auto"/>
          <w:kern w:val="0"/>
          <w:sz w:val="32"/>
          <w:szCs w:val="32"/>
          <w:highlight w:val="none"/>
          <w:lang w:val="en-US" w:eastAsia="zh-CN"/>
        </w:rPr>
        <w:t>（三）复审。</w:t>
      </w:r>
      <w:r>
        <w:rPr>
          <w:rFonts w:hint="eastAsia" w:ascii="Times New Roman" w:hAnsi="Times New Roman" w:eastAsia="仿宋_GB2312" w:cs="Times New Roman"/>
          <w:color w:val="auto"/>
          <w:kern w:val="0"/>
          <w:sz w:val="32"/>
          <w:szCs w:val="32"/>
          <w:highlight w:val="none"/>
          <w:lang w:val="en-US" w:eastAsia="zh-CN"/>
        </w:rPr>
        <w:t>区服务业发展中心对各镇、街道汇总上报的企业申报材料委托第三方中介机构审核进行复审，必要时复审可根据企业具体情况进行实地调查。有需要时可将企业申报材料转区有关部门审核把关，有关部门应对企业申报的材料在10个工作日内提出审核意见，区服务业发展中心根据相关部门和专业第三方提交的审核意见，综合提出复审意见并报区财政局最终确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楷体_GB2312" w:cs="楷体_GB2312"/>
          <w:color w:val="auto"/>
          <w:kern w:val="0"/>
          <w:sz w:val="32"/>
          <w:szCs w:val="32"/>
          <w:highlight w:val="none"/>
          <w:lang w:val="en-US" w:eastAsia="zh-CN"/>
        </w:rPr>
        <w:t>（四）公示。</w:t>
      </w:r>
      <w:r>
        <w:rPr>
          <w:rFonts w:hint="eastAsia" w:ascii="Times New Roman" w:hAnsi="Times New Roman" w:eastAsia="仿宋_GB2312" w:cs="Times New Roman"/>
          <w:color w:val="auto"/>
          <w:kern w:val="0"/>
          <w:sz w:val="32"/>
          <w:szCs w:val="32"/>
          <w:highlight w:val="none"/>
          <w:lang w:val="en-US" w:eastAsia="zh-CN"/>
        </w:rPr>
        <w:t>经复审准予认定通过的企业名单，在政务网站公示7天。公示无异议的，准予通过。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楷体_GB2312" w:cs="楷体_GB2312"/>
          <w:color w:val="auto"/>
          <w:kern w:val="0"/>
          <w:sz w:val="32"/>
          <w:szCs w:val="32"/>
          <w:highlight w:val="none"/>
          <w:lang w:val="en-US" w:eastAsia="zh-CN"/>
        </w:rPr>
        <w:t>（五）资金兑现。</w:t>
      </w:r>
      <w:r>
        <w:rPr>
          <w:rFonts w:hint="eastAsia" w:ascii="Times New Roman" w:hAnsi="Times New Roman" w:eastAsia="仿宋_GB2312" w:cs="Times New Roman"/>
          <w:color w:val="auto"/>
          <w:kern w:val="0"/>
          <w:sz w:val="32"/>
          <w:szCs w:val="32"/>
          <w:highlight w:val="none"/>
          <w:lang w:val="en-US" w:eastAsia="zh-CN"/>
        </w:rPr>
        <w:t>公示通过后，由区财政局安排资金及时拨付兑现到企业账户。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黑体"/>
          <w:color w:val="auto"/>
          <w:kern w:val="0"/>
          <w:sz w:val="32"/>
          <w:szCs w:val="32"/>
          <w:highlight w:val="none"/>
          <w:lang w:val="en-US" w:eastAsia="zh-CN"/>
        </w:rPr>
      </w:pPr>
      <w:r>
        <w:rPr>
          <w:rFonts w:hint="eastAsia" w:ascii="Times New Roman" w:hAnsi="Times New Roman" w:eastAsia="黑体" w:cs="黑体"/>
          <w:color w:val="auto"/>
          <w:kern w:val="0"/>
          <w:sz w:val="32"/>
          <w:szCs w:val="32"/>
          <w:highlight w:val="none"/>
          <w:lang w:val="en-US" w:eastAsia="zh-CN"/>
        </w:rPr>
        <w:t>三、监督管理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楷体_GB2312" w:cs="楷体_GB2312"/>
          <w:color w:val="auto"/>
          <w:kern w:val="0"/>
          <w:sz w:val="32"/>
          <w:szCs w:val="32"/>
          <w:highlight w:val="none"/>
          <w:lang w:val="en-US" w:eastAsia="zh-CN"/>
        </w:rPr>
        <w:t>（一）</w:t>
      </w:r>
      <w:r>
        <w:rPr>
          <w:rFonts w:hint="eastAsia" w:ascii="Times New Roman" w:hAnsi="Times New Roman" w:eastAsia="仿宋_GB2312" w:cs="Times New Roman"/>
          <w:color w:val="auto"/>
          <w:kern w:val="0"/>
          <w:sz w:val="32"/>
          <w:szCs w:val="32"/>
          <w:highlight w:val="none"/>
          <w:lang w:val="en-US" w:eastAsia="zh-CN"/>
        </w:rPr>
        <w:t xml:space="preserve"> 总部企业应认真履行企业应尽义务，积极配合政府部门做好调查、统计等工作。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楷体_GB2312" w:cs="楷体_GB2312"/>
          <w:color w:val="auto"/>
          <w:kern w:val="0"/>
          <w:sz w:val="32"/>
          <w:szCs w:val="32"/>
          <w:highlight w:val="none"/>
          <w:lang w:val="en-US" w:eastAsia="zh-CN"/>
        </w:rPr>
        <w:t>（二）</w:t>
      </w:r>
      <w:r>
        <w:rPr>
          <w:rFonts w:hint="eastAsia" w:ascii="Times New Roman" w:hAnsi="Times New Roman" w:eastAsia="仿宋_GB2312" w:cs="Times New Roman"/>
          <w:color w:val="auto"/>
          <w:kern w:val="0"/>
          <w:sz w:val="32"/>
          <w:szCs w:val="32"/>
          <w:highlight w:val="none"/>
          <w:lang w:val="en-US" w:eastAsia="zh-CN"/>
        </w:rPr>
        <w:t>认定企业弄虚作假，采取欺骗手段的，经查证属实，不予认定，五年内不得再申请总部企业认定。对骗取、挪用、截留总部企业奖励补助资金等违法、违规行为的单位和个人，由有关部门按照《财政违法行为处罚处分条例》（国务院令第427号）等规定查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楷体_GB2312" w:cs="楷体_GB2312"/>
          <w:color w:val="auto"/>
          <w:kern w:val="0"/>
          <w:sz w:val="32"/>
          <w:szCs w:val="32"/>
          <w:highlight w:val="none"/>
          <w:lang w:val="en-US" w:eastAsia="zh-CN"/>
        </w:rPr>
        <w:t>（三）</w:t>
      </w:r>
      <w:r>
        <w:rPr>
          <w:rFonts w:hint="eastAsia" w:ascii="Times New Roman" w:hAnsi="Times New Roman" w:eastAsia="仿宋_GB2312" w:cs="Times New Roman"/>
          <w:color w:val="auto"/>
          <w:kern w:val="0"/>
          <w:sz w:val="32"/>
          <w:szCs w:val="32"/>
          <w:highlight w:val="none"/>
          <w:lang w:val="en-US" w:eastAsia="zh-CN"/>
        </w:rPr>
        <w:t>经认定的总部企业在享受鼓励政策期间有减资行为的，须及时向属地镇、街道申报，并进行重新评估。不再符合条件的，取消总部企业资格，自减资之日停止享受相关政策；依然符合条件的，重新核算享受政策额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楷体_GB2312" w:cs="楷体_GB2312"/>
          <w:color w:val="auto"/>
          <w:kern w:val="0"/>
          <w:sz w:val="32"/>
          <w:szCs w:val="32"/>
          <w:highlight w:val="none"/>
          <w:lang w:val="en-US" w:eastAsia="zh-CN"/>
        </w:rPr>
        <w:t>（四）</w:t>
      </w:r>
      <w:r>
        <w:rPr>
          <w:rFonts w:hint="eastAsia" w:ascii="Times New Roman" w:hAnsi="Times New Roman" w:eastAsia="仿宋_GB2312" w:cs="Times New Roman"/>
          <w:color w:val="auto"/>
          <w:kern w:val="0"/>
          <w:sz w:val="32"/>
          <w:szCs w:val="32"/>
          <w:highlight w:val="none"/>
          <w:lang w:val="en-US" w:eastAsia="zh-CN"/>
        </w:rPr>
        <w:t>经认定的总部企业发生更名、重组等重大调整的，应在办理相关手续后10个工作日内将相关情况报送属地镇、街道，由区服务业发展中心审核相关情况后向社会公告，符合条件的继续享受原政策期限。不得更名、重组后重新认定为新的总部，重新享受政策期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楷体_GB2312" w:cs="楷体_GB2312"/>
          <w:color w:val="auto"/>
          <w:kern w:val="0"/>
          <w:sz w:val="32"/>
          <w:szCs w:val="32"/>
          <w:highlight w:val="none"/>
          <w:lang w:val="en-US" w:eastAsia="zh-CN"/>
        </w:rPr>
        <w:t>（五）</w:t>
      </w:r>
      <w:r>
        <w:rPr>
          <w:rFonts w:hint="eastAsia" w:ascii="Times New Roman" w:hAnsi="Times New Roman" w:eastAsia="仿宋_GB2312" w:cs="Times New Roman"/>
          <w:color w:val="auto"/>
          <w:kern w:val="0"/>
          <w:sz w:val="32"/>
          <w:szCs w:val="32"/>
          <w:highlight w:val="none"/>
          <w:lang w:val="en-US" w:eastAsia="zh-CN"/>
        </w:rPr>
        <w:t>对已认定的总部企业，每年应按要求向属地镇、街道报送本企业复核资料，进行年度复核。经复核合格的，继续享受总部企业鼓励政策。经复核不合格的，或上年度因涉税及其他重大违法行为受到行政或刑事处罚的，取消其总部企业资格，停止享受相关鼓励政策。</w:t>
      </w:r>
    </w:p>
    <w:p>
      <w:pPr>
        <w:keepNext w:val="0"/>
        <w:keepLines w:val="0"/>
        <w:pageBreakBefore w:val="0"/>
        <w:kinsoku/>
        <w:overflowPunct/>
        <w:topLinePunct w:val="0"/>
        <w:autoSpaceDE/>
        <w:autoSpaceDN/>
        <w:bidi w:val="0"/>
        <w:spacing w:line="560" w:lineRule="exact"/>
        <w:jc w:val="both"/>
        <w:textAlignment w:val="auto"/>
        <w:rPr>
          <w:rFonts w:hint="eastAsia" w:ascii="Times New Roman" w:hAnsi="Times New Roman" w:eastAsia="仿宋_GB2312" w:cs="Times New Roman"/>
          <w:color w:val="auto"/>
          <w:kern w:val="0"/>
          <w:sz w:val="32"/>
          <w:szCs w:val="32"/>
          <w:highlight w:val="none"/>
          <w:lang w:val="en-US" w:eastAsia="zh-CN"/>
        </w:rPr>
      </w:pPr>
    </w:p>
    <w:p>
      <w:pPr>
        <w:pStyle w:val="21"/>
        <w:keepNext w:val="0"/>
        <w:keepLines w:val="0"/>
        <w:pageBreakBefore w:val="0"/>
        <w:kinsoku/>
        <w:overflowPunct/>
        <w:topLinePunct w:val="0"/>
        <w:autoSpaceDE/>
        <w:autoSpaceDN/>
        <w:bidi w:val="0"/>
        <w:spacing w:line="560" w:lineRule="exact"/>
        <w:textAlignment w:val="auto"/>
        <w:rPr>
          <w:rFonts w:hint="eastAsia" w:ascii="Times New Roman" w:hAnsi="Times New Roman"/>
          <w:lang w:val="en-US" w:eastAsia="zh-CN"/>
        </w:rPr>
        <w:sectPr>
          <w:footerReference r:id="rId3" w:type="default"/>
          <w:footerReference r:id="rId4" w:type="even"/>
          <w:pgSz w:w="11906" w:h="16838"/>
          <w:pgMar w:top="2098" w:right="1474" w:bottom="1984" w:left="1587" w:header="851" w:footer="1531" w:gutter="0"/>
          <w:pgNumType w:fmt="decimal"/>
          <w:cols w:space="720" w:num="1"/>
          <w:docGrid w:type="lines" w:linePitch="316" w:charSpace="0"/>
        </w:sectPr>
      </w:pPr>
    </w:p>
    <w:p>
      <w:pPr>
        <w:keepNext w:val="0"/>
        <w:keepLines w:val="0"/>
        <w:pageBreakBefore w:val="0"/>
        <w:kinsoku/>
        <w:overflowPunct/>
        <w:topLinePunct w:val="0"/>
        <w:autoSpaceDE/>
        <w:autoSpaceDN/>
        <w:bidi w:val="0"/>
        <w:spacing w:line="560" w:lineRule="exact"/>
        <w:jc w:val="left"/>
        <w:textAlignment w:val="auto"/>
        <w:rPr>
          <w:rFonts w:hint="eastAsia" w:ascii="Times New Roman" w:hAnsi="Times New Roman" w:eastAsia="黑体" w:cs="黑体"/>
          <w:bCs/>
          <w:color w:val="auto"/>
          <w:kern w:val="0"/>
          <w:sz w:val="32"/>
          <w:szCs w:val="32"/>
          <w:highlight w:val="none"/>
          <w:lang w:val="en-US" w:eastAsia="zh-CN"/>
        </w:rPr>
      </w:pPr>
      <w:r>
        <w:rPr>
          <w:rFonts w:hint="eastAsia" w:ascii="Times New Roman" w:hAnsi="Times New Roman" w:eastAsia="黑体" w:cs="黑体"/>
          <w:bCs/>
          <w:color w:val="auto"/>
          <w:kern w:val="0"/>
          <w:sz w:val="32"/>
          <w:szCs w:val="32"/>
          <w:highlight w:val="none"/>
          <w:lang w:val="en-US" w:eastAsia="zh-CN"/>
        </w:rPr>
        <w:t>附件2</w:t>
      </w:r>
    </w:p>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方正小标宋简体" w:cs="方正小标宋简体"/>
          <w:bCs/>
          <w:color w:val="auto"/>
          <w:kern w:val="0"/>
          <w:sz w:val="36"/>
          <w:szCs w:val="36"/>
          <w:highlight w:val="none"/>
        </w:rPr>
      </w:pPr>
      <w:r>
        <w:rPr>
          <w:rFonts w:hint="eastAsia" w:ascii="Times New Roman" w:hAnsi="Times New Roman" w:eastAsia="方正小标宋简体" w:cs="方正小标宋简体"/>
          <w:bCs/>
          <w:color w:val="auto"/>
          <w:kern w:val="0"/>
          <w:sz w:val="36"/>
          <w:szCs w:val="36"/>
          <w:highlight w:val="none"/>
          <w:lang w:val="en-US" w:eastAsia="zh-CN"/>
        </w:rPr>
        <w:t>张店区</w:t>
      </w:r>
      <w:r>
        <w:rPr>
          <w:rFonts w:hint="eastAsia" w:ascii="Times New Roman" w:hAnsi="Times New Roman" w:eastAsia="方正小标宋简体" w:cs="方正小标宋简体"/>
          <w:bCs/>
          <w:color w:val="auto"/>
          <w:kern w:val="0"/>
          <w:sz w:val="36"/>
          <w:szCs w:val="36"/>
          <w:highlight w:val="none"/>
        </w:rPr>
        <w:t>总部企业奖励资金认定申请表</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ascii="Times New Roman" w:hAnsi="Times New Roman" w:eastAsia="楷体_GB2312"/>
          <w:color w:val="auto"/>
          <w:kern w:val="0"/>
          <w:sz w:val="24"/>
          <w:szCs w:val="24"/>
          <w:highlight w:val="none"/>
        </w:rPr>
      </w:pPr>
      <w:r>
        <w:rPr>
          <w:rFonts w:hint="eastAsia" w:ascii="Times New Roman" w:hAnsi="Times New Roman" w:eastAsia="楷体_GB2312"/>
          <w:color w:val="auto"/>
          <w:kern w:val="0"/>
          <w:sz w:val="24"/>
          <w:szCs w:val="24"/>
          <w:highlight w:val="none"/>
        </w:rPr>
        <w:t xml:space="preserve">申报单位（盖章）                           申请日期：     年    月    日  </w:t>
      </w:r>
    </w:p>
    <w:tbl>
      <w:tblPr>
        <w:tblStyle w:val="2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91"/>
        <w:gridCol w:w="1126"/>
        <w:gridCol w:w="463"/>
        <w:gridCol w:w="1171"/>
        <w:gridCol w:w="522"/>
        <w:gridCol w:w="234"/>
        <w:gridCol w:w="420"/>
        <w:gridCol w:w="622"/>
        <w:gridCol w:w="413"/>
        <w:gridCol w:w="720"/>
        <w:gridCol w:w="386"/>
        <w:gridCol w:w="409"/>
        <w:gridCol w:w="20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34" w:hRule="atLeast"/>
          <w:jc w:val="center"/>
        </w:trPr>
        <w:tc>
          <w:tcPr>
            <w:tcW w:w="1491" w:type="dxa"/>
            <w:tcBorders>
              <w:top w:val="single" w:color="auto" w:sz="4" w:space="0"/>
            </w:tcBorders>
            <w:noWrap w:val="0"/>
            <w:vAlign w:val="center"/>
          </w:tcPr>
          <w:p>
            <w:pPr>
              <w:keepNext w:val="0"/>
              <w:keepLines w:val="0"/>
              <w:pageBreakBefore w:val="0"/>
              <w:kinsoku/>
              <w:overflowPunct/>
              <w:topLinePunct w:val="0"/>
              <w:autoSpaceDE/>
              <w:autoSpaceDN/>
              <w:bidi w:val="0"/>
              <w:spacing w:line="560" w:lineRule="exact"/>
              <w:textAlignment w:val="auto"/>
              <w:rPr>
                <w:rFonts w:hint="eastAsia" w:ascii="Times New Roman" w:hAnsi="Times New Roman" w:eastAsia="黑体"/>
                <w:color w:val="auto"/>
                <w:kern w:val="0"/>
                <w:sz w:val="21"/>
                <w:szCs w:val="21"/>
                <w:highlight w:val="none"/>
              </w:rPr>
            </w:pPr>
            <w:r>
              <w:rPr>
                <w:rFonts w:hint="eastAsia" w:ascii="Times New Roman" w:hAnsi="Times New Roman" w:eastAsia="宋体"/>
                <w:color w:val="auto"/>
                <w:kern w:val="0"/>
                <w:sz w:val="21"/>
                <w:szCs w:val="21"/>
                <w:highlight w:val="none"/>
              </w:rPr>
              <w:t>申请企业名称</w:t>
            </w:r>
          </w:p>
        </w:tc>
        <w:tc>
          <w:tcPr>
            <w:tcW w:w="5691" w:type="dxa"/>
            <w:gridSpan w:val="9"/>
            <w:tcBorders>
              <w:top w:val="single" w:color="auto" w:sz="4" w:space="0"/>
            </w:tcBorders>
            <w:noWrap w:val="0"/>
            <w:vAlign w:val="center"/>
          </w:tcPr>
          <w:p>
            <w:pPr>
              <w:keepNext w:val="0"/>
              <w:keepLines w:val="0"/>
              <w:pageBreakBefore w:val="0"/>
              <w:kinsoku/>
              <w:overflowPunct/>
              <w:topLinePunct w:val="0"/>
              <w:autoSpaceDE/>
              <w:autoSpaceDN/>
              <w:bidi w:val="0"/>
              <w:spacing w:line="560" w:lineRule="exact"/>
              <w:textAlignment w:val="auto"/>
              <w:rPr>
                <w:rFonts w:hint="eastAsia" w:ascii="Times New Roman" w:hAnsi="Times New Roman" w:eastAsia="宋体"/>
                <w:color w:val="auto"/>
                <w:kern w:val="0"/>
                <w:sz w:val="21"/>
                <w:szCs w:val="21"/>
                <w:highlight w:val="none"/>
              </w:rPr>
            </w:pPr>
          </w:p>
        </w:tc>
        <w:tc>
          <w:tcPr>
            <w:tcW w:w="795" w:type="dxa"/>
            <w:gridSpan w:val="2"/>
            <w:tcBorders>
              <w:top w:val="single" w:color="auto" w:sz="4" w:space="0"/>
            </w:tcBorders>
            <w:noWrap w:val="0"/>
            <w:vAlign w:val="center"/>
          </w:tcPr>
          <w:p>
            <w:pPr>
              <w:keepNext w:val="0"/>
              <w:keepLines w:val="0"/>
              <w:pageBreakBefore w:val="0"/>
              <w:kinsoku/>
              <w:overflowPunct/>
              <w:topLinePunct w:val="0"/>
              <w:autoSpaceDE/>
              <w:autoSpaceDN/>
              <w:bidi w:val="0"/>
              <w:spacing w:line="560" w:lineRule="exact"/>
              <w:jc w:val="distribute"/>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所</w:t>
            </w:r>
            <w:r>
              <w:rPr>
                <w:rFonts w:hint="eastAsia" w:ascii="Times New Roman" w:hAnsi="Times New Roman" w:eastAsia="宋体" w:cs="Times New Roman"/>
                <w:color w:val="auto"/>
                <w:kern w:val="0"/>
                <w:sz w:val="21"/>
                <w:szCs w:val="21"/>
                <w:highlight w:val="none"/>
                <w:lang w:val="en-US" w:eastAsia="zh-CN"/>
              </w:rPr>
              <w:t>属镇办</w:t>
            </w:r>
          </w:p>
        </w:tc>
        <w:tc>
          <w:tcPr>
            <w:tcW w:w="2037" w:type="dxa"/>
            <w:tcBorders>
              <w:top w:val="single" w:color="auto" w:sz="4"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04" w:hRule="atLeast"/>
          <w:jc w:val="center"/>
        </w:trPr>
        <w:tc>
          <w:tcPr>
            <w:tcW w:w="1491" w:type="dxa"/>
            <w:tcBorders>
              <w:top w:val="single" w:color="auto" w:sz="4"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rPr>
            </w:pPr>
            <w:r>
              <w:rPr>
                <w:rFonts w:hint="eastAsia" w:ascii="Times New Roman" w:hAnsi="Times New Roman" w:eastAsia="宋体"/>
                <w:color w:val="auto"/>
                <w:kern w:val="0"/>
                <w:sz w:val="21"/>
                <w:szCs w:val="21"/>
                <w:highlight w:val="none"/>
              </w:rPr>
              <w:t>企业地址</w:t>
            </w:r>
          </w:p>
        </w:tc>
        <w:tc>
          <w:tcPr>
            <w:tcW w:w="5691" w:type="dxa"/>
            <w:gridSpan w:val="9"/>
            <w:tcBorders>
              <w:top w:val="single" w:color="auto" w:sz="4"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rPr>
            </w:pPr>
          </w:p>
        </w:tc>
        <w:tc>
          <w:tcPr>
            <w:tcW w:w="795" w:type="dxa"/>
            <w:gridSpan w:val="2"/>
            <w:tcBorders>
              <w:top w:val="single" w:color="auto" w:sz="4" w:space="0"/>
            </w:tcBorders>
            <w:noWrap w:val="0"/>
            <w:vAlign w:val="center"/>
          </w:tcPr>
          <w:p>
            <w:pPr>
              <w:keepNext w:val="0"/>
              <w:keepLines w:val="0"/>
              <w:pageBreakBefore w:val="0"/>
              <w:kinsoku/>
              <w:overflowPunct/>
              <w:topLinePunct w:val="0"/>
              <w:autoSpaceDE/>
              <w:autoSpaceDN/>
              <w:bidi w:val="0"/>
              <w:spacing w:line="560" w:lineRule="exact"/>
              <w:jc w:val="distribute"/>
              <w:textAlignment w:val="auto"/>
              <w:rPr>
                <w:rFonts w:hint="eastAsia" w:ascii="Times New Roman" w:hAnsi="Times New Roman" w:eastAsia="黑体"/>
                <w:color w:val="auto"/>
                <w:kern w:val="0"/>
                <w:sz w:val="21"/>
                <w:szCs w:val="21"/>
                <w:highlight w:val="none"/>
              </w:rPr>
            </w:pPr>
            <w:r>
              <w:rPr>
                <w:rFonts w:hint="eastAsia" w:ascii="Times New Roman" w:hAnsi="Times New Roman" w:eastAsia="宋体"/>
                <w:color w:val="auto"/>
                <w:kern w:val="0"/>
                <w:sz w:val="21"/>
                <w:szCs w:val="21"/>
                <w:highlight w:val="none"/>
              </w:rPr>
              <w:t>注册时间</w:t>
            </w:r>
          </w:p>
        </w:tc>
        <w:tc>
          <w:tcPr>
            <w:tcW w:w="2037" w:type="dxa"/>
            <w:tcBorders>
              <w:top w:val="single" w:color="auto" w:sz="4" w:space="0"/>
            </w:tcBorders>
            <w:noWrap w:val="0"/>
            <w:vAlign w:val="center"/>
          </w:tcPr>
          <w:p>
            <w:pPr>
              <w:keepNext w:val="0"/>
              <w:keepLines w:val="0"/>
              <w:pageBreakBefore w:val="0"/>
              <w:kinsoku/>
              <w:overflowPunct/>
              <w:topLinePunct w:val="0"/>
              <w:autoSpaceDE/>
              <w:autoSpaceDN/>
              <w:bidi w:val="0"/>
              <w:spacing w:line="560" w:lineRule="exact"/>
              <w:textAlignment w:val="auto"/>
              <w:rPr>
                <w:rFonts w:hint="eastAsia" w:ascii="Times New Roman" w:hAnsi="Times New Roman" w:eastAsia="宋体"/>
                <w:color w:val="auto"/>
                <w:kern w:val="0"/>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04" w:hRule="atLeast"/>
          <w:jc w:val="center"/>
        </w:trPr>
        <w:tc>
          <w:tcPr>
            <w:tcW w:w="1491" w:type="dxa"/>
            <w:tcBorders>
              <w:top w:val="single" w:color="auto" w:sz="4"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rPr>
            </w:pPr>
            <w:r>
              <w:rPr>
                <w:rFonts w:hint="eastAsia" w:ascii="Times New Roman" w:hAnsi="Times New Roman" w:eastAsia="宋体"/>
                <w:color w:val="auto"/>
                <w:kern w:val="0"/>
                <w:sz w:val="21"/>
                <w:szCs w:val="21"/>
                <w:highlight w:val="none"/>
              </w:rPr>
              <w:t>开户银行</w:t>
            </w:r>
          </w:p>
        </w:tc>
        <w:tc>
          <w:tcPr>
            <w:tcW w:w="3282" w:type="dxa"/>
            <w:gridSpan w:val="4"/>
            <w:tcBorders>
              <w:top w:val="single" w:color="auto" w:sz="4"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rPr>
            </w:pPr>
          </w:p>
        </w:tc>
        <w:tc>
          <w:tcPr>
            <w:tcW w:w="2409" w:type="dxa"/>
            <w:gridSpan w:val="5"/>
            <w:tcBorders>
              <w:top w:val="single" w:color="auto" w:sz="4"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rPr>
            </w:pPr>
            <w:r>
              <w:rPr>
                <w:rFonts w:hint="eastAsia" w:ascii="Times New Roman" w:hAnsi="Times New Roman" w:eastAsia="宋体"/>
                <w:color w:val="auto"/>
                <w:kern w:val="0"/>
                <w:sz w:val="21"/>
                <w:szCs w:val="21"/>
                <w:highlight w:val="none"/>
              </w:rPr>
              <w:t>银行帐号</w:t>
            </w:r>
          </w:p>
        </w:tc>
        <w:tc>
          <w:tcPr>
            <w:tcW w:w="2832" w:type="dxa"/>
            <w:gridSpan w:val="3"/>
            <w:tcBorders>
              <w:top w:val="single" w:color="auto" w:sz="4" w:space="0"/>
            </w:tcBorders>
            <w:noWrap w:val="0"/>
            <w:vAlign w:val="center"/>
          </w:tcPr>
          <w:p>
            <w:pPr>
              <w:keepNext w:val="0"/>
              <w:keepLines w:val="0"/>
              <w:pageBreakBefore w:val="0"/>
              <w:kinsoku/>
              <w:overflowPunct/>
              <w:topLinePunct w:val="0"/>
              <w:autoSpaceDE/>
              <w:autoSpaceDN/>
              <w:bidi w:val="0"/>
              <w:spacing w:line="560" w:lineRule="exact"/>
              <w:textAlignment w:val="auto"/>
              <w:rPr>
                <w:rFonts w:hint="eastAsia" w:ascii="Times New Roman" w:hAnsi="Times New Roman" w:eastAsia="宋体"/>
                <w:color w:val="auto"/>
                <w:kern w:val="0"/>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04" w:hRule="atLeast"/>
          <w:jc w:val="center"/>
        </w:trPr>
        <w:tc>
          <w:tcPr>
            <w:tcW w:w="1491" w:type="dxa"/>
            <w:tcBorders>
              <w:top w:val="single" w:color="auto" w:sz="4"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rPr>
            </w:pPr>
            <w:r>
              <w:rPr>
                <w:rFonts w:hint="eastAsia" w:ascii="Times New Roman" w:hAnsi="Times New Roman" w:eastAsia="宋体"/>
                <w:color w:val="auto"/>
                <w:kern w:val="0"/>
                <w:sz w:val="21"/>
                <w:szCs w:val="21"/>
                <w:highlight w:val="none"/>
              </w:rPr>
              <w:t>法人代表</w:t>
            </w:r>
          </w:p>
        </w:tc>
        <w:tc>
          <w:tcPr>
            <w:tcW w:w="1589" w:type="dxa"/>
            <w:gridSpan w:val="2"/>
            <w:tcBorders>
              <w:top w:val="single" w:color="auto" w:sz="4"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rPr>
            </w:pPr>
          </w:p>
        </w:tc>
        <w:tc>
          <w:tcPr>
            <w:tcW w:w="1171" w:type="dxa"/>
            <w:tcBorders>
              <w:top w:val="single" w:color="auto" w:sz="4"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rPr>
            </w:pPr>
            <w:r>
              <w:rPr>
                <w:rFonts w:hint="eastAsia" w:ascii="Times New Roman" w:hAnsi="Times New Roman" w:eastAsia="宋体"/>
                <w:color w:val="auto"/>
                <w:kern w:val="0"/>
                <w:sz w:val="21"/>
                <w:szCs w:val="21"/>
                <w:highlight w:val="none"/>
              </w:rPr>
              <w:t>联系人</w:t>
            </w:r>
          </w:p>
        </w:tc>
        <w:tc>
          <w:tcPr>
            <w:tcW w:w="1798" w:type="dxa"/>
            <w:gridSpan w:val="4"/>
            <w:tcBorders>
              <w:top w:val="single" w:color="auto" w:sz="4"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rPr>
            </w:pPr>
          </w:p>
        </w:tc>
        <w:tc>
          <w:tcPr>
            <w:tcW w:w="1519" w:type="dxa"/>
            <w:gridSpan w:val="3"/>
            <w:tcBorders>
              <w:top w:val="single" w:color="auto" w:sz="4"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rPr>
            </w:pPr>
            <w:r>
              <w:rPr>
                <w:rFonts w:hint="eastAsia" w:ascii="Times New Roman" w:hAnsi="Times New Roman" w:eastAsia="宋体"/>
                <w:color w:val="auto"/>
                <w:kern w:val="0"/>
                <w:sz w:val="21"/>
                <w:szCs w:val="21"/>
                <w:highlight w:val="none"/>
              </w:rPr>
              <w:t>联系电话</w:t>
            </w:r>
          </w:p>
        </w:tc>
        <w:tc>
          <w:tcPr>
            <w:tcW w:w="2446" w:type="dxa"/>
            <w:gridSpan w:val="2"/>
            <w:tcBorders>
              <w:top w:val="single" w:color="auto" w:sz="4"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26" w:hRule="atLeast"/>
          <w:jc w:val="center"/>
        </w:trPr>
        <w:tc>
          <w:tcPr>
            <w:tcW w:w="1491" w:type="dxa"/>
            <w:vMerge w:val="restart"/>
            <w:tcBorders>
              <w:top w:val="single" w:color="auto" w:sz="8" w:space="0"/>
              <w:right w:val="single" w:color="auto" w:sz="8"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color w:val="auto"/>
                <w:kern w:val="0"/>
                <w:sz w:val="21"/>
                <w:szCs w:val="21"/>
                <w:highlight w:val="none"/>
                <w:lang w:val="en-US" w:eastAsia="zh-CN"/>
              </w:rPr>
            </w:pPr>
            <w:r>
              <w:rPr>
                <w:rFonts w:hint="eastAsia" w:ascii="Times New Roman" w:hAnsi="Times New Roman"/>
                <w:color w:val="auto"/>
                <w:kern w:val="0"/>
                <w:sz w:val="21"/>
                <w:szCs w:val="21"/>
                <w:highlight w:val="none"/>
                <w:lang w:val="en-US" w:eastAsia="zh-CN"/>
              </w:rPr>
              <w:t>申请</w:t>
            </w:r>
          </w:p>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rPr>
            </w:pPr>
            <w:r>
              <w:rPr>
                <w:rFonts w:hint="eastAsia" w:ascii="Times New Roman" w:hAnsi="Times New Roman"/>
                <w:color w:val="auto"/>
                <w:kern w:val="0"/>
                <w:sz w:val="21"/>
                <w:szCs w:val="21"/>
                <w:highlight w:val="none"/>
                <w:lang w:val="en-US" w:eastAsia="zh-CN"/>
              </w:rPr>
              <w:t>奖励       类型</w:t>
            </w:r>
          </w:p>
        </w:tc>
        <w:tc>
          <w:tcPr>
            <w:tcW w:w="1126" w:type="dxa"/>
            <w:tcBorders>
              <w:top w:val="single" w:color="auto" w:sz="4" w:space="0"/>
              <w:left w:val="single" w:color="auto" w:sz="8"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宋体"/>
                <w:color w:val="auto"/>
                <w:kern w:val="0"/>
                <w:sz w:val="21"/>
                <w:szCs w:val="21"/>
                <w:highlight w:val="none"/>
                <w:lang w:val="en-US" w:eastAsia="zh-CN"/>
              </w:rPr>
            </w:pPr>
            <w:r>
              <w:rPr>
                <w:rFonts w:hint="eastAsia" w:ascii="Times New Roman" w:hAnsi="Times New Roman"/>
                <w:color w:val="auto"/>
                <w:kern w:val="0"/>
                <w:sz w:val="21"/>
                <w:szCs w:val="21"/>
                <w:highlight w:val="none"/>
                <w:lang w:val="en-US" w:eastAsia="zh-CN"/>
              </w:rPr>
              <w:t>开办注资</w:t>
            </w:r>
          </w:p>
        </w:tc>
        <w:tc>
          <w:tcPr>
            <w:tcW w:w="7397" w:type="dxa"/>
            <w:gridSpan w:val="11"/>
            <w:tcBorders>
              <w:top w:val="single" w:color="auto" w:sz="4" w:space="0"/>
            </w:tcBorders>
            <w:noWrap w:val="0"/>
            <w:vAlign w:val="center"/>
          </w:tcPr>
          <w:p>
            <w:pPr>
              <w:keepNext w:val="0"/>
              <w:keepLines w:val="0"/>
              <w:pageBreakBefore w:val="0"/>
              <w:kinsoku/>
              <w:overflowPunct/>
              <w:topLinePunct w:val="0"/>
              <w:autoSpaceDE/>
              <w:autoSpaceDN/>
              <w:bidi w:val="0"/>
              <w:spacing w:line="560" w:lineRule="exact"/>
              <w:textAlignment w:val="auto"/>
              <w:rPr>
                <w:rFonts w:hint="eastAsia" w:ascii="Times New Roman" w:hAnsi="Times New Roman" w:eastAsia="宋体"/>
                <w:color w:val="auto"/>
                <w:kern w:val="0"/>
                <w:sz w:val="21"/>
                <w:szCs w:val="21"/>
                <w:highlight w:val="none"/>
              </w:rPr>
            </w:pPr>
            <w:r>
              <w:rPr>
                <w:rFonts w:hint="eastAsia" w:ascii="Times New Roman" w:hAnsi="Times New Roman"/>
                <w:color w:val="auto"/>
                <w:kern w:val="0"/>
                <w:sz w:val="21"/>
                <w:szCs w:val="21"/>
                <w:highlight w:val="none"/>
                <w:lang w:val="en-US" w:eastAsia="zh-CN"/>
              </w:rPr>
              <w:t>开办</w:t>
            </w:r>
            <w:r>
              <w:rPr>
                <w:rFonts w:hint="eastAsia" w:ascii="Times New Roman" w:hAnsi="Times New Roman" w:eastAsia="宋体"/>
                <w:color w:val="auto"/>
                <w:kern w:val="0"/>
                <w:sz w:val="21"/>
                <w:szCs w:val="21"/>
                <w:highlight w:val="none"/>
              </w:rPr>
              <w:t>实缴注册资本</w:t>
            </w:r>
            <w:r>
              <w:rPr>
                <w:rFonts w:hint="eastAsia" w:ascii="Times New Roman" w:hAnsi="Times New Roman" w:eastAsia="宋体"/>
                <w:color w:val="auto"/>
                <w:kern w:val="0"/>
                <w:sz w:val="21"/>
                <w:szCs w:val="21"/>
                <w:highlight w:val="none"/>
                <w:u w:val="single"/>
              </w:rPr>
              <w:t xml:space="preserve">         </w:t>
            </w:r>
            <w:r>
              <w:rPr>
                <w:rFonts w:hint="eastAsia" w:ascii="Times New Roman" w:hAnsi="Times New Roman" w:eastAsia="宋体"/>
                <w:color w:val="auto"/>
                <w:kern w:val="0"/>
                <w:sz w:val="21"/>
                <w:szCs w:val="21"/>
                <w:highlight w:val="none"/>
              </w:rPr>
              <w:t>万元，第</w:t>
            </w:r>
            <w:r>
              <w:rPr>
                <w:rFonts w:hint="eastAsia" w:ascii="Times New Roman" w:hAnsi="Times New Roman"/>
                <w:color w:val="auto"/>
                <w:kern w:val="0"/>
                <w:sz w:val="21"/>
                <w:szCs w:val="21"/>
                <w:highlight w:val="none"/>
                <w:u w:val="single"/>
                <w:lang w:val="en-US" w:eastAsia="zh-CN"/>
              </w:rPr>
              <w:t xml:space="preserve">     </w:t>
            </w:r>
            <w:r>
              <w:rPr>
                <w:rFonts w:hint="eastAsia" w:ascii="Times New Roman" w:hAnsi="Times New Roman" w:eastAsia="宋体"/>
                <w:color w:val="auto"/>
                <w:kern w:val="0"/>
                <w:sz w:val="21"/>
                <w:szCs w:val="21"/>
                <w:highlight w:val="none"/>
              </w:rPr>
              <w:t>年申请补助资金</w:t>
            </w:r>
            <w:r>
              <w:rPr>
                <w:rFonts w:hint="eastAsia" w:ascii="Times New Roman" w:hAnsi="Times New Roman" w:eastAsia="宋体"/>
                <w:color w:val="auto"/>
                <w:kern w:val="0"/>
                <w:sz w:val="21"/>
                <w:szCs w:val="21"/>
                <w:highlight w:val="none"/>
                <w:u w:val="single"/>
              </w:rPr>
              <w:t xml:space="preserve">         </w:t>
            </w:r>
            <w:r>
              <w:rPr>
                <w:rFonts w:hint="eastAsia" w:ascii="Times New Roman" w:hAnsi="Times New Roman" w:eastAsia="宋体"/>
                <w:color w:val="auto"/>
                <w:kern w:val="0"/>
                <w:sz w:val="21"/>
                <w:szCs w:val="21"/>
                <w:highlight w:val="none"/>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74" w:hRule="atLeast"/>
          <w:jc w:val="center"/>
        </w:trPr>
        <w:tc>
          <w:tcPr>
            <w:tcW w:w="1491" w:type="dxa"/>
            <w:vMerge w:val="continue"/>
            <w:tcBorders>
              <w:right w:val="single" w:color="auto" w:sz="8" w:space="0"/>
            </w:tcBorders>
            <w:noWrap w:val="0"/>
            <w:vAlign w:val="center"/>
          </w:tcPr>
          <w:p>
            <w:pPr>
              <w:keepNext w:val="0"/>
              <w:keepLines w:val="0"/>
              <w:pageBreakBefore w:val="0"/>
              <w:kinsoku/>
              <w:overflowPunct/>
              <w:topLinePunct w:val="0"/>
              <w:autoSpaceDE/>
              <w:autoSpaceDN/>
              <w:bidi w:val="0"/>
              <w:spacing w:line="560" w:lineRule="exact"/>
              <w:textAlignment w:val="auto"/>
              <w:rPr>
                <w:rFonts w:hint="eastAsia" w:ascii="Times New Roman" w:hAnsi="Times New Roman" w:eastAsia="宋体"/>
                <w:color w:val="auto"/>
                <w:kern w:val="0"/>
                <w:sz w:val="21"/>
                <w:szCs w:val="21"/>
                <w:highlight w:val="none"/>
              </w:rPr>
            </w:pPr>
          </w:p>
        </w:tc>
        <w:tc>
          <w:tcPr>
            <w:tcW w:w="1126" w:type="dxa"/>
            <w:tcBorders>
              <w:top w:val="single" w:color="auto" w:sz="4" w:space="0"/>
              <w:left w:val="single" w:color="auto" w:sz="8"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宋体"/>
                <w:color w:val="auto"/>
                <w:kern w:val="0"/>
                <w:sz w:val="21"/>
                <w:szCs w:val="21"/>
                <w:highlight w:val="none"/>
                <w:lang w:val="en-US" w:eastAsia="zh-CN"/>
              </w:rPr>
            </w:pPr>
            <w:r>
              <w:rPr>
                <w:rFonts w:hint="eastAsia" w:ascii="Times New Roman" w:hAnsi="Times New Roman"/>
                <w:color w:val="auto"/>
                <w:kern w:val="0"/>
                <w:sz w:val="21"/>
                <w:szCs w:val="21"/>
                <w:highlight w:val="none"/>
                <w:lang w:val="en-US" w:eastAsia="zh-CN"/>
              </w:rPr>
              <w:t>经营贡献</w:t>
            </w:r>
          </w:p>
        </w:tc>
        <w:tc>
          <w:tcPr>
            <w:tcW w:w="7397" w:type="dxa"/>
            <w:gridSpan w:val="11"/>
            <w:tcBorders>
              <w:top w:val="single" w:color="auto" w:sz="4" w:space="0"/>
              <w:bottom w:val="single" w:color="auto" w:sz="8" w:space="0"/>
            </w:tcBorders>
            <w:noWrap w:val="0"/>
            <w:vAlign w:val="center"/>
          </w:tcPr>
          <w:p>
            <w:pPr>
              <w:keepNext w:val="0"/>
              <w:keepLines w:val="0"/>
              <w:pageBreakBefore w:val="0"/>
              <w:kinsoku/>
              <w:overflowPunct/>
              <w:topLinePunct w:val="0"/>
              <w:autoSpaceDE/>
              <w:autoSpaceDN/>
              <w:bidi w:val="0"/>
              <w:spacing w:line="560" w:lineRule="exact"/>
              <w:textAlignment w:val="auto"/>
              <w:rPr>
                <w:rFonts w:hint="eastAsia" w:ascii="Times New Roman" w:hAnsi="Times New Roman" w:eastAsia="宋体"/>
                <w:color w:val="auto"/>
                <w:kern w:val="0"/>
                <w:sz w:val="21"/>
                <w:szCs w:val="21"/>
                <w:highlight w:val="none"/>
              </w:rPr>
            </w:pPr>
            <w:r>
              <w:rPr>
                <w:rFonts w:hint="eastAsia" w:ascii="Times New Roman" w:hAnsi="Times New Roman"/>
                <w:color w:val="auto"/>
                <w:kern w:val="0"/>
                <w:sz w:val="21"/>
                <w:szCs w:val="21"/>
                <w:highlight w:val="none"/>
                <w:lang w:val="en-US" w:eastAsia="zh-CN"/>
              </w:rPr>
              <w:t>年度地方</w:t>
            </w:r>
            <w:r>
              <w:rPr>
                <w:rFonts w:hint="eastAsia" w:ascii="Times New Roman" w:hAnsi="Times New Roman" w:eastAsia="宋体"/>
                <w:color w:val="auto"/>
                <w:kern w:val="0"/>
                <w:sz w:val="21"/>
                <w:szCs w:val="21"/>
                <w:highlight w:val="none"/>
              </w:rPr>
              <w:t xml:space="preserve">财政贡献 </w:t>
            </w:r>
            <w:r>
              <w:rPr>
                <w:rFonts w:hint="eastAsia" w:ascii="Times New Roman" w:hAnsi="Times New Roman" w:eastAsia="宋体"/>
                <w:color w:val="auto"/>
                <w:kern w:val="0"/>
                <w:sz w:val="21"/>
                <w:szCs w:val="21"/>
                <w:highlight w:val="none"/>
                <w:u w:val="single"/>
              </w:rPr>
              <w:t xml:space="preserve">        </w:t>
            </w:r>
            <w:r>
              <w:rPr>
                <w:rFonts w:hint="eastAsia" w:ascii="Times New Roman" w:hAnsi="Times New Roman" w:eastAsia="宋体"/>
                <w:color w:val="auto"/>
                <w:kern w:val="0"/>
                <w:sz w:val="21"/>
                <w:szCs w:val="21"/>
                <w:highlight w:val="none"/>
              </w:rPr>
              <w:t>万元，第</w:t>
            </w:r>
            <w:r>
              <w:rPr>
                <w:rFonts w:hint="eastAsia" w:ascii="Times New Roman" w:hAnsi="Times New Roman"/>
                <w:color w:val="auto"/>
                <w:kern w:val="0"/>
                <w:sz w:val="21"/>
                <w:szCs w:val="21"/>
                <w:highlight w:val="none"/>
                <w:u w:val="single"/>
                <w:lang w:val="en-US" w:eastAsia="zh-CN"/>
              </w:rPr>
              <w:t xml:space="preserve">     </w:t>
            </w:r>
            <w:r>
              <w:rPr>
                <w:rFonts w:hint="eastAsia" w:ascii="Times New Roman" w:hAnsi="Times New Roman" w:eastAsia="宋体"/>
                <w:color w:val="auto"/>
                <w:kern w:val="0"/>
                <w:sz w:val="21"/>
                <w:szCs w:val="21"/>
                <w:highlight w:val="none"/>
              </w:rPr>
              <w:t>年申请补助资金</w:t>
            </w:r>
            <w:r>
              <w:rPr>
                <w:rFonts w:hint="eastAsia" w:ascii="Times New Roman" w:hAnsi="Times New Roman" w:eastAsia="宋体"/>
                <w:color w:val="auto"/>
                <w:kern w:val="0"/>
                <w:sz w:val="21"/>
                <w:szCs w:val="21"/>
                <w:highlight w:val="none"/>
                <w:u w:val="single"/>
              </w:rPr>
              <w:t xml:space="preserve">         </w:t>
            </w:r>
            <w:r>
              <w:rPr>
                <w:rFonts w:hint="eastAsia" w:ascii="Times New Roman" w:hAnsi="Times New Roman" w:eastAsia="宋体"/>
                <w:color w:val="auto"/>
                <w:kern w:val="0"/>
                <w:sz w:val="21"/>
                <w:szCs w:val="21"/>
                <w:highlight w:val="none"/>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60" w:hRule="atLeast"/>
          <w:jc w:val="center"/>
        </w:trPr>
        <w:tc>
          <w:tcPr>
            <w:tcW w:w="1491" w:type="dxa"/>
            <w:vMerge w:val="continue"/>
            <w:tcBorders>
              <w:right w:val="single" w:color="auto" w:sz="8" w:space="0"/>
            </w:tcBorders>
            <w:noWrap w:val="0"/>
            <w:vAlign w:val="center"/>
          </w:tcPr>
          <w:p>
            <w:pPr>
              <w:keepNext w:val="0"/>
              <w:keepLines w:val="0"/>
              <w:pageBreakBefore w:val="0"/>
              <w:kinsoku/>
              <w:overflowPunct/>
              <w:topLinePunct w:val="0"/>
              <w:autoSpaceDE/>
              <w:autoSpaceDN/>
              <w:bidi w:val="0"/>
              <w:spacing w:line="560" w:lineRule="exact"/>
              <w:textAlignment w:val="auto"/>
              <w:rPr>
                <w:rFonts w:hint="eastAsia" w:ascii="Times New Roman" w:hAnsi="Times New Roman" w:eastAsia="宋体"/>
                <w:color w:val="auto"/>
                <w:kern w:val="0"/>
                <w:sz w:val="21"/>
                <w:szCs w:val="21"/>
                <w:highlight w:val="none"/>
              </w:rPr>
            </w:pPr>
          </w:p>
        </w:tc>
        <w:tc>
          <w:tcPr>
            <w:tcW w:w="1126" w:type="dxa"/>
            <w:vMerge w:val="restart"/>
            <w:tcBorders>
              <w:top w:val="single" w:color="auto" w:sz="4" w:space="0"/>
              <w:left w:val="single" w:color="auto" w:sz="8"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宋体"/>
                <w:color w:val="auto"/>
                <w:kern w:val="0"/>
                <w:sz w:val="21"/>
                <w:szCs w:val="21"/>
                <w:highlight w:val="none"/>
                <w:lang w:val="en-US" w:eastAsia="zh-CN"/>
              </w:rPr>
            </w:pPr>
            <w:r>
              <w:rPr>
                <w:rFonts w:hint="eastAsia" w:ascii="Times New Roman" w:hAnsi="Times New Roman"/>
                <w:color w:val="auto"/>
                <w:kern w:val="0"/>
                <w:sz w:val="21"/>
                <w:szCs w:val="21"/>
                <w:highlight w:val="none"/>
                <w:lang w:val="en-US" w:eastAsia="zh-CN"/>
              </w:rPr>
              <w:t>企业成长</w:t>
            </w:r>
          </w:p>
        </w:tc>
        <w:tc>
          <w:tcPr>
            <w:tcW w:w="2390" w:type="dxa"/>
            <w:gridSpan w:val="4"/>
            <w:tcBorders>
              <w:top w:val="single" w:color="auto" w:sz="8" w:space="0"/>
              <w:bottom w:val="single" w:color="auto" w:sz="8" w:space="0"/>
              <w:right w:val="single" w:color="auto" w:sz="8" w:space="0"/>
            </w:tcBorders>
            <w:noWrap w:val="0"/>
            <w:vAlign w:val="center"/>
          </w:tcPr>
          <w:p>
            <w:pPr>
              <w:keepNext w:val="0"/>
              <w:keepLines w:val="0"/>
              <w:pageBreakBefore w:val="0"/>
              <w:widowControl/>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rPr>
            </w:pPr>
            <w:r>
              <w:rPr>
                <w:rFonts w:hint="eastAsia" w:ascii="Times New Roman" w:hAnsi="Times New Roman"/>
                <w:color w:val="auto"/>
                <w:kern w:val="0"/>
                <w:sz w:val="21"/>
                <w:szCs w:val="21"/>
                <w:highlight w:val="none"/>
                <w:lang w:val="en-US" w:eastAsia="zh-CN"/>
              </w:rPr>
              <w:t>依规模企业</w:t>
            </w:r>
            <w:r>
              <w:rPr>
                <w:rFonts w:hint="eastAsia" w:ascii="Times New Roman" w:hAnsi="Times New Roman" w:eastAsia="宋体"/>
                <w:color w:val="auto"/>
                <w:kern w:val="0"/>
                <w:sz w:val="21"/>
                <w:szCs w:val="21"/>
                <w:highlight w:val="none"/>
              </w:rPr>
              <w:t>首次入选</w:t>
            </w:r>
          </w:p>
        </w:tc>
        <w:tc>
          <w:tcPr>
            <w:tcW w:w="1455" w:type="dxa"/>
            <w:gridSpan w:val="3"/>
            <w:tcBorders>
              <w:top w:val="single" w:color="auto" w:sz="8" w:space="0"/>
              <w:left w:val="single" w:color="auto" w:sz="8" w:space="0"/>
              <w:bottom w:val="single" w:color="auto" w:sz="8" w:space="0"/>
            </w:tcBorders>
            <w:noWrap w:val="0"/>
            <w:vAlign w:val="center"/>
          </w:tcPr>
          <w:p>
            <w:pPr>
              <w:keepNext w:val="0"/>
              <w:keepLines w:val="0"/>
              <w:pageBreakBefore w:val="0"/>
              <w:kinsoku/>
              <w:overflowPunct/>
              <w:topLinePunct w:val="0"/>
              <w:autoSpaceDE/>
              <w:autoSpaceDN/>
              <w:bidi w:val="0"/>
              <w:spacing w:line="560" w:lineRule="exact"/>
              <w:textAlignment w:val="auto"/>
              <w:rPr>
                <w:rFonts w:hint="eastAsia" w:ascii="Times New Roman" w:hAnsi="Times New Roman" w:eastAsia="宋体"/>
                <w:color w:val="auto"/>
                <w:kern w:val="0"/>
                <w:sz w:val="21"/>
                <w:szCs w:val="21"/>
                <w:highlight w:val="none"/>
              </w:rPr>
            </w:pPr>
          </w:p>
        </w:tc>
        <w:tc>
          <w:tcPr>
            <w:tcW w:w="1515" w:type="dxa"/>
            <w:gridSpan w:val="3"/>
            <w:tcBorders>
              <w:top w:val="single" w:color="auto" w:sz="8" w:space="0"/>
              <w:left w:val="single" w:color="auto" w:sz="8" w:space="0"/>
              <w:bottom w:val="single" w:color="auto" w:sz="8" w:space="0"/>
            </w:tcBorders>
            <w:noWrap w:val="0"/>
            <w:vAlign w:val="center"/>
          </w:tcPr>
          <w:p>
            <w:pPr>
              <w:keepNext w:val="0"/>
              <w:keepLines w:val="0"/>
              <w:pageBreakBefore w:val="0"/>
              <w:widowControl/>
              <w:kinsoku/>
              <w:overflowPunct/>
              <w:topLinePunct w:val="0"/>
              <w:autoSpaceDE/>
              <w:autoSpaceDN/>
              <w:bidi w:val="0"/>
              <w:spacing w:line="560" w:lineRule="exact"/>
              <w:textAlignment w:val="auto"/>
              <w:rPr>
                <w:rFonts w:hint="eastAsia" w:ascii="Times New Roman" w:hAnsi="Times New Roman" w:eastAsia="宋体"/>
                <w:color w:val="auto"/>
                <w:kern w:val="0"/>
                <w:sz w:val="21"/>
                <w:szCs w:val="21"/>
                <w:highlight w:val="none"/>
              </w:rPr>
            </w:pPr>
          </w:p>
          <w:p>
            <w:pPr>
              <w:keepNext w:val="0"/>
              <w:keepLines w:val="0"/>
              <w:pageBreakBefore w:val="0"/>
              <w:widowControl/>
              <w:kinsoku/>
              <w:overflowPunct/>
              <w:topLinePunct w:val="0"/>
              <w:autoSpaceDE/>
              <w:autoSpaceDN/>
              <w:bidi w:val="0"/>
              <w:spacing w:line="560" w:lineRule="exact"/>
              <w:jc w:val="center"/>
              <w:textAlignment w:val="auto"/>
              <w:rPr>
                <w:rFonts w:ascii="Times New Roman" w:hAnsi="Times New Roman" w:eastAsia="宋体"/>
                <w:color w:val="auto"/>
                <w:kern w:val="0"/>
                <w:sz w:val="21"/>
                <w:szCs w:val="21"/>
                <w:highlight w:val="none"/>
              </w:rPr>
            </w:pPr>
            <w:r>
              <w:rPr>
                <w:rFonts w:hint="eastAsia" w:ascii="Times New Roman" w:hAnsi="Times New Roman" w:eastAsia="宋体"/>
                <w:color w:val="auto"/>
                <w:kern w:val="0"/>
                <w:sz w:val="21"/>
                <w:szCs w:val="21"/>
                <w:highlight w:val="none"/>
              </w:rPr>
              <w:t>申请奖励资金</w:t>
            </w:r>
          </w:p>
          <w:p>
            <w:pPr>
              <w:keepNext w:val="0"/>
              <w:keepLines w:val="0"/>
              <w:pageBreakBefore w:val="0"/>
              <w:kinsoku/>
              <w:overflowPunct/>
              <w:topLinePunct w:val="0"/>
              <w:autoSpaceDE/>
              <w:autoSpaceDN/>
              <w:bidi w:val="0"/>
              <w:spacing w:line="560" w:lineRule="exact"/>
              <w:textAlignment w:val="auto"/>
              <w:rPr>
                <w:rFonts w:hint="eastAsia" w:ascii="Times New Roman" w:hAnsi="Times New Roman" w:eastAsia="宋体"/>
                <w:color w:val="auto"/>
                <w:kern w:val="0"/>
                <w:sz w:val="21"/>
                <w:szCs w:val="21"/>
                <w:highlight w:val="none"/>
              </w:rPr>
            </w:pPr>
          </w:p>
        </w:tc>
        <w:tc>
          <w:tcPr>
            <w:tcW w:w="2037" w:type="dxa"/>
            <w:tcBorders>
              <w:top w:val="single" w:color="auto" w:sz="8" w:space="0"/>
              <w:left w:val="single" w:color="auto" w:sz="8" w:space="0"/>
              <w:bottom w:val="single" w:color="auto" w:sz="8" w:space="0"/>
            </w:tcBorders>
            <w:noWrap w:val="0"/>
            <w:vAlign w:val="center"/>
          </w:tcPr>
          <w:p>
            <w:pPr>
              <w:keepNext w:val="0"/>
              <w:keepLines w:val="0"/>
              <w:pageBreakBefore w:val="0"/>
              <w:kinsoku/>
              <w:overflowPunct/>
              <w:topLinePunct w:val="0"/>
              <w:autoSpaceDE/>
              <w:autoSpaceDN/>
              <w:bidi w:val="0"/>
              <w:spacing w:line="560" w:lineRule="exact"/>
              <w:jc w:val="right"/>
              <w:textAlignment w:val="auto"/>
              <w:rPr>
                <w:rFonts w:hint="eastAsia" w:ascii="Times New Roman" w:hAnsi="Times New Roman" w:eastAsia="宋体"/>
                <w:color w:val="auto"/>
                <w:kern w:val="0"/>
                <w:sz w:val="21"/>
                <w:szCs w:val="21"/>
                <w:highlight w:val="none"/>
                <w:lang w:val="en-US" w:eastAsia="zh-CN"/>
              </w:rPr>
            </w:pPr>
            <w:r>
              <w:rPr>
                <w:rFonts w:hint="eastAsia" w:ascii="Times New Roman" w:hAnsi="Times New Roman"/>
                <w:color w:val="auto"/>
                <w:kern w:val="0"/>
                <w:sz w:val="21"/>
                <w:szCs w:val="21"/>
                <w:highlight w:val="none"/>
                <w:lang w:val="en-US" w:eastAsia="zh-CN"/>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81" w:hRule="atLeast"/>
          <w:jc w:val="center"/>
        </w:trPr>
        <w:tc>
          <w:tcPr>
            <w:tcW w:w="1491" w:type="dxa"/>
            <w:vMerge w:val="continue"/>
            <w:tcBorders>
              <w:right w:val="single" w:color="auto" w:sz="8" w:space="0"/>
            </w:tcBorders>
            <w:noWrap w:val="0"/>
            <w:vAlign w:val="center"/>
          </w:tcPr>
          <w:p>
            <w:pPr>
              <w:keepNext w:val="0"/>
              <w:keepLines w:val="0"/>
              <w:pageBreakBefore w:val="0"/>
              <w:kinsoku/>
              <w:overflowPunct/>
              <w:topLinePunct w:val="0"/>
              <w:autoSpaceDE/>
              <w:autoSpaceDN/>
              <w:bidi w:val="0"/>
              <w:spacing w:line="560" w:lineRule="exact"/>
              <w:textAlignment w:val="auto"/>
              <w:rPr>
                <w:rFonts w:hint="eastAsia" w:ascii="Times New Roman" w:hAnsi="Times New Roman" w:eastAsia="宋体"/>
                <w:color w:val="auto"/>
                <w:kern w:val="0"/>
                <w:sz w:val="21"/>
                <w:szCs w:val="21"/>
                <w:highlight w:val="none"/>
              </w:rPr>
            </w:pPr>
          </w:p>
        </w:tc>
        <w:tc>
          <w:tcPr>
            <w:tcW w:w="1126" w:type="dxa"/>
            <w:vMerge w:val="continue"/>
            <w:tcBorders>
              <w:left w:val="single" w:color="auto" w:sz="8"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rPr>
            </w:pPr>
          </w:p>
        </w:tc>
        <w:tc>
          <w:tcPr>
            <w:tcW w:w="2390" w:type="dxa"/>
            <w:gridSpan w:val="4"/>
            <w:tcBorders>
              <w:top w:val="single" w:color="auto" w:sz="8" w:space="0"/>
              <w:right w:val="single" w:color="auto" w:sz="8" w:space="0"/>
            </w:tcBorders>
            <w:noWrap w:val="0"/>
            <w:vAlign w:val="center"/>
          </w:tcPr>
          <w:p>
            <w:pPr>
              <w:keepNext w:val="0"/>
              <w:keepLines w:val="0"/>
              <w:pageBreakBefore w:val="0"/>
              <w:widowControl/>
              <w:kinsoku/>
              <w:overflowPunct/>
              <w:topLinePunct w:val="0"/>
              <w:autoSpaceDE/>
              <w:autoSpaceDN/>
              <w:bidi w:val="0"/>
              <w:spacing w:line="560" w:lineRule="exact"/>
              <w:ind w:left="210" w:hanging="210" w:hangingChars="100"/>
              <w:jc w:val="center"/>
              <w:textAlignment w:val="auto"/>
              <w:rPr>
                <w:rFonts w:hint="default" w:ascii="Times New Roman" w:hAnsi="Times New Roman" w:eastAsia="宋体"/>
                <w:color w:val="auto"/>
                <w:kern w:val="0"/>
                <w:sz w:val="21"/>
                <w:szCs w:val="21"/>
                <w:highlight w:val="none"/>
                <w:lang w:val="en-US" w:eastAsia="zh-CN"/>
              </w:rPr>
            </w:pPr>
            <w:r>
              <w:rPr>
                <w:rFonts w:hint="eastAsia" w:ascii="Times New Roman" w:hAnsi="Times New Roman"/>
                <w:color w:val="auto"/>
                <w:kern w:val="0"/>
                <w:sz w:val="21"/>
                <w:szCs w:val="21"/>
                <w:highlight w:val="none"/>
                <w:lang w:val="en-US" w:eastAsia="zh-CN"/>
              </w:rPr>
              <w:t>依年营收企业首次超</w:t>
            </w:r>
          </w:p>
        </w:tc>
        <w:tc>
          <w:tcPr>
            <w:tcW w:w="1455" w:type="dxa"/>
            <w:gridSpan w:val="3"/>
            <w:tcBorders>
              <w:top w:val="single" w:color="auto" w:sz="8" w:space="0"/>
              <w:left w:val="single" w:color="auto" w:sz="8" w:space="0"/>
            </w:tcBorders>
            <w:noWrap w:val="0"/>
            <w:vAlign w:val="top"/>
          </w:tcPr>
          <w:p>
            <w:pPr>
              <w:keepNext w:val="0"/>
              <w:keepLines w:val="0"/>
              <w:pageBreakBefore w:val="0"/>
              <w:widowControl/>
              <w:kinsoku/>
              <w:overflowPunct/>
              <w:topLinePunct w:val="0"/>
              <w:autoSpaceDE/>
              <w:autoSpaceDN/>
              <w:bidi w:val="0"/>
              <w:spacing w:line="560" w:lineRule="exact"/>
              <w:ind w:left="210" w:hanging="210" w:hangingChars="100"/>
              <w:textAlignment w:val="auto"/>
              <w:rPr>
                <w:rFonts w:hint="eastAsia" w:ascii="Times New Roman" w:hAnsi="Times New Roman" w:eastAsia="宋体"/>
                <w:color w:val="auto"/>
                <w:kern w:val="0"/>
                <w:sz w:val="21"/>
                <w:szCs w:val="21"/>
                <w:highlight w:val="none"/>
              </w:rPr>
            </w:pPr>
          </w:p>
        </w:tc>
        <w:tc>
          <w:tcPr>
            <w:tcW w:w="1515" w:type="dxa"/>
            <w:gridSpan w:val="3"/>
            <w:tcBorders>
              <w:top w:val="single" w:color="auto" w:sz="8" w:space="0"/>
              <w:left w:val="single" w:color="auto" w:sz="8"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rPr>
            </w:pPr>
            <w:r>
              <w:rPr>
                <w:rFonts w:hint="eastAsia" w:ascii="Times New Roman" w:hAnsi="Times New Roman" w:eastAsia="宋体"/>
                <w:color w:val="auto"/>
                <w:kern w:val="0"/>
                <w:sz w:val="21"/>
                <w:szCs w:val="21"/>
                <w:highlight w:val="none"/>
              </w:rPr>
              <w:t>申请奖励资金</w:t>
            </w:r>
          </w:p>
        </w:tc>
        <w:tc>
          <w:tcPr>
            <w:tcW w:w="2037" w:type="dxa"/>
            <w:tcBorders>
              <w:top w:val="single" w:color="auto" w:sz="8" w:space="0"/>
              <w:left w:val="single" w:color="auto" w:sz="8" w:space="0"/>
            </w:tcBorders>
            <w:noWrap w:val="0"/>
            <w:vAlign w:val="center"/>
          </w:tcPr>
          <w:p>
            <w:pPr>
              <w:keepNext w:val="0"/>
              <w:keepLines w:val="0"/>
              <w:pageBreakBefore w:val="0"/>
              <w:kinsoku/>
              <w:overflowPunct/>
              <w:topLinePunct w:val="0"/>
              <w:autoSpaceDE/>
              <w:autoSpaceDN/>
              <w:bidi w:val="0"/>
              <w:spacing w:line="560" w:lineRule="exact"/>
              <w:jc w:val="right"/>
              <w:textAlignment w:val="auto"/>
              <w:rPr>
                <w:rFonts w:hint="eastAsia" w:ascii="Times New Roman" w:hAnsi="Times New Roman" w:eastAsia="宋体"/>
                <w:color w:val="auto"/>
                <w:kern w:val="0"/>
                <w:sz w:val="21"/>
                <w:szCs w:val="21"/>
                <w:highlight w:val="none"/>
              </w:rPr>
            </w:pPr>
            <w:r>
              <w:rPr>
                <w:rFonts w:hint="eastAsia" w:ascii="Times New Roman" w:hAnsi="Times New Roman" w:eastAsia="宋体"/>
                <w:color w:val="auto"/>
                <w:kern w:val="0"/>
                <w:sz w:val="21"/>
                <w:szCs w:val="21"/>
                <w:highlight w:val="none"/>
              </w:rPr>
              <w:t xml:space="preserve">                 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89" w:hRule="atLeast"/>
          <w:jc w:val="center"/>
        </w:trPr>
        <w:tc>
          <w:tcPr>
            <w:tcW w:w="1491" w:type="dxa"/>
            <w:vMerge w:val="continue"/>
            <w:tcBorders>
              <w:right w:val="single" w:color="auto" w:sz="8" w:space="0"/>
            </w:tcBorders>
            <w:noWrap w:val="0"/>
            <w:vAlign w:val="center"/>
          </w:tcPr>
          <w:p>
            <w:pPr>
              <w:keepNext w:val="0"/>
              <w:keepLines w:val="0"/>
              <w:pageBreakBefore w:val="0"/>
              <w:kinsoku/>
              <w:overflowPunct/>
              <w:topLinePunct w:val="0"/>
              <w:autoSpaceDE/>
              <w:autoSpaceDN/>
              <w:bidi w:val="0"/>
              <w:spacing w:line="560" w:lineRule="exact"/>
              <w:textAlignment w:val="auto"/>
              <w:rPr>
                <w:rFonts w:hint="eastAsia" w:ascii="Times New Roman" w:hAnsi="Times New Roman" w:eastAsia="宋体"/>
                <w:color w:val="auto"/>
                <w:kern w:val="0"/>
                <w:sz w:val="21"/>
                <w:szCs w:val="21"/>
                <w:highlight w:val="none"/>
              </w:rPr>
            </w:pPr>
          </w:p>
        </w:tc>
        <w:tc>
          <w:tcPr>
            <w:tcW w:w="1126" w:type="dxa"/>
            <w:vMerge w:val="restart"/>
            <w:tcBorders>
              <w:top w:val="single" w:color="auto" w:sz="4" w:space="0"/>
              <w:left w:val="single" w:color="auto" w:sz="8"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宋体"/>
                <w:color w:val="auto"/>
                <w:kern w:val="0"/>
                <w:sz w:val="21"/>
                <w:szCs w:val="21"/>
                <w:highlight w:val="none"/>
                <w:lang w:val="en-US" w:eastAsia="zh-CN"/>
              </w:rPr>
            </w:pPr>
            <w:r>
              <w:rPr>
                <w:rFonts w:hint="eastAsia" w:ascii="Times New Roman" w:hAnsi="Times New Roman"/>
                <w:color w:val="auto"/>
                <w:kern w:val="0"/>
                <w:sz w:val="21"/>
                <w:szCs w:val="21"/>
                <w:highlight w:val="none"/>
                <w:lang w:val="en-US" w:eastAsia="zh-CN"/>
              </w:rPr>
              <w:t>租房购房</w:t>
            </w:r>
          </w:p>
        </w:tc>
        <w:tc>
          <w:tcPr>
            <w:tcW w:w="2390" w:type="dxa"/>
            <w:gridSpan w:val="4"/>
            <w:tcBorders>
              <w:top w:val="single" w:color="auto" w:sz="4" w:space="0"/>
              <w:bottom w:val="single" w:color="auto" w:sz="8" w:space="0"/>
              <w:right w:val="single" w:color="auto" w:sz="8"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宋体"/>
                <w:color w:val="auto"/>
                <w:kern w:val="0"/>
                <w:sz w:val="21"/>
                <w:szCs w:val="21"/>
                <w:highlight w:val="none"/>
                <w:lang w:val="en-US" w:eastAsia="zh-CN"/>
              </w:rPr>
            </w:pPr>
            <w:r>
              <w:rPr>
                <w:rFonts w:hint="eastAsia" w:ascii="Times New Roman" w:hAnsi="Times New Roman"/>
                <w:color w:val="auto"/>
                <w:kern w:val="0"/>
                <w:sz w:val="21"/>
                <w:szCs w:val="21"/>
                <w:highlight w:val="none"/>
                <w:lang w:val="en-US" w:eastAsia="zh-CN"/>
              </w:rPr>
              <w:t>自建成本或购置价格</w:t>
            </w:r>
          </w:p>
        </w:tc>
        <w:tc>
          <w:tcPr>
            <w:tcW w:w="1455" w:type="dxa"/>
            <w:gridSpan w:val="3"/>
            <w:tcBorders>
              <w:top w:val="single" w:color="auto" w:sz="4" w:space="0"/>
              <w:left w:val="single" w:color="auto" w:sz="8" w:space="0"/>
              <w:bottom w:val="single" w:color="auto" w:sz="8" w:space="0"/>
            </w:tcBorders>
            <w:noWrap w:val="0"/>
            <w:vAlign w:val="center"/>
          </w:tcPr>
          <w:p>
            <w:pPr>
              <w:keepNext w:val="0"/>
              <w:keepLines w:val="0"/>
              <w:pageBreakBefore w:val="0"/>
              <w:widowControl/>
              <w:kinsoku/>
              <w:overflowPunct/>
              <w:topLinePunct w:val="0"/>
              <w:autoSpaceDE/>
              <w:autoSpaceDN/>
              <w:bidi w:val="0"/>
              <w:spacing w:line="560" w:lineRule="exact"/>
              <w:ind w:left="210" w:hanging="210" w:hangingChars="100"/>
              <w:textAlignment w:val="auto"/>
              <w:rPr>
                <w:rFonts w:hint="eastAsia" w:ascii="Times New Roman" w:hAnsi="Times New Roman" w:eastAsia="宋体"/>
                <w:color w:val="auto"/>
                <w:kern w:val="0"/>
                <w:sz w:val="21"/>
                <w:szCs w:val="21"/>
                <w:highlight w:val="none"/>
              </w:rPr>
            </w:pPr>
          </w:p>
        </w:tc>
        <w:tc>
          <w:tcPr>
            <w:tcW w:w="1515" w:type="dxa"/>
            <w:gridSpan w:val="3"/>
            <w:vMerge w:val="restart"/>
            <w:tcBorders>
              <w:top w:val="single" w:color="auto" w:sz="4" w:space="0"/>
              <w:left w:val="single" w:color="auto" w:sz="8"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rPr>
            </w:pPr>
            <w:r>
              <w:rPr>
                <w:rFonts w:hint="eastAsia" w:ascii="Times New Roman" w:hAnsi="Times New Roman" w:eastAsia="宋体"/>
                <w:color w:val="auto"/>
                <w:kern w:val="0"/>
                <w:sz w:val="21"/>
                <w:szCs w:val="21"/>
                <w:highlight w:val="none"/>
              </w:rPr>
              <w:t>申请奖励资金</w:t>
            </w:r>
          </w:p>
        </w:tc>
        <w:tc>
          <w:tcPr>
            <w:tcW w:w="2037" w:type="dxa"/>
            <w:tcBorders>
              <w:top w:val="single" w:color="auto" w:sz="4" w:space="0"/>
              <w:left w:val="single" w:color="auto" w:sz="8" w:space="0"/>
            </w:tcBorders>
            <w:noWrap w:val="0"/>
            <w:vAlign w:val="center"/>
          </w:tcPr>
          <w:p>
            <w:pPr>
              <w:keepNext w:val="0"/>
              <w:keepLines w:val="0"/>
              <w:pageBreakBefore w:val="0"/>
              <w:widowControl/>
              <w:kinsoku/>
              <w:overflowPunct/>
              <w:topLinePunct w:val="0"/>
              <w:autoSpaceDE/>
              <w:autoSpaceDN/>
              <w:bidi w:val="0"/>
              <w:spacing w:line="560" w:lineRule="exact"/>
              <w:jc w:val="right"/>
              <w:textAlignment w:val="auto"/>
              <w:rPr>
                <w:rFonts w:hint="eastAsia" w:ascii="Times New Roman" w:hAnsi="Times New Roman" w:eastAsia="宋体"/>
                <w:color w:val="auto"/>
                <w:kern w:val="0"/>
                <w:sz w:val="21"/>
                <w:szCs w:val="21"/>
                <w:highlight w:val="none"/>
                <w:lang w:val="en-US" w:eastAsia="zh-CN"/>
              </w:rPr>
            </w:pPr>
            <w:r>
              <w:rPr>
                <w:rFonts w:hint="eastAsia" w:ascii="Times New Roman" w:hAnsi="Times New Roman"/>
                <w:color w:val="auto"/>
                <w:kern w:val="0"/>
                <w:sz w:val="21"/>
                <w:szCs w:val="21"/>
                <w:highlight w:val="none"/>
                <w:lang w:val="en-US" w:eastAsia="zh-CN"/>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29" w:hRule="atLeast"/>
          <w:jc w:val="center"/>
        </w:trPr>
        <w:tc>
          <w:tcPr>
            <w:tcW w:w="1491" w:type="dxa"/>
            <w:vMerge w:val="continue"/>
            <w:tcBorders>
              <w:right w:val="single" w:color="auto" w:sz="8" w:space="0"/>
            </w:tcBorders>
            <w:noWrap w:val="0"/>
            <w:vAlign w:val="center"/>
          </w:tcPr>
          <w:p>
            <w:pPr>
              <w:keepNext w:val="0"/>
              <w:keepLines w:val="0"/>
              <w:pageBreakBefore w:val="0"/>
              <w:kinsoku/>
              <w:overflowPunct/>
              <w:topLinePunct w:val="0"/>
              <w:autoSpaceDE/>
              <w:autoSpaceDN/>
              <w:bidi w:val="0"/>
              <w:spacing w:line="560" w:lineRule="exact"/>
              <w:textAlignment w:val="auto"/>
              <w:rPr>
                <w:rFonts w:hint="eastAsia" w:ascii="Times New Roman" w:hAnsi="Times New Roman" w:eastAsia="宋体"/>
                <w:color w:val="auto"/>
                <w:kern w:val="0"/>
                <w:sz w:val="21"/>
                <w:szCs w:val="21"/>
                <w:highlight w:val="none"/>
              </w:rPr>
            </w:pPr>
          </w:p>
        </w:tc>
        <w:tc>
          <w:tcPr>
            <w:tcW w:w="1126" w:type="dxa"/>
            <w:vMerge w:val="continue"/>
            <w:tcBorders>
              <w:left w:val="single" w:color="auto" w:sz="8"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lang w:val="en-US" w:eastAsia="zh-CN"/>
              </w:rPr>
            </w:pPr>
          </w:p>
        </w:tc>
        <w:tc>
          <w:tcPr>
            <w:tcW w:w="2390" w:type="dxa"/>
            <w:gridSpan w:val="4"/>
            <w:tcBorders>
              <w:top w:val="single" w:color="auto" w:sz="4" w:space="0"/>
              <w:bottom w:val="single" w:color="auto" w:sz="8" w:space="0"/>
              <w:right w:val="single" w:color="auto" w:sz="8"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宋体"/>
                <w:color w:val="auto"/>
                <w:kern w:val="0"/>
                <w:sz w:val="21"/>
                <w:szCs w:val="21"/>
                <w:highlight w:val="none"/>
                <w:lang w:val="en-US" w:eastAsia="zh-CN"/>
              </w:rPr>
            </w:pPr>
            <w:r>
              <w:rPr>
                <w:rFonts w:hint="eastAsia" w:ascii="Times New Roman" w:hAnsi="Times New Roman"/>
                <w:color w:val="auto"/>
                <w:kern w:val="0"/>
                <w:sz w:val="21"/>
                <w:szCs w:val="21"/>
                <w:highlight w:val="none"/>
                <w:lang w:val="en-US" w:eastAsia="zh-CN"/>
              </w:rPr>
              <w:t>办公用房租赁价格</w:t>
            </w:r>
          </w:p>
        </w:tc>
        <w:tc>
          <w:tcPr>
            <w:tcW w:w="1455" w:type="dxa"/>
            <w:gridSpan w:val="3"/>
            <w:tcBorders>
              <w:top w:val="single" w:color="auto" w:sz="4" w:space="0"/>
              <w:left w:val="single" w:color="auto" w:sz="8" w:space="0"/>
              <w:bottom w:val="single" w:color="auto" w:sz="8" w:space="0"/>
            </w:tcBorders>
            <w:noWrap w:val="0"/>
            <w:vAlign w:val="center"/>
          </w:tcPr>
          <w:p>
            <w:pPr>
              <w:keepNext w:val="0"/>
              <w:keepLines w:val="0"/>
              <w:pageBreakBefore w:val="0"/>
              <w:widowControl/>
              <w:kinsoku/>
              <w:overflowPunct/>
              <w:topLinePunct w:val="0"/>
              <w:autoSpaceDE/>
              <w:autoSpaceDN/>
              <w:bidi w:val="0"/>
              <w:spacing w:line="560" w:lineRule="exact"/>
              <w:ind w:left="210" w:hanging="210" w:hangingChars="100"/>
              <w:textAlignment w:val="auto"/>
              <w:rPr>
                <w:rFonts w:hint="eastAsia" w:ascii="Times New Roman" w:hAnsi="Times New Roman" w:eastAsia="宋体"/>
                <w:color w:val="auto"/>
                <w:kern w:val="0"/>
                <w:sz w:val="21"/>
                <w:szCs w:val="21"/>
                <w:highlight w:val="none"/>
              </w:rPr>
            </w:pPr>
          </w:p>
        </w:tc>
        <w:tc>
          <w:tcPr>
            <w:tcW w:w="1515" w:type="dxa"/>
            <w:gridSpan w:val="3"/>
            <w:vMerge w:val="continue"/>
            <w:tcBorders>
              <w:left w:val="single" w:color="auto" w:sz="8"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rPr>
            </w:pPr>
          </w:p>
        </w:tc>
        <w:tc>
          <w:tcPr>
            <w:tcW w:w="2037" w:type="dxa"/>
            <w:tcBorders>
              <w:top w:val="single" w:color="auto" w:sz="4" w:space="0"/>
              <w:left w:val="single" w:color="auto" w:sz="8" w:space="0"/>
            </w:tcBorders>
            <w:noWrap w:val="0"/>
            <w:vAlign w:val="center"/>
          </w:tcPr>
          <w:p>
            <w:pPr>
              <w:keepNext w:val="0"/>
              <w:keepLines w:val="0"/>
              <w:pageBreakBefore w:val="0"/>
              <w:widowControl/>
              <w:kinsoku/>
              <w:overflowPunct/>
              <w:topLinePunct w:val="0"/>
              <w:autoSpaceDE/>
              <w:autoSpaceDN/>
              <w:bidi w:val="0"/>
              <w:spacing w:line="560" w:lineRule="exact"/>
              <w:jc w:val="right"/>
              <w:textAlignment w:val="auto"/>
              <w:rPr>
                <w:rFonts w:hint="eastAsia" w:ascii="Times New Roman" w:hAnsi="Times New Roman" w:eastAsia="宋体"/>
                <w:color w:val="auto"/>
                <w:kern w:val="0"/>
                <w:sz w:val="21"/>
                <w:szCs w:val="21"/>
                <w:highlight w:val="none"/>
                <w:lang w:val="en-US" w:eastAsia="zh-CN"/>
              </w:rPr>
            </w:pPr>
            <w:r>
              <w:rPr>
                <w:rFonts w:hint="eastAsia" w:ascii="Times New Roman" w:hAnsi="Times New Roman"/>
                <w:color w:val="auto"/>
                <w:kern w:val="0"/>
                <w:sz w:val="21"/>
                <w:szCs w:val="21"/>
                <w:highlight w:val="none"/>
                <w:lang w:val="en-US" w:eastAsia="zh-CN"/>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60" w:hRule="atLeast"/>
          <w:jc w:val="center"/>
        </w:trPr>
        <w:tc>
          <w:tcPr>
            <w:tcW w:w="1491" w:type="dxa"/>
            <w:vMerge w:val="continue"/>
            <w:tcBorders>
              <w:right w:val="single" w:color="auto" w:sz="8" w:space="0"/>
            </w:tcBorders>
            <w:noWrap w:val="0"/>
            <w:vAlign w:val="center"/>
          </w:tcPr>
          <w:p>
            <w:pPr>
              <w:keepNext w:val="0"/>
              <w:keepLines w:val="0"/>
              <w:pageBreakBefore w:val="0"/>
              <w:kinsoku/>
              <w:overflowPunct/>
              <w:topLinePunct w:val="0"/>
              <w:autoSpaceDE/>
              <w:autoSpaceDN/>
              <w:bidi w:val="0"/>
              <w:spacing w:line="560" w:lineRule="exact"/>
              <w:textAlignment w:val="auto"/>
              <w:rPr>
                <w:rFonts w:hint="eastAsia" w:ascii="Times New Roman" w:hAnsi="Times New Roman" w:eastAsia="宋体"/>
                <w:color w:val="auto"/>
                <w:kern w:val="0"/>
                <w:sz w:val="21"/>
                <w:szCs w:val="21"/>
                <w:highlight w:val="none"/>
              </w:rPr>
            </w:pPr>
          </w:p>
        </w:tc>
        <w:tc>
          <w:tcPr>
            <w:tcW w:w="1126" w:type="dxa"/>
            <w:vMerge w:val="restart"/>
            <w:tcBorders>
              <w:top w:val="single" w:color="auto" w:sz="4" w:space="0"/>
              <w:left w:val="single" w:color="auto" w:sz="8"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宋体"/>
                <w:color w:val="auto"/>
                <w:kern w:val="0"/>
                <w:sz w:val="21"/>
                <w:szCs w:val="21"/>
                <w:highlight w:val="none"/>
                <w:lang w:val="en-US" w:eastAsia="zh-CN"/>
              </w:rPr>
            </w:pPr>
            <w:r>
              <w:rPr>
                <w:rFonts w:hint="eastAsia" w:ascii="Times New Roman" w:hAnsi="Times New Roman"/>
                <w:color w:val="auto"/>
                <w:kern w:val="0"/>
                <w:sz w:val="21"/>
                <w:szCs w:val="21"/>
                <w:highlight w:val="none"/>
                <w:lang w:val="en-US" w:eastAsia="zh-CN"/>
              </w:rPr>
              <w:t>人才贡献</w:t>
            </w:r>
          </w:p>
        </w:tc>
        <w:tc>
          <w:tcPr>
            <w:tcW w:w="7397" w:type="dxa"/>
            <w:gridSpan w:val="11"/>
            <w:tcBorders>
              <w:top w:val="single" w:color="auto" w:sz="4" w:space="0"/>
              <w:bottom w:val="single" w:color="auto" w:sz="8"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lang w:eastAsia="zh-CN"/>
              </w:rPr>
            </w:pPr>
            <w:r>
              <w:rPr>
                <w:rFonts w:hint="eastAsia" w:ascii="Times New Roman" w:hAnsi="Times New Roman"/>
                <w:lang w:val="en-US" w:eastAsia="zh-CN"/>
              </w:rPr>
              <w:t>高管个人年度地方</w:t>
            </w:r>
            <w:r>
              <w:rPr>
                <w:rFonts w:hint="eastAsia" w:ascii="Times New Roman" w:hAnsi="Times New Roman"/>
              </w:rPr>
              <w:t>财政贡献</w:t>
            </w:r>
            <w:r>
              <w:rPr>
                <w:rFonts w:hint="eastAsia" w:ascii="Times New Roman" w:hAnsi="Times New Roman"/>
                <w:u w:val="single"/>
              </w:rPr>
              <w:t xml:space="preserve">      </w:t>
            </w:r>
            <w:r>
              <w:rPr>
                <w:rFonts w:hint="eastAsia" w:ascii="Times New Roman" w:hAnsi="Times New Roman"/>
              </w:rPr>
              <w:t>万元，第</w:t>
            </w:r>
            <w:r>
              <w:rPr>
                <w:rFonts w:hint="eastAsia" w:ascii="Times New Roman" w:hAnsi="Times New Roman"/>
                <w:u w:val="single"/>
                <w:lang w:val="en-US" w:eastAsia="zh-CN"/>
              </w:rPr>
              <w:t xml:space="preserve">     </w:t>
            </w:r>
            <w:r>
              <w:rPr>
                <w:rFonts w:hint="eastAsia" w:ascii="Times New Roman" w:hAnsi="Times New Roman"/>
              </w:rPr>
              <w:t>年申请补助资金</w:t>
            </w:r>
            <w:r>
              <w:rPr>
                <w:rFonts w:hint="eastAsia" w:ascii="Times New Roman" w:hAnsi="Times New Roman"/>
                <w:u w:val="single"/>
              </w:rPr>
              <w:t xml:space="preserve">       </w:t>
            </w:r>
            <w:r>
              <w:rPr>
                <w:rFonts w:hint="eastAsia" w:ascii="Times New Roman" w:hAnsi="Times New Roman"/>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05" w:hRule="atLeast"/>
          <w:jc w:val="center"/>
        </w:trPr>
        <w:tc>
          <w:tcPr>
            <w:tcW w:w="1491" w:type="dxa"/>
            <w:vMerge w:val="continue"/>
            <w:tcBorders>
              <w:right w:val="single" w:color="auto" w:sz="8" w:space="0"/>
            </w:tcBorders>
            <w:noWrap w:val="0"/>
            <w:vAlign w:val="center"/>
          </w:tcPr>
          <w:p>
            <w:pPr>
              <w:keepNext w:val="0"/>
              <w:keepLines w:val="0"/>
              <w:pageBreakBefore w:val="0"/>
              <w:kinsoku/>
              <w:overflowPunct/>
              <w:topLinePunct w:val="0"/>
              <w:autoSpaceDE/>
              <w:autoSpaceDN/>
              <w:bidi w:val="0"/>
              <w:spacing w:line="560" w:lineRule="exact"/>
              <w:textAlignment w:val="auto"/>
              <w:rPr>
                <w:rFonts w:ascii="Times New Roman" w:hAnsi="Times New Roman"/>
              </w:rPr>
            </w:pPr>
          </w:p>
        </w:tc>
        <w:tc>
          <w:tcPr>
            <w:tcW w:w="1126" w:type="dxa"/>
            <w:vMerge w:val="continue"/>
            <w:tcBorders>
              <w:left w:val="single" w:color="auto" w:sz="8"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ascii="Times New Roman" w:hAnsi="Times New Roman"/>
              </w:rPr>
            </w:pPr>
          </w:p>
        </w:tc>
        <w:tc>
          <w:tcPr>
            <w:tcW w:w="7397" w:type="dxa"/>
            <w:gridSpan w:val="11"/>
            <w:tcBorders>
              <w:top w:val="single" w:color="auto" w:sz="4" w:space="0"/>
              <w:bottom w:val="single" w:color="auto" w:sz="8" w:space="0"/>
            </w:tcBorders>
            <w:noWrap w:val="0"/>
            <w:vAlign w:val="center"/>
          </w:tcPr>
          <w:p>
            <w:pPr>
              <w:keepNext w:val="0"/>
              <w:keepLines w:val="0"/>
              <w:pageBreakBefore w:val="0"/>
              <w:kinsoku/>
              <w:overflowPunct/>
              <w:topLinePunct w:val="0"/>
              <w:autoSpaceDE/>
              <w:autoSpaceDN/>
              <w:bidi w:val="0"/>
              <w:spacing w:line="560" w:lineRule="exact"/>
              <w:textAlignment w:val="auto"/>
              <w:rPr>
                <w:rFonts w:hint="eastAsia" w:ascii="Times New Roman" w:hAnsi="Times New Roman"/>
                <w:lang w:val="en-US" w:eastAsia="zh-CN"/>
              </w:rPr>
            </w:pPr>
            <w:r>
              <w:rPr>
                <w:rFonts w:hint="eastAsia" w:ascii="Times New Roman" w:hAnsi="Times New Roman"/>
                <w:lang w:val="en-US" w:eastAsia="zh-CN"/>
              </w:rPr>
              <w:t>高管减持股份地方财政贡献</w:t>
            </w:r>
            <w:r>
              <w:rPr>
                <w:rFonts w:hint="eastAsia" w:ascii="Times New Roman" w:hAnsi="Times New Roman"/>
                <w:u w:val="single"/>
              </w:rPr>
              <w:t xml:space="preserve">    </w:t>
            </w:r>
            <w:r>
              <w:rPr>
                <w:rFonts w:hint="eastAsia" w:ascii="Times New Roman" w:hAnsi="Times New Roman"/>
                <w:u w:val="single"/>
                <w:lang w:val="en-US" w:eastAsia="zh-CN"/>
              </w:rPr>
              <w:t xml:space="preserve"> </w:t>
            </w:r>
            <w:r>
              <w:rPr>
                <w:rFonts w:hint="eastAsia" w:ascii="Times New Roman" w:hAnsi="Times New Roman"/>
                <w:u w:val="single"/>
              </w:rPr>
              <w:t xml:space="preserve"> </w:t>
            </w:r>
            <w:r>
              <w:rPr>
                <w:rFonts w:hint="eastAsia" w:ascii="Times New Roman" w:hAnsi="Times New Roman"/>
              </w:rPr>
              <w:t>万元，第</w:t>
            </w:r>
            <w:r>
              <w:rPr>
                <w:rFonts w:hint="eastAsia" w:ascii="Times New Roman" w:hAnsi="Times New Roman"/>
                <w:u w:val="single"/>
                <w:lang w:val="en-US" w:eastAsia="zh-CN"/>
              </w:rPr>
              <w:t xml:space="preserve">     </w:t>
            </w:r>
            <w:r>
              <w:rPr>
                <w:rFonts w:hint="eastAsia" w:ascii="Times New Roman" w:hAnsi="Times New Roman"/>
              </w:rPr>
              <w:t>年申请补助资金</w:t>
            </w:r>
            <w:r>
              <w:rPr>
                <w:rFonts w:hint="eastAsia" w:ascii="Times New Roman" w:hAnsi="Times New Roman"/>
                <w:u w:val="single"/>
              </w:rPr>
              <w:t xml:space="preserve">      </w:t>
            </w:r>
            <w:r>
              <w:rPr>
                <w:rFonts w:hint="eastAsia" w:ascii="Times New Roman" w:hAnsi="Times New Roman"/>
                <w:u w:val="single"/>
                <w:lang w:val="en-US" w:eastAsia="zh-CN"/>
              </w:rPr>
              <w:t xml:space="preserve"> </w:t>
            </w:r>
            <w:r>
              <w:rPr>
                <w:rFonts w:hint="eastAsia" w:ascii="Times New Roman" w:hAnsi="Times New Roman"/>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14" w:hRule="atLeast"/>
          <w:jc w:val="center"/>
        </w:trPr>
        <w:tc>
          <w:tcPr>
            <w:tcW w:w="1491" w:type="dxa"/>
            <w:vMerge w:val="continue"/>
            <w:tcBorders>
              <w:right w:val="single" w:color="auto" w:sz="8" w:space="0"/>
            </w:tcBorders>
            <w:noWrap w:val="0"/>
            <w:vAlign w:val="center"/>
          </w:tcPr>
          <w:p>
            <w:pPr>
              <w:keepNext w:val="0"/>
              <w:keepLines w:val="0"/>
              <w:pageBreakBefore w:val="0"/>
              <w:kinsoku/>
              <w:overflowPunct/>
              <w:topLinePunct w:val="0"/>
              <w:autoSpaceDE/>
              <w:autoSpaceDN/>
              <w:bidi w:val="0"/>
              <w:spacing w:line="560" w:lineRule="exact"/>
              <w:textAlignment w:val="auto"/>
              <w:rPr>
                <w:rFonts w:hint="eastAsia" w:ascii="Times New Roman" w:hAnsi="Times New Roman" w:eastAsia="宋体"/>
                <w:color w:val="auto"/>
                <w:kern w:val="0"/>
                <w:sz w:val="21"/>
                <w:szCs w:val="21"/>
                <w:highlight w:val="none"/>
              </w:rPr>
            </w:pPr>
          </w:p>
        </w:tc>
        <w:tc>
          <w:tcPr>
            <w:tcW w:w="1126" w:type="dxa"/>
            <w:tcBorders>
              <w:top w:val="single" w:color="auto" w:sz="4" w:space="0"/>
              <w:left w:val="single" w:color="auto" w:sz="8"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rPr>
            </w:pPr>
            <w:r>
              <w:rPr>
                <w:rFonts w:hint="eastAsia" w:ascii="Times New Roman" w:hAnsi="Times New Roman" w:eastAsia="宋体"/>
                <w:color w:val="auto"/>
                <w:kern w:val="0"/>
                <w:sz w:val="21"/>
                <w:szCs w:val="21"/>
                <w:highlight w:val="none"/>
                <w:lang w:val="en-US" w:eastAsia="zh-CN"/>
              </w:rPr>
              <w:t>产业配套</w:t>
            </w:r>
          </w:p>
        </w:tc>
        <w:tc>
          <w:tcPr>
            <w:tcW w:w="2390" w:type="dxa"/>
            <w:gridSpan w:val="4"/>
            <w:tcBorders>
              <w:top w:val="single" w:color="auto" w:sz="4" w:space="0"/>
              <w:bottom w:val="single" w:color="auto" w:sz="8" w:space="0"/>
              <w:right w:val="single" w:color="auto" w:sz="8"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rPr>
            </w:pPr>
            <w:r>
              <w:rPr>
                <w:rFonts w:hint="eastAsia" w:ascii="Times New Roman" w:hAnsi="Times New Roman"/>
                <w:color w:val="auto"/>
                <w:kern w:val="0"/>
                <w:sz w:val="21"/>
                <w:szCs w:val="21"/>
                <w:highlight w:val="none"/>
                <w:lang w:val="en-US" w:eastAsia="zh-CN"/>
              </w:rPr>
              <w:t>产业链上下游配套项目</w:t>
            </w:r>
            <w:r>
              <w:rPr>
                <w:rFonts w:hint="eastAsia" w:ascii="Times New Roman" w:hAnsi="Times New Roman" w:eastAsia="宋体"/>
                <w:color w:val="auto"/>
                <w:kern w:val="0"/>
                <w:sz w:val="21"/>
                <w:szCs w:val="21"/>
                <w:highlight w:val="none"/>
              </w:rPr>
              <w:t>总投资超</w:t>
            </w:r>
          </w:p>
        </w:tc>
        <w:tc>
          <w:tcPr>
            <w:tcW w:w="1455" w:type="dxa"/>
            <w:gridSpan w:val="3"/>
            <w:tcBorders>
              <w:top w:val="single" w:color="auto" w:sz="4" w:space="0"/>
              <w:left w:val="single" w:color="auto" w:sz="8" w:space="0"/>
              <w:bottom w:val="single" w:color="auto" w:sz="8" w:space="0"/>
            </w:tcBorders>
            <w:noWrap w:val="0"/>
            <w:vAlign w:val="center"/>
          </w:tcPr>
          <w:p>
            <w:pPr>
              <w:keepNext w:val="0"/>
              <w:keepLines w:val="0"/>
              <w:pageBreakBefore w:val="0"/>
              <w:widowControl/>
              <w:kinsoku/>
              <w:overflowPunct/>
              <w:topLinePunct w:val="0"/>
              <w:autoSpaceDE/>
              <w:autoSpaceDN/>
              <w:bidi w:val="0"/>
              <w:spacing w:line="560" w:lineRule="exact"/>
              <w:ind w:left="210" w:hanging="210" w:hangingChars="100"/>
              <w:textAlignment w:val="auto"/>
              <w:rPr>
                <w:rFonts w:hint="eastAsia" w:ascii="Times New Roman" w:hAnsi="Times New Roman" w:eastAsia="宋体"/>
                <w:color w:val="auto"/>
                <w:kern w:val="0"/>
                <w:sz w:val="21"/>
                <w:szCs w:val="21"/>
                <w:highlight w:val="none"/>
              </w:rPr>
            </w:pPr>
          </w:p>
        </w:tc>
        <w:tc>
          <w:tcPr>
            <w:tcW w:w="1515" w:type="dxa"/>
            <w:gridSpan w:val="3"/>
            <w:tcBorders>
              <w:top w:val="single" w:color="auto" w:sz="4" w:space="0"/>
              <w:left w:val="single" w:color="auto" w:sz="8"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rPr>
            </w:pPr>
            <w:r>
              <w:rPr>
                <w:rFonts w:hint="eastAsia" w:ascii="Times New Roman" w:hAnsi="Times New Roman" w:eastAsia="宋体"/>
                <w:color w:val="auto"/>
                <w:kern w:val="0"/>
                <w:sz w:val="21"/>
                <w:szCs w:val="21"/>
                <w:highlight w:val="none"/>
              </w:rPr>
              <w:t>申请奖励资金</w:t>
            </w:r>
          </w:p>
        </w:tc>
        <w:tc>
          <w:tcPr>
            <w:tcW w:w="2037" w:type="dxa"/>
            <w:tcBorders>
              <w:top w:val="single" w:color="auto" w:sz="4" w:space="0"/>
              <w:left w:val="single" w:color="auto" w:sz="8" w:space="0"/>
            </w:tcBorders>
            <w:noWrap w:val="0"/>
            <w:vAlign w:val="center"/>
          </w:tcPr>
          <w:p>
            <w:pPr>
              <w:keepNext w:val="0"/>
              <w:keepLines w:val="0"/>
              <w:pageBreakBefore w:val="0"/>
              <w:widowControl/>
              <w:kinsoku/>
              <w:overflowPunct/>
              <w:topLinePunct w:val="0"/>
              <w:autoSpaceDE/>
              <w:autoSpaceDN/>
              <w:bidi w:val="0"/>
              <w:spacing w:line="560" w:lineRule="exact"/>
              <w:jc w:val="right"/>
              <w:textAlignment w:val="auto"/>
              <w:rPr>
                <w:rFonts w:hint="eastAsia" w:ascii="Times New Roman" w:hAnsi="Times New Roman" w:eastAsia="宋体"/>
                <w:color w:val="auto"/>
                <w:kern w:val="0"/>
                <w:sz w:val="21"/>
                <w:szCs w:val="21"/>
                <w:highlight w:val="none"/>
              </w:rPr>
            </w:pPr>
            <w:r>
              <w:rPr>
                <w:rFonts w:hint="eastAsia" w:ascii="Times New Roman" w:hAnsi="Times New Roman" w:eastAsia="宋体"/>
                <w:color w:val="auto"/>
                <w:kern w:val="0"/>
                <w:sz w:val="21"/>
                <w:szCs w:val="21"/>
                <w:highlight w:val="none"/>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33" w:hRule="atLeast"/>
          <w:jc w:val="center"/>
        </w:trPr>
        <w:tc>
          <w:tcPr>
            <w:tcW w:w="2617" w:type="dxa"/>
            <w:gridSpan w:val="2"/>
            <w:tcBorders>
              <w:right w:val="single" w:color="auto" w:sz="8"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rPr>
            </w:pPr>
            <w:r>
              <w:rPr>
                <w:rFonts w:hint="eastAsia" w:ascii="Times New Roman" w:hAnsi="Times New Roman" w:eastAsia="宋体"/>
                <w:color w:val="auto"/>
                <w:kern w:val="0"/>
                <w:sz w:val="21"/>
                <w:szCs w:val="21"/>
                <w:highlight w:val="none"/>
              </w:rPr>
              <w:t>合计补助资金</w:t>
            </w:r>
          </w:p>
        </w:tc>
        <w:tc>
          <w:tcPr>
            <w:tcW w:w="7397" w:type="dxa"/>
            <w:gridSpan w:val="11"/>
            <w:tcBorders>
              <w:left w:val="single" w:color="auto" w:sz="8"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宋体"/>
                <w:color w:val="auto"/>
                <w:kern w:val="0"/>
                <w:sz w:val="21"/>
                <w:szCs w:val="21"/>
                <w:highlight w:val="none"/>
              </w:rPr>
            </w:pPr>
            <w:r>
              <w:rPr>
                <w:rFonts w:hint="eastAsia" w:ascii="Times New Roman" w:hAnsi="Times New Roman"/>
                <w:color w:val="auto"/>
                <w:kern w:val="0"/>
                <w:sz w:val="21"/>
                <w:szCs w:val="21"/>
                <w:highlight w:val="none"/>
                <w:u w:val="single"/>
                <w:lang w:val="en-US" w:eastAsia="zh-CN"/>
              </w:rPr>
              <w:t xml:space="preserve">            </w:t>
            </w:r>
            <w:r>
              <w:rPr>
                <w:rFonts w:hint="eastAsia" w:ascii="Times New Roman" w:hAnsi="Times New Roman" w:eastAsia="宋体"/>
                <w:color w:val="auto"/>
                <w:kern w:val="0"/>
                <w:sz w:val="21"/>
                <w:szCs w:val="21"/>
                <w:highlight w:val="none"/>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932" w:hRule="atLeast"/>
          <w:jc w:val="center"/>
        </w:trPr>
        <w:tc>
          <w:tcPr>
            <w:tcW w:w="2617" w:type="dxa"/>
            <w:gridSpan w:val="2"/>
            <w:tcBorders>
              <w:right w:val="single" w:color="auto" w:sz="8" w:space="0"/>
            </w:tcBorders>
            <w:noWrap w:val="0"/>
            <w:vAlign w:val="center"/>
          </w:tcPr>
          <w:p>
            <w:pPr>
              <w:keepNext w:val="0"/>
              <w:keepLines w:val="0"/>
              <w:pageBreakBefore w:val="0"/>
              <w:widowControl/>
              <w:kinsoku/>
              <w:overflowPunct/>
              <w:topLinePunct w:val="0"/>
              <w:autoSpaceDE/>
              <w:autoSpaceDN/>
              <w:bidi w:val="0"/>
              <w:spacing w:line="560" w:lineRule="exact"/>
              <w:jc w:val="center"/>
              <w:textAlignment w:val="auto"/>
              <w:rPr>
                <w:rFonts w:hint="default" w:ascii="Times New Roman" w:hAnsi="Times New Roman" w:eastAsia="宋体"/>
                <w:color w:val="auto"/>
                <w:kern w:val="0"/>
                <w:sz w:val="24"/>
                <w:szCs w:val="24"/>
                <w:highlight w:val="none"/>
                <w:lang w:val="en-US" w:eastAsia="zh-CN"/>
              </w:rPr>
            </w:pPr>
            <w:r>
              <w:rPr>
                <w:rFonts w:hint="eastAsia" w:ascii="Times New Roman" w:hAnsi="Times New Roman" w:eastAsia="宋体"/>
                <w:color w:val="auto"/>
                <w:kern w:val="0"/>
                <w:sz w:val="24"/>
                <w:szCs w:val="24"/>
                <w:highlight w:val="none"/>
                <w:lang w:val="en-US" w:eastAsia="zh-CN"/>
              </w:rPr>
              <w:t>企业所属镇办审核</w:t>
            </w:r>
          </w:p>
        </w:tc>
        <w:tc>
          <w:tcPr>
            <w:tcW w:w="7397" w:type="dxa"/>
            <w:gridSpan w:val="11"/>
            <w:tcBorders>
              <w:left w:val="single" w:color="auto" w:sz="8" w:space="0"/>
            </w:tcBorders>
            <w:noWrap w:val="0"/>
            <w:vAlign w:val="center"/>
          </w:tcPr>
          <w:p>
            <w:pPr>
              <w:keepNext w:val="0"/>
              <w:keepLines w:val="0"/>
              <w:pageBreakBefore w:val="0"/>
              <w:widowControl/>
              <w:kinsoku/>
              <w:overflowPunct/>
              <w:topLinePunct w:val="0"/>
              <w:autoSpaceDE/>
              <w:autoSpaceDN/>
              <w:bidi w:val="0"/>
              <w:spacing w:line="560" w:lineRule="exact"/>
              <w:jc w:val="center"/>
              <w:textAlignment w:val="auto"/>
              <w:rPr>
                <w:rFonts w:ascii="Times New Roman" w:hAnsi="Times New Roman" w:eastAsia="宋体"/>
                <w:color w:val="auto"/>
                <w:kern w:val="0"/>
                <w:sz w:val="21"/>
                <w:szCs w:val="21"/>
                <w:highlight w:val="none"/>
              </w:rPr>
            </w:pPr>
          </w:p>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宋体"/>
                <w:color w:val="auto"/>
                <w:kern w:val="0"/>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883" w:hRule="atLeast"/>
          <w:jc w:val="center"/>
        </w:trPr>
        <w:tc>
          <w:tcPr>
            <w:tcW w:w="2617" w:type="dxa"/>
            <w:gridSpan w:val="2"/>
            <w:tcBorders>
              <w:right w:val="single" w:color="auto" w:sz="8" w:space="0"/>
            </w:tcBorders>
            <w:noWrap w:val="0"/>
            <w:vAlign w:val="center"/>
          </w:tcPr>
          <w:p>
            <w:pPr>
              <w:keepNext w:val="0"/>
              <w:keepLines w:val="0"/>
              <w:pageBreakBefore w:val="0"/>
              <w:widowControl/>
              <w:kinsoku/>
              <w:overflowPunct/>
              <w:topLinePunct w:val="0"/>
              <w:autoSpaceDE/>
              <w:autoSpaceDN/>
              <w:bidi w:val="0"/>
              <w:spacing w:line="560" w:lineRule="exact"/>
              <w:jc w:val="center"/>
              <w:textAlignment w:val="auto"/>
              <w:rPr>
                <w:rFonts w:hint="eastAsia" w:ascii="Times New Roman" w:hAnsi="Times New Roman" w:eastAsia="宋体"/>
                <w:color w:val="auto"/>
                <w:kern w:val="0"/>
                <w:sz w:val="24"/>
                <w:szCs w:val="24"/>
                <w:highlight w:val="none"/>
              </w:rPr>
            </w:pPr>
            <w:r>
              <w:rPr>
                <w:rFonts w:hint="eastAsia" w:ascii="Times New Roman" w:hAnsi="Times New Roman" w:eastAsia="宋体"/>
                <w:color w:val="auto"/>
                <w:kern w:val="0"/>
                <w:sz w:val="24"/>
                <w:szCs w:val="24"/>
                <w:highlight w:val="none"/>
                <w:lang w:val="en-US" w:eastAsia="zh-CN"/>
              </w:rPr>
              <w:t>区</w:t>
            </w:r>
            <w:r>
              <w:rPr>
                <w:rFonts w:hint="eastAsia" w:ascii="Times New Roman" w:hAnsi="Times New Roman" w:eastAsia="宋体"/>
                <w:color w:val="auto"/>
                <w:kern w:val="0"/>
                <w:sz w:val="24"/>
                <w:szCs w:val="24"/>
                <w:highlight w:val="none"/>
              </w:rPr>
              <w:t>财政局</w:t>
            </w:r>
          </w:p>
          <w:p>
            <w:pPr>
              <w:keepNext w:val="0"/>
              <w:keepLines w:val="0"/>
              <w:pageBreakBefore w:val="0"/>
              <w:widowControl/>
              <w:kinsoku/>
              <w:overflowPunct/>
              <w:topLinePunct w:val="0"/>
              <w:autoSpaceDE/>
              <w:autoSpaceDN/>
              <w:bidi w:val="0"/>
              <w:spacing w:line="560" w:lineRule="exact"/>
              <w:jc w:val="center"/>
              <w:textAlignment w:val="auto"/>
              <w:rPr>
                <w:rFonts w:hint="eastAsia" w:ascii="Times New Roman" w:hAnsi="Times New Roman" w:eastAsia="宋体"/>
                <w:color w:val="auto"/>
                <w:kern w:val="0"/>
                <w:sz w:val="24"/>
                <w:szCs w:val="24"/>
                <w:highlight w:val="none"/>
              </w:rPr>
            </w:pPr>
            <w:r>
              <w:rPr>
                <w:rFonts w:hint="eastAsia" w:ascii="Times New Roman" w:hAnsi="Times New Roman" w:eastAsia="宋体"/>
                <w:color w:val="auto"/>
                <w:kern w:val="0"/>
                <w:sz w:val="24"/>
                <w:szCs w:val="24"/>
                <w:highlight w:val="none"/>
              </w:rPr>
              <w:t>意</w:t>
            </w:r>
            <w:r>
              <w:rPr>
                <w:rFonts w:hint="eastAsia" w:ascii="Times New Roman" w:hAnsi="Times New Roman" w:eastAsia="宋体"/>
                <w:color w:val="auto"/>
                <w:kern w:val="0"/>
                <w:sz w:val="24"/>
                <w:szCs w:val="24"/>
                <w:highlight w:val="none"/>
                <w:lang w:val="en-US" w:eastAsia="zh-CN"/>
              </w:rPr>
              <w:t xml:space="preserve">    </w:t>
            </w:r>
            <w:r>
              <w:rPr>
                <w:rFonts w:hint="eastAsia" w:ascii="Times New Roman" w:hAnsi="Times New Roman" w:eastAsia="宋体"/>
                <w:color w:val="auto"/>
                <w:kern w:val="0"/>
                <w:sz w:val="24"/>
                <w:szCs w:val="24"/>
                <w:highlight w:val="none"/>
              </w:rPr>
              <w:t>见</w:t>
            </w:r>
          </w:p>
        </w:tc>
        <w:tc>
          <w:tcPr>
            <w:tcW w:w="2810" w:type="dxa"/>
            <w:gridSpan w:val="5"/>
            <w:tcBorders>
              <w:left w:val="single" w:color="auto" w:sz="8" w:space="0"/>
            </w:tcBorders>
            <w:noWrap w:val="0"/>
            <w:vAlign w:val="center"/>
          </w:tcPr>
          <w:p>
            <w:pPr>
              <w:keepNext w:val="0"/>
              <w:keepLines w:val="0"/>
              <w:pageBreakBefore w:val="0"/>
              <w:kinsoku/>
              <w:overflowPunct/>
              <w:topLinePunct w:val="0"/>
              <w:autoSpaceDE/>
              <w:autoSpaceDN/>
              <w:bidi w:val="0"/>
              <w:spacing w:line="560" w:lineRule="exact"/>
              <w:textAlignment w:val="auto"/>
              <w:rPr>
                <w:rFonts w:hint="eastAsia" w:ascii="Times New Roman" w:hAnsi="Times New Roman" w:eastAsia="宋体"/>
                <w:color w:val="auto"/>
                <w:kern w:val="0"/>
                <w:sz w:val="21"/>
                <w:szCs w:val="21"/>
                <w:highlight w:val="none"/>
              </w:rPr>
            </w:pPr>
          </w:p>
        </w:tc>
        <w:tc>
          <w:tcPr>
            <w:tcW w:w="1755" w:type="dxa"/>
            <w:gridSpan w:val="3"/>
            <w:tcBorders>
              <w:left w:val="single" w:color="auto" w:sz="8" w:space="0"/>
            </w:tcBorders>
            <w:noWrap w:val="0"/>
            <w:vAlign w:val="center"/>
          </w:tcPr>
          <w:p>
            <w:pPr>
              <w:keepNext w:val="0"/>
              <w:keepLines w:val="0"/>
              <w:pageBreakBefore w:val="0"/>
              <w:widowControl/>
              <w:kinsoku/>
              <w:overflowPunct/>
              <w:topLinePunct w:val="0"/>
              <w:autoSpaceDE/>
              <w:autoSpaceDN/>
              <w:bidi w:val="0"/>
              <w:spacing w:line="560" w:lineRule="exact"/>
              <w:jc w:val="center"/>
              <w:textAlignment w:val="auto"/>
              <w:rPr>
                <w:rFonts w:hint="eastAsia" w:ascii="Times New Roman" w:hAnsi="Times New Roman" w:eastAsia="宋体"/>
                <w:color w:val="auto"/>
                <w:kern w:val="0"/>
                <w:sz w:val="24"/>
                <w:szCs w:val="24"/>
                <w:highlight w:val="none"/>
                <w:lang w:val="en-US" w:eastAsia="zh-CN"/>
              </w:rPr>
            </w:pPr>
            <w:r>
              <w:rPr>
                <w:rFonts w:hint="eastAsia" w:ascii="Times New Roman" w:hAnsi="Times New Roman" w:eastAsia="宋体"/>
                <w:color w:val="auto"/>
                <w:kern w:val="0"/>
                <w:sz w:val="24"/>
                <w:szCs w:val="24"/>
                <w:highlight w:val="none"/>
                <w:lang w:val="en-US" w:eastAsia="zh-CN"/>
              </w:rPr>
              <w:t>区服务业发展</w:t>
            </w:r>
          </w:p>
          <w:p>
            <w:pPr>
              <w:keepNext w:val="0"/>
              <w:keepLines w:val="0"/>
              <w:pageBreakBefore w:val="0"/>
              <w:widowControl/>
              <w:kinsoku/>
              <w:overflowPunct/>
              <w:topLinePunct w:val="0"/>
              <w:autoSpaceDE/>
              <w:autoSpaceDN/>
              <w:bidi w:val="0"/>
              <w:spacing w:line="560" w:lineRule="exact"/>
              <w:jc w:val="center"/>
              <w:textAlignment w:val="auto"/>
              <w:rPr>
                <w:rFonts w:hint="eastAsia" w:ascii="Times New Roman" w:hAnsi="Times New Roman" w:eastAsia="宋体"/>
                <w:color w:val="auto"/>
                <w:kern w:val="0"/>
                <w:sz w:val="24"/>
                <w:szCs w:val="24"/>
                <w:highlight w:val="none"/>
                <w:lang w:val="en-US" w:eastAsia="zh-CN"/>
              </w:rPr>
            </w:pPr>
            <w:r>
              <w:rPr>
                <w:rFonts w:hint="eastAsia" w:ascii="Times New Roman" w:hAnsi="Times New Roman" w:eastAsia="宋体"/>
                <w:color w:val="auto"/>
                <w:kern w:val="0"/>
                <w:sz w:val="24"/>
                <w:szCs w:val="24"/>
                <w:highlight w:val="none"/>
                <w:lang w:val="en-US" w:eastAsia="zh-CN"/>
              </w:rPr>
              <w:t>中心</w:t>
            </w:r>
            <w:r>
              <w:rPr>
                <w:rFonts w:hint="eastAsia" w:ascii="Times New Roman" w:hAnsi="Times New Roman" w:eastAsia="宋体"/>
                <w:color w:val="auto"/>
                <w:kern w:val="0"/>
                <w:sz w:val="24"/>
                <w:szCs w:val="24"/>
                <w:highlight w:val="none"/>
              </w:rPr>
              <w:t>意见</w:t>
            </w:r>
          </w:p>
        </w:tc>
        <w:tc>
          <w:tcPr>
            <w:tcW w:w="2832" w:type="dxa"/>
            <w:gridSpan w:val="3"/>
            <w:tcBorders>
              <w:left w:val="single" w:color="auto" w:sz="8"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宋体"/>
                <w:color w:val="auto"/>
                <w:kern w:val="0"/>
                <w:sz w:val="21"/>
                <w:szCs w:val="21"/>
                <w:highlight w:val="none"/>
              </w:rPr>
            </w:pPr>
          </w:p>
        </w:tc>
      </w:tr>
    </w:tbl>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rPr>
      </w:pPr>
    </w:p>
    <w:p>
      <w:pPr>
        <w:pStyle w:val="21"/>
        <w:rPr>
          <w:rFonts w:ascii="Times New Roman" w:hAnsi="Times New Roman"/>
        </w:rPr>
      </w:pPr>
    </w:p>
    <w:p>
      <w:pPr>
        <w:pStyle w:val="21"/>
        <w:rPr>
          <w:rFonts w:ascii="Times New Roman" w:hAnsi="Times New Roman"/>
        </w:rPr>
      </w:pPr>
    </w:p>
    <w:p>
      <w:pPr>
        <w:pStyle w:val="21"/>
        <w:rPr>
          <w:rFonts w:ascii="Times New Roman" w:hAnsi="Times New Roman"/>
        </w:rPr>
      </w:pPr>
    </w:p>
    <w:p>
      <w:pPr>
        <w:pStyle w:val="21"/>
        <w:rPr>
          <w:rFonts w:ascii="Times New Roman" w:hAnsi="Times New Roman"/>
        </w:rPr>
      </w:pPr>
    </w:p>
    <w:p>
      <w:pPr>
        <w:pStyle w:val="21"/>
        <w:rPr>
          <w:rFonts w:ascii="Times New Roman" w:hAnsi="Times New Roman"/>
        </w:rPr>
      </w:pPr>
    </w:p>
    <w:p>
      <w:pPr>
        <w:pStyle w:val="21"/>
        <w:rPr>
          <w:rFonts w:ascii="Times New Roman" w:hAnsi="Times New Roman"/>
        </w:rPr>
      </w:pPr>
    </w:p>
    <w:p>
      <w:pPr>
        <w:pStyle w:val="21"/>
        <w:rPr>
          <w:rFonts w:ascii="Times New Roman" w:hAnsi="Times New Roman"/>
        </w:rPr>
      </w:pPr>
    </w:p>
    <w:p>
      <w:pPr>
        <w:pStyle w:val="21"/>
        <w:rPr>
          <w:rFonts w:ascii="Times New Roman" w:hAnsi="Times New Roman"/>
        </w:rPr>
      </w:pPr>
    </w:p>
    <w:p>
      <w:pPr>
        <w:pStyle w:val="21"/>
        <w:rPr>
          <w:rFonts w:ascii="Times New Roman" w:hAnsi="Times New Roman"/>
        </w:rPr>
      </w:pPr>
    </w:p>
    <w:p>
      <w:pPr>
        <w:pStyle w:val="8"/>
        <w:ind w:left="0" w:leftChars="0" w:firstLine="0" w:firstLineChars="0"/>
        <w:rPr>
          <w:rFonts w:hint="eastAsia" w:ascii="仿宋" w:hAnsi="仿宋" w:eastAsia="仿宋_GB2312" w:cs="仿宋_GB2312"/>
          <w:sz w:val="32"/>
          <w:szCs w:val="32"/>
          <w:highlight w:val="none"/>
          <w:lang w:val="en-US" w:eastAsia="zh-CN"/>
        </w:rPr>
      </w:pPr>
    </w:p>
    <w:p>
      <w:pPr>
        <w:pStyle w:val="8"/>
        <w:rPr>
          <w:rFonts w:hint="eastAsia" w:ascii="仿宋" w:hAnsi="仿宋" w:eastAsia="仿宋_GB2312" w:cs="仿宋_GB2312"/>
          <w:sz w:val="32"/>
          <w:szCs w:val="32"/>
          <w:highlight w:val="none"/>
          <w:lang w:val="en-US" w:eastAsia="zh-CN"/>
        </w:rPr>
      </w:pPr>
    </w:p>
    <w:p>
      <w:pPr>
        <w:keepNext w:val="0"/>
        <w:keepLines w:val="0"/>
        <w:pageBreakBefore w:val="0"/>
        <w:widowControl w:val="0"/>
        <w:pBdr>
          <w:top w:val="single" w:color="auto" w:sz="4" w:space="1"/>
          <w:bottom w:val="single" w:color="auto" w:sz="4" w:space="1"/>
          <w:between w:val="single" w:color="auto" w:sz="4" w:space="1"/>
        </w:pBdr>
        <w:kinsoku/>
        <w:wordWrap/>
        <w:overflowPunct/>
        <w:topLinePunct w:val="0"/>
        <w:autoSpaceDE/>
        <w:autoSpaceDN/>
        <w:bidi w:val="0"/>
        <w:adjustRightInd/>
        <w:snapToGrid/>
        <w:spacing w:line="480" w:lineRule="exact"/>
        <w:ind w:left="0" w:leftChars="0" w:right="0" w:rightChars="0" w:firstLine="280" w:firstLineChars="100"/>
        <w:jc w:val="both"/>
        <w:textAlignment w:val="auto"/>
        <w:outlineLvl w:val="9"/>
        <w:rPr>
          <w:rFonts w:ascii="Times New Roman" w:hAnsi="Times New Roman"/>
        </w:rPr>
      </w:pPr>
      <w:r>
        <w:rPr>
          <w:rFonts w:hint="eastAsia" w:ascii="仿宋" w:hAnsi="仿宋" w:eastAsia="仿宋_GB2312" w:cs="仿宋_GB2312"/>
          <w:snapToGrid w:val="0"/>
          <w:kern w:val="0"/>
          <w:sz w:val="28"/>
          <w:szCs w:val="28"/>
          <w:highlight w:val="none"/>
        </w:rPr>
        <w:t xml:space="preserve">淄博市张店区人民政府办公室           </w:t>
      </w:r>
      <w:r>
        <w:rPr>
          <w:rFonts w:hint="eastAsia" w:ascii="仿宋" w:hAnsi="仿宋" w:eastAsia="仿宋_GB2312" w:cs="仿宋_GB2312"/>
          <w:snapToGrid w:val="0"/>
          <w:kern w:val="0"/>
          <w:sz w:val="28"/>
          <w:szCs w:val="28"/>
          <w:highlight w:val="none"/>
          <w:lang w:val="en-US" w:eastAsia="zh-CN"/>
        </w:rPr>
        <w:t xml:space="preserve">  </w:t>
      </w:r>
      <w:r>
        <w:rPr>
          <w:rFonts w:hint="eastAsia" w:ascii="仿宋" w:hAnsi="仿宋" w:eastAsia="仿宋" w:cs="仿宋"/>
          <w:snapToGrid w:val="0"/>
          <w:kern w:val="0"/>
          <w:sz w:val="28"/>
          <w:szCs w:val="28"/>
          <w:highlight w:val="none"/>
        </w:rPr>
        <w:t xml:space="preserve"> 20</w:t>
      </w:r>
      <w:r>
        <w:rPr>
          <w:rFonts w:hint="eastAsia" w:ascii="仿宋" w:hAnsi="仿宋" w:eastAsia="仿宋" w:cs="仿宋"/>
          <w:snapToGrid w:val="0"/>
          <w:kern w:val="0"/>
          <w:sz w:val="28"/>
          <w:szCs w:val="28"/>
          <w:highlight w:val="none"/>
          <w:lang w:val="en-US" w:eastAsia="zh-CN"/>
        </w:rPr>
        <w:t>21</w:t>
      </w:r>
      <w:r>
        <w:rPr>
          <w:rFonts w:hint="eastAsia" w:ascii="仿宋" w:hAnsi="仿宋" w:eastAsia="仿宋_GB2312" w:cs="仿宋_GB2312"/>
          <w:snapToGrid w:val="0"/>
          <w:kern w:val="0"/>
          <w:sz w:val="28"/>
          <w:szCs w:val="28"/>
          <w:highlight w:val="none"/>
        </w:rPr>
        <w:t>年</w:t>
      </w:r>
      <w:r>
        <w:rPr>
          <w:rFonts w:hint="eastAsia" w:ascii="仿宋" w:hAnsi="仿宋" w:eastAsia="仿宋" w:cs="仿宋"/>
          <w:snapToGrid w:val="0"/>
          <w:kern w:val="0"/>
          <w:sz w:val="28"/>
          <w:szCs w:val="28"/>
          <w:highlight w:val="none"/>
          <w:lang w:val="en-US" w:eastAsia="zh-CN"/>
        </w:rPr>
        <w:t>12</w:t>
      </w:r>
      <w:r>
        <w:rPr>
          <w:rFonts w:hint="eastAsia" w:ascii="仿宋" w:hAnsi="仿宋" w:eastAsia="仿宋_GB2312" w:cs="仿宋_GB2312"/>
          <w:snapToGrid w:val="0"/>
          <w:kern w:val="0"/>
          <w:sz w:val="28"/>
          <w:szCs w:val="28"/>
          <w:highlight w:val="none"/>
        </w:rPr>
        <w:t>月</w:t>
      </w:r>
      <w:r>
        <w:rPr>
          <w:rFonts w:hint="eastAsia" w:ascii="仿宋" w:hAnsi="仿宋" w:eastAsia="仿宋_GB2312" w:cs="仿宋_GB2312"/>
          <w:snapToGrid w:val="0"/>
          <w:kern w:val="0"/>
          <w:sz w:val="28"/>
          <w:szCs w:val="28"/>
          <w:highlight w:val="none"/>
          <w:lang w:val="en-US" w:eastAsia="zh-CN"/>
        </w:rPr>
        <w:t>29</w:t>
      </w:r>
      <w:r>
        <w:rPr>
          <w:rFonts w:hint="eastAsia" w:ascii="仿宋" w:hAnsi="仿宋" w:eastAsia="仿宋_GB2312" w:cs="仿宋_GB2312"/>
          <w:snapToGrid w:val="0"/>
          <w:kern w:val="0"/>
          <w:sz w:val="28"/>
          <w:szCs w:val="28"/>
          <w:highlight w:val="none"/>
        </w:rPr>
        <w:t>日印发</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ZDDR-2021-0010003</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仿宋_GB2312" w:cs="仿宋_GB2312"/>
          <w:sz w:val="32"/>
          <w:szCs w:val="32"/>
          <w:lang w:val="en-US" w:eastAsia="zh-CN"/>
        </w:rPr>
      </w:pPr>
    </w:p>
    <w:p>
      <w:pPr>
        <w:pStyle w:val="12"/>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28"/>
          <w:lang w:val="en-US" w:eastAsia="zh-CN"/>
        </w:rPr>
      </w:pPr>
      <w:r>
        <w:rPr>
          <w:rFonts w:hint="eastAsia" w:ascii="Times New Roman" w:hAnsi="Times New Roman" w:eastAsia="仿宋_GB2312"/>
          <w:spacing w:val="10"/>
          <w:sz w:val="32"/>
        </w:rPr>
        <w:t>张政字〔20</w:t>
      </w:r>
      <w:r>
        <w:rPr>
          <w:rFonts w:hint="eastAsia" w:ascii="Times New Roman" w:hAnsi="Times New Roman" w:eastAsia="仿宋_GB2312"/>
          <w:spacing w:val="10"/>
          <w:sz w:val="32"/>
          <w:lang w:val="en-US" w:eastAsia="zh-CN"/>
        </w:rPr>
        <w:t>2</w:t>
      </w:r>
      <w:r>
        <w:rPr>
          <w:rFonts w:hint="eastAsia" w:ascii="Times New Roman" w:hAnsi="Times New Roman"/>
          <w:spacing w:val="10"/>
          <w:sz w:val="32"/>
          <w:lang w:val="en-US" w:eastAsia="zh-CN"/>
        </w:rPr>
        <w:t>1</w:t>
      </w:r>
      <w:r>
        <w:rPr>
          <w:rFonts w:hint="eastAsia" w:ascii="Times New Roman" w:hAnsi="Times New Roman" w:eastAsia="仿宋_GB2312"/>
          <w:spacing w:val="10"/>
          <w:sz w:val="32"/>
        </w:rPr>
        <w:t>〕</w:t>
      </w:r>
      <w:r>
        <w:rPr>
          <w:rFonts w:hint="eastAsia" w:ascii="Times New Roman" w:hAnsi="Times New Roman"/>
          <w:spacing w:val="10"/>
          <w:sz w:val="32"/>
          <w:lang w:val="en-US" w:eastAsia="zh-CN"/>
        </w:rPr>
        <w:t>86</w:t>
      </w:r>
      <w:r>
        <w:rPr>
          <w:rFonts w:hint="eastAsia" w:ascii="Times New Roman" w:hAnsi="Times New Roman" w:eastAsia="仿宋_GB2312"/>
          <w:spacing w:val="10"/>
          <w:sz w:val="32"/>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28"/>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28"/>
        </w:rPr>
      </w:pPr>
      <w:r>
        <w:rPr>
          <w:rFonts w:hint="default" w:ascii="Times New Roman" w:hAnsi="Times New Roman" w:eastAsia="方正小标宋简体" w:cs="Times New Roman"/>
          <w:sz w:val="44"/>
          <w:szCs w:val="28"/>
          <w:lang w:val="en-US" w:eastAsia="zh-CN"/>
        </w:rPr>
        <w:t>张店区</w:t>
      </w:r>
      <w:r>
        <w:rPr>
          <w:rFonts w:hint="default" w:ascii="Times New Roman" w:hAnsi="Times New Roman" w:eastAsia="方正小标宋简体" w:cs="Times New Roman"/>
          <w:sz w:val="44"/>
          <w:szCs w:val="28"/>
        </w:rPr>
        <w:t>人民政府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44"/>
          <w:szCs w:val="44"/>
        </w:rPr>
      </w:pPr>
      <w:r>
        <w:rPr>
          <w:rFonts w:hint="default" w:ascii="Times New Roman" w:hAnsi="Times New Roman" w:eastAsia="方正小标宋简体" w:cs="Times New Roman"/>
          <w:sz w:val="44"/>
          <w:szCs w:val="28"/>
        </w:rPr>
        <w:t>关于印发</w:t>
      </w:r>
      <w:r>
        <w:rPr>
          <w:rFonts w:hint="eastAsia" w:ascii="Times New Roman" w:hAnsi="Times New Roman" w:eastAsia="方正小标宋简体" w:cs="方正小标宋简体"/>
          <w:sz w:val="44"/>
          <w:szCs w:val="44"/>
        </w:rPr>
        <w:t>张店区社会信用体系建设</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文星标宋" w:cs="Times New Roman"/>
          <w:sz w:val="44"/>
          <w:szCs w:val="28"/>
        </w:rPr>
      </w:pPr>
      <w:r>
        <w:rPr>
          <w:rFonts w:hint="eastAsia" w:ascii="Times New Roman" w:hAnsi="Times New Roman" w:eastAsia="方正小标宋简体" w:cs="方正小标宋简体"/>
          <w:sz w:val="44"/>
          <w:szCs w:val="44"/>
        </w:rPr>
        <w:t>实施方案</w:t>
      </w:r>
      <w:r>
        <w:rPr>
          <w:rFonts w:hint="eastAsia" w:ascii="Times New Roman" w:hAnsi="Times New Roman" w:eastAsia="方正小标宋简体" w:cs="方正小标宋简体"/>
          <w:sz w:val="44"/>
          <w:szCs w:val="44"/>
          <w:lang w:eastAsia="zh-CN"/>
        </w:rPr>
        <w:t>（</w:t>
      </w:r>
      <w:r>
        <w:rPr>
          <w:rFonts w:hint="eastAsia" w:ascii="Times New Roman" w:hAnsi="Times New Roman" w:eastAsia="方正小标宋简体" w:cs="方正小标宋简体"/>
          <w:sz w:val="44"/>
          <w:szCs w:val="44"/>
          <w:lang w:val="en-US" w:eastAsia="zh-CN"/>
        </w:rPr>
        <w:t>试行</w:t>
      </w:r>
      <w:r>
        <w:rPr>
          <w:rFonts w:hint="eastAsia" w:ascii="Times New Roman" w:hAnsi="Times New Roman" w:eastAsia="方正小标宋简体" w:cs="方正小标宋简体"/>
          <w:sz w:val="44"/>
          <w:szCs w:val="44"/>
          <w:lang w:eastAsia="zh-CN"/>
        </w:rPr>
        <w:t>）</w:t>
      </w:r>
      <w:r>
        <w:rPr>
          <w:rFonts w:hint="default" w:ascii="Times New Roman" w:hAnsi="Times New Roman" w:eastAsia="方正小标宋简体" w:cs="Times New Roman"/>
          <w:sz w:val="44"/>
          <w:szCs w:val="28"/>
        </w:rPr>
        <w:t>的通知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各</w:t>
      </w:r>
      <w:r>
        <w:rPr>
          <w:rFonts w:hint="default" w:ascii="Times New Roman" w:hAnsi="Times New Roman" w:eastAsia="仿宋_GB2312" w:cs="Times New Roman"/>
          <w:sz w:val="32"/>
          <w:szCs w:val="28"/>
          <w:lang w:val="en-US" w:eastAsia="zh-CN"/>
        </w:rPr>
        <w:t>镇政府、街道办事处</w:t>
      </w:r>
      <w:r>
        <w:rPr>
          <w:rFonts w:hint="eastAsia" w:ascii="Times New Roman" w:hAnsi="Times New Roman" w:eastAsia="仿宋_GB2312" w:cs="Times New Roman"/>
          <w:sz w:val="32"/>
          <w:szCs w:val="28"/>
          <w:lang w:val="en-US" w:eastAsia="zh-CN"/>
        </w:rPr>
        <w:t>，</w:t>
      </w:r>
      <w:r>
        <w:rPr>
          <w:rFonts w:hint="default" w:ascii="Times New Roman" w:hAnsi="Times New Roman" w:eastAsia="仿宋_GB2312" w:cs="Times New Roman"/>
          <w:sz w:val="32"/>
          <w:szCs w:val="28"/>
          <w:lang w:val="en-US" w:eastAsia="zh-CN"/>
        </w:rPr>
        <w:t>区</w:t>
      </w:r>
      <w:r>
        <w:rPr>
          <w:rFonts w:hint="default" w:ascii="Times New Roman" w:hAnsi="Times New Roman" w:eastAsia="仿宋_GB2312" w:cs="Times New Roman"/>
          <w:sz w:val="32"/>
          <w:szCs w:val="28"/>
        </w:rPr>
        <w:t>政府各部门，各有关单位：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现将《张店区社会信用体系建设实施方案</w:t>
      </w:r>
      <w:r>
        <w:rPr>
          <w:rFonts w:hint="eastAsia" w:ascii="Times New Roman" w:hAnsi="Times New Roman" w:cs="Times New Roman"/>
          <w:sz w:val="32"/>
          <w:szCs w:val="28"/>
          <w:lang w:eastAsia="zh-CN"/>
        </w:rPr>
        <w:t>（</w:t>
      </w:r>
      <w:r>
        <w:rPr>
          <w:rFonts w:hint="eastAsia" w:ascii="Times New Roman" w:hAnsi="Times New Roman" w:cs="Times New Roman"/>
          <w:sz w:val="32"/>
          <w:szCs w:val="28"/>
          <w:lang w:val="en-US" w:eastAsia="zh-CN"/>
        </w:rPr>
        <w:t>试行</w:t>
      </w:r>
      <w:r>
        <w:rPr>
          <w:rFonts w:hint="eastAsia" w:ascii="Times New Roman" w:hAnsi="Times New Roman" w:cs="Times New Roman"/>
          <w:sz w:val="32"/>
          <w:szCs w:val="28"/>
          <w:lang w:eastAsia="zh-CN"/>
        </w:rPr>
        <w:t>）</w:t>
      </w:r>
      <w:r>
        <w:rPr>
          <w:rFonts w:hint="default" w:ascii="Times New Roman" w:hAnsi="Times New Roman" w:eastAsia="仿宋_GB2312" w:cs="Times New Roman"/>
          <w:sz w:val="32"/>
          <w:szCs w:val="28"/>
        </w:rPr>
        <w:t>》印发给你们，请认真贯彻执行。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right"/>
        <w:textAlignment w:val="auto"/>
        <w:outlineLvl w:val="9"/>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 xml:space="preserve">                      </w:t>
      </w:r>
      <w:r>
        <w:rPr>
          <w:rFonts w:hint="eastAsia" w:ascii="Times New Roman" w:hAnsi="Times New Roman" w:cs="Times New Roman"/>
          <w:sz w:val="32"/>
          <w:szCs w:val="28"/>
          <w:lang w:val="en-US" w:eastAsia="zh-CN"/>
        </w:rPr>
        <w:t xml:space="preserve"> 淄博市</w:t>
      </w:r>
      <w:r>
        <w:rPr>
          <w:rFonts w:hint="default" w:ascii="Times New Roman" w:hAnsi="Times New Roman" w:eastAsia="仿宋_GB2312" w:cs="Times New Roman"/>
          <w:sz w:val="32"/>
          <w:szCs w:val="28"/>
          <w:lang w:val="en-US" w:eastAsia="zh-CN"/>
        </w:rPr>
        <w:t>张店区</w:t>
      </w:r>
      <w:r>
        <w:rPr>
          <w:rFonts w:hint="default" w:ascii="Times New Roman" w:hAnsi="Times New Roman" w:eastAsia="仿宋_GB2312" w:cs="Times New Roman"/>
          <w:sz w:val="32"/>
          <w:szCs w:val="28"/>
        </w:rPr>
        <w:t>人民政府</w:t>
      </w:r>
      <w:r>
        <w:rPr>
          <w:rFonts w:hint="eastAsia" w:ascii="Times New Roman" w:hAnsi="Times New Roman" w:cs="Times New Roman"/>
          <w:sz w:val="32"/>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lang w:val="en-US" w:eastAsia="zh-CN"/>
        </w:rPr>
        <w:t xml:space="preserve">                   </w:t>
      </w:r>
      <w:r>
        <w:rPr>
          <w:rFonts w:hint="eastAsia" w:ascii="Times New Roman" w:hAnsi="Times New Roman" w:cs="Times New Roman"/>
          <w:sz w:val="32"/>
          <w:szCs w:val="28"/>
          <w:lang w:val="en-US" w:eastAsia="zh-CN"/>
        </w:rPr>
        <w:t xml:space="preserve">      </w:t>
      </w:r>
      <w:r>
        <w:rPr>
          <w:rFonts w:hint="default" w:ascii="Times New Roman" w:hAnsi="Times New Roman" w:eastAsia="仿宋_GB2312" w:cs="Times New Roman"/>
          <w:sz w:val="32"/>
          <w:szCs w:val="28"/>
          <w:lang w:val="en-US" w:eastAsia="zh-CN"/>
        </w:rPr>
        <w:t xml:space="preserve"> </w:t>
      </w:r>
      <w:r>
        <w:rPr>
          <w:rFonts w:hint="eastAsia" w:ascii="Times New Roman" w:hAnsi="Times New Roman" w:eastAsia="仿宋_GB2312" w:cs="Times New Roman"/>
          <w:sz w:val="32"/>
          <w:szCs w:val="28"/>
          <w:lang w:val="en-US" w:eastAsia="zh-CN"/>
        </w:rPr>
        <w:t xml:space="preserve"> </w:t>
      </w:r>
      <w:r>
        <w:rPr>
          <w:rFonts w:hint="eastAsia" w:ascii="Times New Roman" w:hAnsi="Times New Roman" w:eastAsia="仿宋_GB2312" w:cs="仿宋_GB2312"/>
          <w:sz w:val="32"/>
          <w:szCs w:val="28"/>
          <w:lang w:val="en-US" w:eastAsia="zh-CN"/>
        </w:rPr>
        <w:t>2021</w:t>
      </w:r>
      <w:r>
        <w:rPr>
          <w:rFonts w:hint="default" w:ascii="Times New Roman" w:hAnsi="Times New Roman" w:eastAsia="仿宋_GB2312" w:cs="Times New Roman"/>
          <w:sz w:val="32"/>
          <w:szCs w:val="28"/>
          <w:lang w:val="en-US" w:eastAsia="zh-CN"/>
        </w:rPr>
        <w:t>年</w:t>
      </w:r>
      <w:r>
        <w:rPr>
          <w:rFonts w:hint="eastAsia" w:ascii="Times New Roman" w:hAnsi="Times New Roman" w:eastAsia="仿宋_GB2312" w:cs="仿宋_GB2312"/>
          <w:sz w:val="32"/>
          <w:szCs w:val="28"/>
          <w:lang w:val="en-US" w:eastAsia="zh-CN"/>
        </w:rPr>
        <w:t>12</w:t>
      </w:r>
      <w:r>
        <w:rPr>
          <w:rFonts w:hint="default" w:ascii="Times New Roman" w:hAnsi="Times New Roman" w:eastAsia="仿宋_GB2312" w:cs="Times New Roman"/>
          <w:sz w:val="32"/>
          <w:szCs w:val="28"/>
          <w:lang w:val="en-US" w:eastAsia="zh-CN"/>
        </w:rPr>
        <w:t>月</w:t>
      </w:r>
      <w:r>
        <w:rPr>
          <w:rFonts w:hint="eastAsia" w:ascii="Times New Roman" w:hAnsi="Times New Roman" w:cs="Times New Roman"/>
          <w:sz w:val="32"/>
          <w:szCs w:val="28"/>
          <w:lang w:val="en-US" w:eastAsia="zh-CN"/>
        </w:rPr>
        <w:t>31</w:t>
      </w:r>
      <w:r>
        <w:rPr>
          <w:rFonts w:hint="default" w:ascii="Times New Roman" w:hAnsi="Times New Roman" w:eastAsia="仿宋_GB2312" w:cs="Times New Roman"/>
          <w:sz w:val="32"/>
          <w:szCs w:val="28"/>
        </w:rPr>
        <w:t>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（此件公开发布）</w:t>
      </w:r>
    </w:p>
    <w:p>
      <w:pPr>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Times New Roman" w:hAnsi="Times New Roman" w:eastAsia="仿宋_GB2312" w:cs="仿宋_GB2312"/>
          <w:sz w:val="44"/>
          <w:szCs w:val="44"/>
        </w:rPr>
        <w:sectPr>
          <w:footerReference r:id="rId5" w:type="default"/>
          <w:pgSz w:w="11906" w:h="16838"/>
          <w:pgMar w:top="2098" w:right="1474" w:bottom="1984" w:left="1587" w:header="851" w:footer="1531" w:gutter="0"/>
          <w:pgNumType w:fmt="decimal" w:start="1"/>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Times New Roman" w:hAnsi="Times New Roman" w:eastAsia="方正小标宋简体" w:cs="仿宋_GB2312"/>
          <w:sz w:val="44"/>
          <w:szCs w:val="44"/>
          <w:lang w:eastAsia="zh-CN"/>
        </w:rPr>
      </w:pPr>
      <w:bookmarkStart w:id="0" w:name="_Toc5076"/>
      <w:bookmarkStart w:id="1" w:name="_Toc7097"/>
      <w:r>
        <w:rPr>
          <w:rFonts w:hint="eastAsia" w:ascii="Times New Roman" w:hAnsi="Times New Roman" w:eastAsia="方正小标宋简体" w:cs="方正小标宋简体"/>
          <w:sz w:val="44"/>
          <w:szCs w:val="44"/>
        </w:rPr>
        <w:t>张店区社会信用体系建设实施方案</w:t>
      </w:r>
      <w:bookmarkEnd w:id="0"/>
      <w:bookmarkEnd w:id="1"/>
      <w:r>
        <w:rPr>
          <w:rFonts w:hint="eastAsia" w:ascii="Times New Roman" w:hAnsi="Times New Roman" w:eastAsia="方正小标宋简体" w:cs="方正小标宋简体"/>
          <w:sz w:val="44"/>
          <w:szCs w:val="44"/>
          <w:lang w:eastAsia="zh-CN"/>
        </w:rPr>
        <w:t>（</w:t>
      </w:r>
      <w:r>
        <w:rPr>
          <w:rFonts w:hint="eastAsia" w:ascii="Times New Roman" w:hAnsi="Times New Roman" w:eastAsia="方正小标宋简体" w:cs="方正小标宋简体"/>
          <w:sz w:val="44"/>
          <w:szCs w:val="44"/>
          <w:lang w:val="en-US" w:eastAsia="zh-CN"/>
        </w:rPr>
        <w:t>试行</w:t>
      </w:r>
      <w:r>
        <w:rPr>
          <w:rFonts w:hint="eastAsia" w:ascii="Times New Roman" w:hAnsi="Times New Roman"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仿宋_GB2312" w:cs="仿宋_GB2312"/>
          <w:color w:val="auto"/>
        </w:rPr>
      </w:pPr>
      <w:r>
        <w:rPr>
          <w:rFonts w:hint="eastAsia" w:ascii="Times New Roman" w:hAnsi="Times New Roman" w:eastAsia="仿宋_GB2312" w:cs="仿宋_GB2312"/>
          <w:color w:val="auto"/>
        </w:rPr>
        <w:t>为坚定不移贯彻新发展理念，紧紧围绕持续深化科教创新、产业、金融、文化、生态、改革开放“六大赋能”和高质量发展“十二大攻坚行动”，夯实完善社会信用法规制度体系、信用信息平台一体化建设两大基础支撑，着力聚焦信用惠民便企服务、诚信法治社会环境优化两大重点方向，深入推进政务诚信、商务诚信、社会诚信和司法公信建设，全面构建规范高效、共享共用的社会信用体系，持续深入优化营商环境，全力打造</w:t>
      </w:r>
      <w:r>
        <w:rPr>
          <w:rFonts w:hint="eastAsia" w:ascii="Times New Roman" w:hAnsi="Times New Roman" w:eastAsia="仿宋_GB2312" w:cs="仿宋_GB2312"/>
          <w:color w:val="auto"/>
          <w:lang w:eastAsia="zh-CN"/>
        </w:rPr>
        <w:t>“</w:t>
      </w:r>
      <w:r>
        <w:rPr>
          <w:rFonts w:hint="eastAsia" w:ascii="Times New Roman" w:hAnsi="Times New Roman" w:eastAsia="仿宋_GB2312" w:cs="仿宋_GB2312"/>
          <w:color w:val="auto"/>
        </w:rPr>
        <w:t>信用张店</w:t>
      </w:r>
      <w:r>
        <w:rPr>
          <w:rFonts w:hint="eastAsia" w:ascii="Times New Roman" w:hAnsi="Times New Roman" w:eastAsia="仿宋_GB2312" w:cs="仿宋_GB2312"/>
          <w:color w:val="auto"/>
          <w:lang w:eastAsia="zh-CN"/>
        </w:rPr>
        <w:t>”</w:t>
      </w:r>
      <w:r>
        <w:rPr>
          <w:rFonts w:hint="eastAsia" w:ascii="Times New Roman" w:hAnsi="Times New Roman" w:eastAsia="仿宋_GB2312" w:cs="仿宋_GB2312"/>
          <w:color w:val="auto"/>
        </w:rPr>
        <w:t>品牌，特制定本方案。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黑体" w:cs="黑体"/>
        </w:rPr>
      </w:pPr>
      <w:bookmarkStart w:id="2" w:name="_Toc7837"/>
      <w:bookmarkStart w:id="3" w:name="_Toc4622"/>
      <w:bookmarkStart w:id="4" w:name="_Toc32253"/>
      <w:r>
        <w:rPr>
          <w:rFonts w:hint="eastAsia" w:ascii="Times New Roman" w:hAnsi="Times New Roman" w:eastAsia="黑体" w:cs="黑体"/>
        </w:rPr>
        <w:t>一、总体要求</w:t>
      </w:r>
      <w:bookmarkEnd w:id="2"/>
      <w:bookmarkEnd w:id="3"/>
      <w:bookmarkEnd w:id="4"/>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仿宋_GB2312" w:cs="仿宋_GB2312"/>
          <w:color w:val="auto"/>
        </w:rPr>
      </w:pPr>
      <w:bookmarkStart w:id="5" w:name="_Toc16114"/>
      <w:bookmarkStart w:id="6" w:name="_Toc22122"/>
      <w:bookmarkStart w:id="7" w:name="_Toc14364"/>
      <w:r>
        <w:rPr>
          <w:rFonts w:hint="eastAsia" w:ascii="Times New Roman" w:hAnsi="Times New Roman" w:eastAsia="仿宋_GB2312" w:cs="仿宋_GB2312"/>
          <w:color w:val="auto"/>
          <w:lang w:val="en-US" w:eastAsia="zh-CN"/>
        </w:rPr>
        <w:t>以习近平新时代中国特色社会主义思想为指导，全面贯彻党的十九大和十九届三中、四中、五中</w:t>
      </w:r>
      <w:r>
        <w:rPr>
          <w:rFonts w:hint="eastAsia" w:ascii="Times New Roman" w:hAnsi="Times New Roman" w:cs="仿宋_GB2312"/>
          <w:color w:val="auto"/>
          <w:lang w:val="en-US" w:eastAsia="zh-CN"/>
        </w:rPr>
        <w:t>、六中</w:t>
      </w:r>
      <w:r>
        <w:rPr>
          <w:rFonts w:hint="eastAsia" w:ascii="Times New Roman" w:hAnsi="Times New Roman" w:eastAsia="仿宋_GB2312" w:cs="仿宋_GB2312"/>
          <w:color w:val="auto"/>
          <w:lang w:val="en-US" w:eastAsia="zh-CN"/>
        </w:rPr>
        <w:t>全会精神，依据《中华人民共和国个人信息保护法》</w:t>
      </w:r>
      <w:r>
        <w:rPr>
          <w:rFonts w:hint="eastAsia" w:ascii="Times New Roman" w:hAnsi="Times New Roman" w:cs="仿宋_GB2312"/>
          <w:color w:val="auto"/>
          <w:lang w:val="en-US" w:eastAsia="zh-CN"/>
        </w:rPr>
        <w:t>、</w:t>
      </w:r>
      <w:r>
        <w:rPr>
          <w:rFonts w:hint="eastAsia" w:ascii="Times New Roman" w:hAnsi="Times New Roman" w:eastAsia="仿宋_GB2312" w:cs="仿宋_GB2312"/>
          <w:color w:val="auto"/>
          <w:lang w:val="en-US" w:eastAsia="zh-CN"/>
        </w:rPr>
        <w:t>《国务院办公厅关于加强个人诚信体系建设的指导意见》（国办发</w:t>
      </w:r>
      <w:r>
        <w:rPr>
          <w:rFonts w:hint="eastAsia" w:ascii="Times New Roman" w:hAnsi="Times New Roman" w:eastAsia="仿宋_GB2312" w:cs="Times New Roman"/>
          <w:b w:val="0"/>
          <w:bCs/>
          <w:color w:val="auto"/>
          <w:sz w:val="32"/>
          <w:szCs w:val="32"/>
          <w:highlight w:val="none"/>
          <w:shd w:val="clear" w:color="auto" w:fill="auto"/>
        </w:rPr>
        <w:t>〔</w:t>
      </w:r>
      <w:r>
        <w:rPr>
          <w:rFonts w:hint="eastAsia" w:ascii="Times New Roman" w:hAnsi="Times New Roman" w:eastAsia="仿宋_GB2312" w:cs="仿宋_GB2312"/>
          <w:color w:val="auto"/>
          <w:lang w:val="en-US" w:eastAsia="zh-CN"/>
        </w:rPr>
        <w:t>2016</w:t>
      </w:r>
      <w:r>
        <w:rPr>
          <w:rFonts w:hint="eastAsia" w:ascii="Times New Roman" w:hAnsi="Times New Roman" w:eastAsia="仿宋_GB2312" w:cs="Times New Roman"/>
          <w:b w:val="0"/>
          <w:bCs/>
          <w:color w:val="auto"/>
          <w:sz w:val="32"/>
          <w:szCs w:val="32"/>
          <w:highlight w:val="none"/>
          <w:shd w:val="clear" w:color="auto" w:fill="auto"/>
        </w:rPr>
        <w:t>〕</w:t>
      </w:r>
      <w:r>
        <w:rPr>
          <w:rFonts w:hint="eastAsia" w:ascii="Times New Roman" w:hAnsi="Times New Roman" w:eastAsia="仿宋_GB2312" w:cs="仿宋_GB2312"/>
          <w:color w:val="auto"/>
          <w:lang w:val="en-US" w:eastAsia="zh-CN"/>
        </w:rPr>
        <w:t>98号）、《山东省人民政府关于加强政务诚信建设的实施意见》（鲁政发</w:t>
      </w:r>
      <w:r>
        <w:rPr>
          <w:rFonts w:hint="eastAsia" w:ascii="Times New Roman" w:hAnsi="Times New Roman" w:eastAsia="仿宋_GB2312" w:cs="Times New Roman"/>
          <w:b w:val="0"/>
          <w:bCs/>
          <w:color w:val="auto"/>
          <w:sz w:val="32"/>
          <w:szCs w:val="32"/>
          <w:highlight w:val="none"/>
          <w:shd w:val="clear" w:color="auto" w:fill="auto"/>
        </w:rPr>
        <w:t>〔</w:t>
      </w:r>
      <w:r>
        <w:rPr>
          <w:rFonts w:hint="eastAsia" w:ascii="Times New Roman" w:hAnsi="Times New Roman" w:eastAsia="仿宋_GB2312" w:cs="仿宋_GB2312"/>
          <w:color w:val="auto"/>
          <w:lang w:val="en-US" w:eastAsia="zh-CN"/>
        </w:rPr>
        <w:t>2018</w:t>
      </w:r>
      <w:r>
        <w:rPr>
          <w:rFonts w:hint="eastAsia" w:ascii="Times New Roman" w:hAnsi="Times New Roman" w:eastAsia="仿宋_GB2312" w:cs="Times New Roman"/>
          <w:b w:val="0"/>
          <w:bCs/>
          <w:color w:val="auto"/>
          <w:sz w:val="32"/>
          <w:szCs w:val="32"/>
          <w:highlight w:val="none"/>
          <w:shd w:val="clear" w:color="auto" w:fill="auto"/>
        </w:rPr>
        <w:t>〕</w:t>
      </w:r>
      <w:r>
        <w:rPr>
          <w:rFonts w:hint="eastAsia" w:ascii="Times New Roman" w:hAnsi="Times New Roman" w:eastAsia="仿宋_GB2312" w:cs="仿宋_GB2312"/>
          <w:color w:val="auto"/>
          <w:lang w:val="en-US" w:eastAsia="zh-CN"/>
        </w:rPr>
        <w:t>9 号）、《山东省信用分级分类管理办法（试行）》、《山东省社会信用条例》等文件精神，</w:t>
      </w:r>
      <w:r>
        <w:rPr>
          <w:rFonts w:hint="eastAsia" w:ascii="Times New Roman" w:hAnsi="Times New Roman" w:eastAsia="仿宋_GB2312" w:cs="仿宋_GB2312"/>
          <w:color w:val="auto"/>
        </w:rPr>
        <w:t>将社会信用体系建设作为推进基层社会治理、优化营商环境的有力抓手，按照“顶层设计、分类指导、试点先行、全面铺开”的思路，以制度体系建设为基础，以信用信息平台建设为载体，以信用信息应用为重点，聚焦重点领域、重点人群、重点环节，加快推进</w:t>
      </w:r>
      <w:r>
        <w:rPr>
          <w:rFonts w:hint="eastAsia" w:ascii="Times New Roman" w:hAnsi="Times New Roman" w:cs="仿宋_GB2312"/>
          <w:color w:val="auto"/>
          <w:lang w:val="en-US" w:eastAsia="zh-CN"/>
        </w:rPr>
        <w:t>全</w:t>
      </w:r>
      <w:r>
        <w:rPr>
          <w:rFonts w:hint="eastAsia" w:ascii="Times New Roman" w:hAnsi="Times New Roman" w:eastAsia="仿宋_GB2312" w:cs="仿宋_GB2312"/>
          <w:color w:val="auto"/>
        </w:rPr>
        <w:t>区社会信用体系建设。</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黑体" w:cs="黑体"/>
          <w:lang w:val="en-US" w:eastAsia="zh-CN"/>
        </w:rPr>
      </w:pPr>
      <w:r>
        <w:rPr>
          <w:rFonts w:hint="eastAsia" w:ascii="Times New Roman" w:hAnsi="Times New Roman" w:eastAsia="黑体" w:cs="黑体"/>
          <w:lang w:val="en-US" w:eastAsia="zh-CN"/>
        </w:rPr>
        <w:t>二、总体目标</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仿宋_GB2312" w:cs="仿宋_GB2312"/>
          <w:color w:val="auto"/>
          <w:lang w:val="en-US" w:eastAsia="zh-CN"/>
        </w:rPr>
      </w:pPr>
      <w:r>
        <w:rPr>
          <w:rFonts w:hint="eastAsia" w:ascii="Times New Roman" w:hAnsi="Times New Roman" w:eastAsia="仿宋_GB2312" w:cs="仿宋_GB2312"/>
          <w:color w:val="auto"/>
          <w:lang w:val="en-US" w:eastAsia="zh-CN"/>
        </w:rPr>
        <w:t>到2021年底，</w:t>
      </w:r>
      <w:r>
        <w:rPr>
          <w:rFonts w:hint="eastAsia" w:ascii="Times New Roman" w:hAnsi="Times New Roman" w:cs="仿宋_GB2312"/>
          <w:color w:val="auto"/>
          <w:lang w:val="en-US" w:eastAsia="zh-CN"/>
        </w:rPr>
        <w:t>全区</w:t>
      </w:r>
      <w:r>
        <w:rPr>
          <w:rFonts w:hint="eastAsia" w:ascii="Times New Roman" w:hAnsi="Times New Roman" w:eastAsia="仿宋_GB2312" w:cs="仿宋_GB2312"/>
          <w:color w:val="auto"/>
          <w:lang w:val="en-US" w:eastAsia="zh-CN"/>
        </w:rPr>
        <w:t>社会信用建设规章制度体系基本完善，公共信用信息平台建成运行，守信激励和失信惩戒机制有效发挥作用，信用信息得到规范广泛应用，以信用为基础的新型监督管理机制建立完善，社会成员诚信意识普遍增强，经济社会发展信用环境进一步优化。</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黑体" w:cs="黑体"/>
          <w:lang w:val="en-US" w:eastAsia="zh-CN"/>
        </w:rPr>
      </w:pPr>
      <w:r>
        <w:rPr>
          <w:rFonts w:hint="eastAsia" w:ascii="Times New Roman" w:hAnsi="Times New Roman" w:eastAsia="黑体" w:cs="黑体"/>
          <w:lang w:val="en-US" w:eastAsia="zh-CN"/>
        </w:rPr>
        <w:t>三</w:t>
      </w:r>
      <w:r>
        <w:rPr>
          <w:rFonts w:hint="eastAsia" w:ascii="Times New Roman" w:hAnsi="Times New Roman" w:eastAsia="黑体" w:cs="黑体"/>
        </w:rPr>
        <w:t>、</w:t>
      </w:r>
      <w:bookmarkEnd w:id="5"/>
      <w:bookmarkEnd w:id="6"/>
      <w:bookmarkEnd w:id="7"/>
      <w:bookmarkStart w:id="8" w:name="_Toc22006"/>
      <w:bookmarkStart w:id="9" w:name="_Toc3715"/>
      <w:r>
        <w:rPr>
          <w:rFonts w:hint="eastAsia" w:ascii="Times New Roman" w:hAnsi="Times New Roman" w:eastAsia="黑体" w:cs="黑体"/>
          <w:lang w:val="en-US" w:eastAsia="zh-CN"/>
        </w:rPr>
        <w:t>夯实信用体系建设基础</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楷体_GB2312" w:cs="楷体_GB2312"/>
        </w:rPr>
      </w:pPr>
      <w:r>
        <w:rPr>
          <w:rFonts w:hint="eastAsia" w:ascii="Times New Roman" w:hAnsi="Times New Roman" w:eastAsia="楷体_GB2312" w:cs="楷体_GB2312"/>
        </w:rPr>
        <w:t>（一）建立健全信用制度和标准规范</w:t>
      </w:r>
      <w:bookmarkEnd w:id="8"/>
      <w:bookmarkEnd w:id="9"/>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仿宋_GB2312" w:cs="仿宋_GB2312"/>
          <w:b/>
          <w:bCs/>
        </w:rPr>
      </w:pPr>
      <w:bookmarkStart w:id="10" w:name="_Toc3582"/>
      <w:bookmarkStart w:id="11" w:name="_Toc8229"/>
      <w:r>
        <w:rPr>
          <w:rFonts w:hint="eastAsia" w:ascii="Times New Roman" w:hAnsi="Times New Roman" w:eastAsia="仿宋_GB2312" w:cs="仿宋_GB2312"/>
          <w:b/>
          <w:bCs/>
        </w:rPr>
        <w:t>1.全面落实《山东省社会信用条例》</w:t>
      </w:r>
      <w:bookmarkEnd w:id="10"/>
      <w:bookmarkEnd w:id="11"/>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楷体_GB2312" w:cs="楷体_GB2312"/>
        </w:rPr>
      </w:pPr>
      <w:r>
        <w:rPr>
          <w:rFonts w:hint="eastAsia" w:ascii="Times New Roman" w:hAnsi="Times New Roman" w:eastAsia="仿宋_GB2312" w:cs="仿宋_GB2312"/>
          <w:color w:val="auto"/>
          <w:lang w:val="en-US" w:eastAsia="zh-CN"/>
        </w:rPr>
        <w:t>按照省、市要求，将《山东省社会信用条例》作为张店区社会信用体系建设工作的纲领和依据，严格</w:t>
      </w:r>
      <w:r>
        <w:rPr>
          <w:rFonts w:hint="eastAsia" w:ascii="Times New Roman" w:hAnsi="Times New Roman" w:cs="仿宋_GB2312"/>
          <w:color w:val="auto"/>
          <w:lang w:val="en-US" w:eastAsia="zh-CN"/>
        </w:rPr>
        <w:t>贯彻落实《</w:t>
      </w:r>
      <w:r>
        <w:rPr>
          <w:rFonts w:hint="eastAsia" w:ascii="Times New Roman" w:hAnsi="Times New Roman" w:eastAsia="仿宋_GB2312" w:cs="仿宋_GB2312"/>
          <w:color w:val="auto"/>
          <w:lang w:val="en-US" w:eastAsia="zh-CN"/>
        </w:rPr>
        <w:t>中华人民共和国个人信息保护法</w:t>
      </w:r>
      <w:r>
        <w:rPr>
          <w:rFonts w:hint="eastAsia" w:ascii="Times New Roman" w:hAnsi="Times New Roman" w:cs="仿宋_GB2312"/>
          <w:color w:val="auto"/>
          <w:lang w:val="en-US" w:eastAsia="zh-CN"/>
        </w:rPr>
        <w:t>》，</w:t>
      </w:r>
      <w:r>
        <w:rPr>
          <w:rFonts w:hint="eastAsia" w:ascii="Times New Roman" w:hAnsi="Times New Roman" w:eastAsia="仿宋_GB2312" w:cs="仿宋_GB2312"/>
          <w:color w:val="auto"/>
          <w:lang w:val="en-US" w:eastAsia="zh-CN"/>
        </w:rPr>
        <w:t>依法依规规范社会信用信息采集</w:t>
      </w:r>
      <w:r>
        <w:rPr>
          <w:rFonts w:hint="eastAsia" w:ascii="Times New Roman" w:hAnsi="Times New Roman" w:cs="仿宋_GB2312"/>
          <w:color w:val="auto"/>
          <w:lang w:val="en-US" w:eastAsia="zh-CN"/>
        </w:rPr>
        <w:t>、</w:t>
      </w:r>
      <w:r>
        <w:rPr>
          <w:rFonts w:hint="eastAsia" w:ascii="Times New Roman" w:hAnsi="Times New Roman" w:eastAsia="仿宋_GB2312" w:cs="仿宋_GB2312"/>
          <w:color w:val="auto"/>
          <w:lang w:val="en-US" w:eastAsia="zh-CN"/>
        </w:rPr>
        <w:t>归集</w:t>
      </w:r>
      <w:r>
        <w:rPr>
          <w:rFonts w:hint="eastAsia" w:ascii="Times New Roman" w:hAnsi="Times New Roman" w:cs="仿宋_GB2312"/>
          <w:color w:val="auto"/>
          <w:lang w:val="en-US" w:eastAsia="zh-CN"/>
        </w:rPr>
        <w:t>、</w:t>
      </w:r>
      <w:r>
        <w:rPr>
          <w:rFonts w:hint="eastAsia" w:ascii="Times New Roman" w:hAnsi="Times New Roman" w:eastAsia="仿宋_GB2312" w:cs="仿宋_GB2312"/>
          <w:color w:val="auto"/>
          <w:lang w:val="en-US" w:eastAsia="zh-CN"/>
        </w:rPr>
        <w:t>披露、信用激励和惩戒、信用主体权益保护、信用服务行业发展等活动，纠正和杜绝信用信息滥用与信用惩戒泛化，确保条例落地实施，取得实效。</w:t>
      </w:r>
      <w:r>
        <w:rPr>
          <w:rFonts w:hint="eastAsia" w:ascii="Times New Roman" w:hAnsi="Times New Roman" w:cs="仿宋_GB2312"/>
          <w:color w:val="auto"/>
          <w:lang w:val="en-US" w:eastAsia="zh-CN"/>
        </w:rPr>
        <w:t>（</w:t>
      </w:r>
      <w:r>
        <w:rPr>
          <w:rFonts w:hint="eastAsia" w:ascii="Times New Roman" w:hAnsi="Times New Roman" w:eastAsia="楷体_GB2312" w:cs="楷体_GB2312"/>
        </w:rPr>
        <w:t>责任</w:t>
      </w:r>
      <w:r>
        <w:rPr>
          <w:rFonts w:hint="eastAsia" w:ascii="Times New Roman" w:hAnsi="Times New Roman" w:eastAsia="楷体_GB2312" w:cs="楷体_GB2312"/>
          <w:lang w:val="en-US" w:eastAsia="zh-CN"/>
        </w:rPr>
        <w:t>单位</w:t>
      </w:r>
      <w:r>
        <w:rPr>
          <w:rFonts w:hint="eastAsia" w:ascii="Times New Roman" w:hAnsi="Times New Roman" w:eastAsia="楷体_GB2312" w:cs="楷体_GB2312"/>
        </w:rPr>
        <w:t>：区发展改革局</w:t>
      </w:r>
      <w:r>
        <w:rPr>
          <w:rFonts w:hint="eastAsia" w:ascii="Times New Roman" w:hAnsi="Times New Roman" w:eastAsia="楷体_GB2312" w:cs="楷体_GB2312"/>
          <w:lang w:val="en-US" w:eastAsia="zh-CN"/>
        </w:rPr>
        <w:t>牵头，区委宣传部、</w:t>
      </w:r>
      <w:r>
        <w:rPr>
          <w:rFonts w:hint="eastAsia" w:ascii="Times New Roman" w:hAnsi="Times New Roman" w:eastAsia="楷体_GB2312" w:cs="楷体_GB2312"/>
          <w:lang w:eastAsia="zh-CN"/>
        </w:rPr>
        <w:t>各镇办、</w:t>
      </w:r>
      <w:r>
        <w:rPr>
          <w:rFonts w:hint="eastAsia" w:ascii="Times New Roman" w:hAnsi="Times New Roman" w:eastAsia="楷体_GB2312" w:cs="楷体_GB2312"/>
        </w:rPr>
        <w:t>区相关部门配合</w:t>
      </w:r>
      <w:r>
        <w:rPr>
          <w:rFonts w:hint="eastAsia" w:ascii="Times New Roman" w:hAnsi="Times New Roman" w:eastAsia="楷体_GB2312" w:cs="楷体_GB2312"/>
          <w:lang w:eastAsia="zh-CN"/>
        </w:rPr>
        <w:t>；</w:t>
      </w:r>
      <w:r>
        <w:rPr>
          <w:rFonts w:hint="eastAsia" w:ascii="Times New Roman" w:hAnsi="Times New Roman" w:eastAsia="楷体_GB2312" w:cs="楷体_GB2312"/>
          <w:lang w:val="en-US" w:eastAsia="zh-CN"/>
        </w:rPr>
        <w:t>完成时间：实时推进</w:t>
      </w:r>
      <w:r>
        <w:rPr>
          <w:rFonts w:hint="eastAsia" w:ascii="Times New Roman" w:hAnsi="Times New Roman" w:cs="仿宋_GB231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仿宋_GB2312" w:cs="仿宋_GB2312"/>
          <w:b/>
          <w:bCs/>
        </w:rPr>
      </w:pPr>
      <w:bookmarkStart w:id="12" w:name="_Toc18706"/>
      <w:bookmarkStart w:id="13" w:name="_Toc31990"/>
      <w:r>
        <w:rPr>
          <w:rFonts w:hint="eastAsia" w:ascii="Times New Roman" w:hAnsi="Times New Roman" w:eastAsia="仿宋_GB2312" w:cs="仿宋_GB2312"/>
          <w:b/>
          <w:bCs/>
        </w:rPr>
        <w:t>2.建立信用管理制度体系</w:t>
      </w:r>
      <w:bookmarkEnd w:id="12"/>
      <w:bookmarkEnd w:id="13"/>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楷体_GB2312" w:cs="楷体_GB2312"/>
          <w:sz w:val="32"/>
          <w:szCs w:val="32"/>
        </w:rPr>
      </w:pPr>
      <w:r>
        <w:rPr>
          <w:rFonts w:hint="eastAsia" w:ascii="Times New Roman" w:hAnsi="Times New Roman" w:eastAsia="仿宋_GB2312" w:cs="仿宋_GB2312"/>
          <w:color w:val="auto"/>
          <w:lang w:val="en-US" w:eastAsia="zh-CN"/>
        </w:rPr>
        <w:t>结合</w:t>
      </w:r>
      <w:r>
        <w:rPr>
          <w:rFonts w:hint="eastAsia" w:ascii="Times New Roman" w:hAnsi="Times New Roman" w:cs="仿宋_GB2312"/>
          <w:color w:val="auto"/>
          <w:lang w:val="en-US" w:eastAsia="zh-CN"/>
        </w:rPr>
        <w:t>全</w:t>
      </w:r>
      <w:r>
        <w:rPr>
          <w:rFonts w:hint="eastAsia" w:ascii="Times New Roman" w:hAnsi="Times New Roman" w:eastAsia="仿宋_GB2312" w:cs="仿宋_GB2312"/>
          <w:color w:val="auto"/>
          <w:lang w:val="en-US" w:eastAsia="zh-CN"/>
        </w:rPr>
        <w:t>区社会信用体系建设推进工作实际，围绕公共信用信息开放与共享、信用分级分类评价与管理、信用应用场景、信用修复、公职人员诚信、个人诚信、企业信用建设等主要工作和关键环节，研究制定信用体系建设管理制度，使信用信息记录、归集、公示、查询、应用、互联互通、信用信息安全和主体权益保护等有章可循。建立</w:t>
      </w:r>
      <w:r>
        <w:rPr>
          <w:rFonts w:hint="eastAsia" w:ascii="Times New Roman" w:hAnsi="Times New Roman" w:cs="仿宋_GB2312"/>
          <w:color w:val="auto"/>
          <w:lang w:val="en-US" w:eastAsia="zh-CN"/>
        </w:rPr>
        <w:t>全区</w:t>
      </w:r>
      <w:r>
        <w:rPr>
          <w:rFonts w:hint="eastAsia" w:ascii="Times New Roman" w:hAnsi="Times New Roman" w:eastAsia="仿宋_GB2312" w:cs="仿宋_GB2312"/>
          <w:color w:val="auto"/>
          <w:lang w:val="en-US" w:eastAsia="zh-CN"/>
        </w:rPr>
        <w:t>公共信用信息</w:t>
      </w:r>
      <w:r>
        <w:rPr>
          <w:rFonts w:hint="eastAsia" w:ascii="Times New Roman" w:hAnsi="Times New Roman" w:cs="仿宋_GB2312"/>
          <w:color w:val="auto"/>
          <w:lang w:val="en-US" w:eastAsia="zh-CN"/>
        </w:rPr>
        <w:t>目录</w:t>
      </w:r>
      <w:r>
        <w:rPr>
          <w:rFonts w:hint="eastAsia" w:ascii="Times New Roman" w:hAnsi="Times New Roman" w:eastAsia="仿宋_GB2312" w:cs="仿宋_GB2312"/>
          <w:color w:val="auto"/>
          <w:lang w:val="en-US" w:eastAsia="zh-CN"/>
        </w:rPr>
        <w:t>，进一步完善联合奖惩制度，确保信用体系建设管理制度严谨统一，规范有序，提高社会信用体系建设法治化、规范化水平。</w:t>
      </w:r>
      <w:r>
        <w:rPr>
          <w:rFonts w:hint="eastAsia" w:ascii="Times New Roman" w:hAnsi="Times New Roman" w:cs="仿宋_GB2312"/>
          <w:color w:val="auto"/>
          <w:lang w:val="en-US" w:eastAsia="zh-CN"/>
        </w:rPr>
        <w:t>（</w:t>
      </w:r>
      <w:r>
        <w:rPr>
          <w:rFonts w:hint="eastAsia" w:ascii="Times New Roman" w:hAnsi="Times New Roman" w:eastAsia="楷体_GB2312" w:cs="楷体_GB2312"/>
          <w:sz w:val="32"/>
        </w:rPr>
        <w:t>责任</w:t>
      </w:r>
      <w:r>
        <w:rPr>
          <w:rFonts w:hint="eastAsia" w:ascii="Times New Roman" w:hAnsi="Times New Roman" w:eastAsia="楷体_GB2312" w:cs="楷体_GB2312"/>
          <w:sz w:val="32"/>
          <w:lang w:val="en-US" w:eastAsia="zh-CN"/>
        </w:rPr>
        <w:t>单位</w:t>
      </w:r>
      <w:r>
        <w:rPr>
          <w:rFonts w:hint="eastAsia" w:ascii="Times New Roman" w:hAnsi="Times New Roman" w:eastAsia="楷体_GB2312" w:cs="楷体_GB2312"/>
          <w:sz w:val="32"/>
        </w:rPr>
        <w:t>：区发展改革局</w:t>
      </w:r>
      <w:r>
        <w:rPr>
          <w:rFonts w:hint="eastAsia" w:ascii="Times New Roman" w:hAnsi="Times New Roman" w:eastAsia="楷体_GB2312" w:cs="楷体_GB2312"/>
          <w:sz w:val="32"/>
          <w:lang w:val="en-US" w:eastAsia="zh-CN"/>
        </w:rPr>
        <w:t>牵头，区委宣传部、区市场监管局、</w:t>
      </w:r>
      <w:r>
        <w:rPr>
          <w:rFonts w:hint="eastAsia" w:ascii="Times New Roman" w:hAnsi="Times New Roman" w:eastAsia="楷体_GB2312" w:cs="楷体_GB2312"/>
          <w:sz w:val="32"/>
        </w:rPr>
        <w:t>区司法局、</w:t>
      </w:r>
      <w:r>
        <w:rPr>
          <w:rFonts w:hint="eastAsia" w:ascii="Times New Roman" w:hAnsi="Times New Roman" w:eastAsia="楷体_GB2312" w:cs="楷体_GB2312"/>
          <w:sz w:val="32"/>
          <w:lang w:eastAsia="zh-CN"/>
        </w:rPr>
        <w:t>各镇办、</w:t>
      </w:r>
      <w:r>
        <w:rPr>
          <w:rFonts w:hint="eastAsia" w:ascii="Times New Roman" w:hAnsi="Times New Roman" w:eastAsia="楷体_GB2312" w:cs="楷体_GB2312"/>
          <w:sz w:val="32"/>
        </w:rPr>
        <w:t>区相关部门配合</w:t>
      </w:r>
      <w:r>
        <w:rPr>
          <w:rFonts w:hint="eastAsia" w:ascii="Times New Roman" w:hAnsi="Times New Roman" w:eastAsia="楷体_GB2312" w:cs="楷体_GB2312"/>
          <w:sz w:val="32"/>
          <w:lang w:eastAsia="zh-CN"/>
        </w:rPr>
        <w:t>；</w:t>
      </w:r>
      <w:r>
        <w:rPr>
          <w:rFonts w:hint="eastAsia" w:ascii="Times New Roman" w:hAnsi="Times New Roman" w:eastAsia="楷体_GB2312" w:cs="楷体_GB2312"/>
          <w:sz w:val="32"/>
          <w:lang w:val="en-US" w:eastAsia="zh-CN"/>
        </w:rPr>
        <w:t>完成时间：2021年12月</w:t>
      </w:r>
      <w:r>
        <w:rPr>
          <w:rFonts w:hint="eastAsia" w:ascii="Times New Roman" w:hAnsi="Times New Roman" w:cs="仿宋_GB2312"/>
          <w:color w:val="auto"/>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仿宋_GB2312" w:cs="仿宋_GB2312"/>
          <w:b/>
          <w:bCs/>
        </w:rPr>
      </w:pPr>
      <w:bookmarkStart w:id="14" w:name="_Toc8143"/>
      <w:bookmarkStart w:id="15" w:name="_Toc5"/>
      <w:r>
        <w:rPr>
          <w:rFonts w:hint="eastAsia" w:ascii="Times New Roman" w:hAnsi="Times New Roman" w:eastAsia="仿宋_GB2312" w:cs="仿宋_GB2312"/>
          <w:b/>
          <w:bCs/>
        </w:rPr>
        <w:t>3.加快信用标准规范建设</w:t>
      </w:r>
      <w:bookmarkEnd w:id="14"/>
      <w:bookmarkEnd w:id="15"/>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楷体_GB2312" w:cs="楷体_GB2312"/>
          <w:sz w:val="32"/>
        </w:rPr>
      </w:pPr>
      <w:r>
        <w:rPr>
          <w:rFonts w:hint="eastAsia" w:ascii="Times New Roman" w:hAnsi="Times New Roman" w:eastAsia="仿宋_GB2312" w:cs="仿宋_GB2312"/>
        </w:rPr>
        <w:t>将标准化融入“信用张店”建设各个领域，发挥标准化在信用信息归集、共享、应用、管理中的规范性和引导性作用，按照国家、省、市统一的信用标准规范，加快统一信用信息归集、存储、公开、共享、使用、质量保障和安全管理的技术标准，推动信用信息在各个领域的规范共享和深度应用，促进信用信息跨部门、跨领域互联互通。重点探索编制全区通用的公共信用综合评价标准，引导编制行业、企业及重点领域从业人员诚信管理准则和信用评价标准，在各类信用应用场景中推广信用评价结果的使用。</w:t>
      </w:r>
      <w:r>
        <w:rPr>
          <w:rFonts w:hint="eastAsia" w:ascii="Times New Roman" w:hAnsi="Times New Roman" w:cs="仿宋_GB2312"/>
          <w:color w:val="auto"/>
          <w:lang w:val="en-US" w:eastAsia="zh-CN"/>
        </w:rPr>
        <w:t>（</w:t>
      </w:r>
      <w:r>
        <w:rPr>
          <w:rFonts w:hint="eastAsia" w:ascii="Times New Roman" w:hAnsi="Times New Roman" w:eastAsia="楷体_GB2312" w:cs="楷体_GB2312"/>
          <w:sz w:val="32"/>
        </w:rPr>
        <w:t>责任</w:t>
      </w:r>
      <w:r>
        <w:rPr>
          <w:rFonts w:hint="eastAsia" w:ascii="Times New Roman" w:hAnsi="Times New Roman" w:eastAsia="楷体_GB2312" w:cs="楷体_GB2312"/>
          <w:sz w:val="32"/>
          <w:lang w:val="en-US" w:eastAsia="zh-CN"/>
        </w:rPr>
        <w:t>单位</w:t>
      </w:r>
      <w:r>
        <w:rPr>
          <w:rFonts w:hint="eastAsia" w:ascii="Times New Roman" w:hAnsi="Times New Roman" w:eastAsia="楷体_GB2312" w:cs="楷体_GB2312"/>
          <w:sz w:val="32"/>
        </w:rPr>
        <w:t>：区发展改革局</w:t>
      </w:r>
      <w:r>
        <w:rPr>
          <w:rFonts w:hint="eastAsia" w:ascii="Times New Roman" w:hAnsi="Times New Roman" w:eastAsia="楷体_GB2312" w:cs="楷体_GB2312"/>
          <w:sz w:val="32"/>
          <w:lang w:val="en-US" w:eastAsia="zh-CN"/>
        </w:rPr>
        <w:t>牵头</w:t>
      </w:r>
      <w:r>
        <w:rPr>
          <w:rFonts w:hint="eastAsia" w:ascii="Times New Roman" w:hAnsi="Times New Roman" w:eastAsia="楷体_GB2312" w:cs="楷体_GB2312"/>
          <w:sz w:val="32"/>
          <w:lang w:eastAsia="zh-CN"/>
        </w:rPr>
        <w:t>，</w:t>
      </w:r>
      <w:r>
        <w:rPr>
          <w:rFonts w:hint="eastAsia" w:ascii="Times New Roman" w:hAnsi="Times New Roman" w:eastAsia="楷体_GB2312" w:cs="楷体_GB2312"/>
          <w:sz w:val="32"/>
        </w:rPr>
        <w:t>区大数据中心、</w:t>
      </w:r>
      <w:r>
        <w:rPr>
          <w:rFonts w:hint="eastAsia" w:ascii="Times New Roman" w:hAnsi="Times New Roman" w:eastAsia="楷体_GB2312" w:cs="楷体_GB2312"/>
          <w:sz w:val="32"/>
          <w:lang w:eastAsia="zh-CN"/>
        </w:rPr>
        <w:t>各镇办、</w:t>
      </w:r>
      <w:r>
        <w:rPr>
          <w:rFonts w:hint="eastAsia" w:ascii="Times New Roman" w:hAnsi="Times New Roman" w:eastAsia="楷体_GB2312" w:cs="楷体_GB2312"/>
          <w:sz w:val="32"/>
        </w:rPr>
        <w:t>区相关部门配合</w:t>
      </w:r>
      <w:r>
        <w:rPr>
          <w:rFonts w:hint="eastAsia" w:ascii="Times New Roman" w:hAnsi="Times New Roman" w:eastAsia="楷体_GB2312" w:cs="楷体_GB2312"/>
          <w:sz w:val="32"/>
          <w:lang w:eastAsia="zh-CN"/>
        </w:rPr>
        <w:t>；</w:t>
      </w:r>
      <w:r>
        <w:rPr>
          <w:rFonts w:hint="eastAsia" w:ascii="Times New Roman" w:hAnsi="Times New Roman" w:eastAsia="楷体_GB2312" w:cs="楷体_GB2312"/>
          <w:sz w:val="32"/>
          <w:lang w:val="en-US" w:eastAsia="zh-CN"/>
        </w:rPr>
        <w:t>完成时间：2021年12月</w:t>
      </w:r>
      <w:r>
        <w:rPr>
          <w:rFonts w:hint="eastAsia" w:ascii="Times New Roman" w:hAnsi="Times New Roman" w:cs="仿宋_GB2312"/>
          <w:color w:val="auto"/>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楷体_GB2312" w:cs="楷体_GB2312"/>
        </w:rPr>
      </w:pPr>
      <w:bookmarkStart w:id="16" w:name="_Toc12091"/>
      <w:bookmarkStart w:id="17" w:name="_Toc32354"/>
      <w:r>
        <w:rPr>
          <w:rFonts w:hint="eastAsia" w:ascii="Times New Roman" w:hAnsi="Times New Roman" w:eastAsia="楷体_GB2312" w:cs="楷体_GB2312"/>
        </w:rPr>
        <w:t>（二）构筑坚实的信用建设基础</w:t>
      </w:r>
      <w:bookmarkEnd w:id="16"/>
      <w:bookmarkEnd w:id="17"/>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仿宋_GB2312" w:cs="仿宋_GB2312"/>
          <w:szCs w:val="32"/>
        </w:rPr>
      </w:pPr>
      <w:r>
        <w:rPr>
          <w:rFonts w:hint="eastAsia" w:ascii="Times New Roman" w:hAnsi="Times New Roman" w:eastAsia="仿宋_GB2312" w:cs="仿宋_GB2312"/>
        </w:rPr>
        <w:t>开展“一网三库一平台”</w:t>
      </w:r>
      <w:r>
        <w:rPr>
          <w:rFonts w:hint="eastAsia" w:ascii="Times New Roman" w:hAnsi="Times New Roman" w:eastAsia="楷体_GB2312" w:cs="楷体_GB2312"/>
        </w:rPr>
        <w:t>（一网指“信用张店”网站,三库指自然人信用库、企业法人信用库和非企业法人信用库,一平台指张店区公共信用信息平台）</w:t>
      </w:r>
      <w:r>
        <w:rPr>
          <w:rFonts w:hint="eastAsia" w:ascii="Times New Roman" w:hAnsi="Times New Roman" w:eastAsia="仿宋_GB2312" w:cs="仿宋_GB2312"/>
        </w:rPr>
        <w:t>建设，构筑</w:t>
      </w:r>
      <w:r>
        <w:rPr>
          <w:rFonts w:hint="eastAsia" w:ascii="Times New Roman" w:hAnsi="Times New Roman" w:cs="仿宋_GB2312"/>
          <w:lang w:val="en-US" w:eastAsia="zh-CN"/>
        </w:rPr>
        <w:t>全区</w:t>
      </w:r>
      <w:r>
        <w:rPr>
          <w:rFonts w:hint="eastAsia" w:ascii="Times New Roman" w:hAnsi="Times New Roman" w:eastAsia="仿宋_GB2312" w:cs="仿宋_GB2312"/>
        </w:rPr>
        <w:t>社会信用体系建设基础，形成对信用建设的有力支撑。</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仿宋_GB2312" w:cs="仿宋_GB2312"/>
          <w:b/>
          <w:bCs/>
        </w:rPr>
      </w:pPr>
      <w:bookmarkStart w:id="18" w:name="_Toc18011"/>
      <w:bookmarkStart w:id="19" w:name="_Toc28029"/>
      <w:r>
        <w:rPr>
          <w:rFonts w:hint="eastAsia" w:ascii="Times New Roman" w:hAnsi="Times New Roman" w:eastAsia="仿宋_GB2312" w:cs="仿宋_GB2312"/>
          <w:b/>
          <w:bCs/>
        </w:rPr>
        <w:t>1.建立全区信用信息数据库</w:t>
      </w:r>
      <w:bookmarkEnd w:id="18"/>
      <w:bookmarkEnd w:id="19"/>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楷体_GB2312" w:cs="楷体_GB2312"/>
          <w:sz w:val="32"/>
        </w:rPr>
      </w:pPr>
      <w:r>
        <w:rPr>
          <w:rFonts w:hint="eastAsia" w:ascii="Times New Roman" w:hAnsi="Times New Roman" w:eastAsia="仿宋_GB2312" w:cs="仿宋_GB2312"/>
        </w:rPr>
        <w:t>依托统一的社会信用代码，以企业法人注册登记信息为基础，以</w:t>
      </w:r>
      <w:r>
        <w:rPr>
          <w:rFonts w:hint="eastAsia" w:ascii="Times New Roman" w:hAnsi="Times New Roman" w:eastAsia="仿宋_GB2312" w:cs="仿宋_GB2312"/>
          <w:lang w:val="en-US" w:eastAsia="zh-CN"/>
        </w:rPr>
        <w:t>市场监管</w:t>
      </w:r>
      <w:r>
        <w:rPr>
          <w:rFonts w:hint="eastAsia" w:ascii="Times New Roman" w:hAnsi="Times New Roman" w:eastAsia="仿宋_GB2312" w:cs="仿宋_GB2312"/>
        </w:rPr>
        <w:t>、税务、人社、生态环境、法院、财政等部门掌握的企业法人的信用信息为扩展，整合分散在全区各部门业务系统的涉企信息，建设统一归集、统一标准的企业法人信用信息数据库；采集归集</w:t>
      </w:r>
      <w:r>
        <w:rPr>
          <w:rFonts w:hint="eastAsia" w:ascii="Times New Roman" w:hAnsi="Times New Roman" w:eastAsia="仿宋_GB2312" w:cs="仿宋_GB2312"/>
          <w:lang w:val="en-US" w:eastAsia="zh-CN"/>
        </w:rPr>
        <w:t>区</w:t>
      </w:r>
      <w:r>
        <w:rPr>
          <w:rFonts w:hint="eastAsia" w:ascii="Times New Roman" w:hAnsi="Times New Roman" w:eastAsia="仿宋_GB2312" w:cs="仿宋_GB2312"/>
        </w:rPr>
        <w:t>民政局和区委编办掌握的非企业法人（政府机关、事业单位、社会团体等）信用信息，建立全区非企业法人信用信息数据库；以公安部门的人口信息为基础，以人社、医保、民政、教育、税务等部门掌握的自然人的信用信息为扩展，加强自然人基础信息和信用信息的采集归集，建立覆盖全区的自然人信用信息数据库。</w:t>
      </w:r>
      <w:r>
        <w:rPr>
          <w:rFonts w:hint="eastAsia" w:ascii="Times New Roman" w:hAnsi="Times New Roman" w:cs="仿宋_GB2312"/>
          <w:color w:val="auto"/>
          <w:lang w:val="en-US" w:eastAsia="zh-CN"/>
        </w:rPr>
        <w:t>（</w:t>
      </w:r>
      <w:r>
        <w:rPr>
          <w:rFonts w:hint="eastAsia" w:ascii="Times New Roman" w:hAnsi="Times New Roman" w:eastAsia="楷体_GB2312" w:cs="楷体_GB2312"/>
          <w:sz w:val="32"/>
        </w:rPr>
        <w:t>责任</w:t>
      </w:r>
      <w:r>
        <w:rPr>
          <w:rFonts w:hint="eastAsia" w:ascii="Times New Roman" w:hAnsi="Times New Roman" w:eastAsia="楷体_GB2312" w:cs="楷体_GB2312"/>
          <w:sz w:val="32"/>
          <w:lang w:val="en-US" w:eastAsia="zh-CN"/>
        </w:rPr>
        <w:t>单位</w:t>
      </w:r>
      <w:r>
        <w:rPr>
          <w:rFonts w:hint="eastAsia" w:ascii="Times New Roman" w:hAnsi="Times New Roman" w:eastAsia="楷体_GB2312" w:cs="楷体_GB2312"/>
          <w:sz w:val="32"/>
        </w:rPr>
        <w:t>：</w:t>
      </w:r>
      <w:r>
        <w:rPr>
          <w:rFonts w:hint="eastAsia" w:ascii="Times New Roman" w:hAnsi="Times New Roman" w:eastAsia="楷体_GB2312" w:cs="楷体_GB2312"/>
          <w:sz w:val="32"/>
          <w:lang w:val="en-US" w:eastAsia="zh-CN"/>
        </w:rPr>
        <w:t>区发展改革局、区大数据中心牵头，</w:t>
      </w:r>
      <w:r>
        <w:rPr>
          <w:rFonts w:hint="eastAsia" w:ascii="Times New Roman" w:hAnsi="Times New Roman" w:eastAsia="楷体_GB2312" w:cs="楷体_GB2312"/>
          <w:sz w:val="32"/>
          <w:lang w:eastAsia="zh-CN"/>
        </w:rPr>
        <w:t>各镇办、</w:t>
      </w:r>
      <w:r>
        <w:rPr>
          <w:rFonts w:hint="eastAsia" w:ascii="Times New Roman" w:hAnsi="Times New Roman" w:eastAsia="楷体_GB2312" w:cs="楷体_GB2312"/>
          <w:sz w:val="32"/>
        </w:rPr>
        <w:t>区相关部门配合</w:t>
      </w:r>
      <w:r>
        <w:rPr>
          <w:rFonts w:hint="eastAsia" w:ascii="Times New Roman" w:hAnsi="Times New Roman" w:eastAsia="楷体_GB2312" w:cs="楷体_GB2312"/>
          <w:sz w:val="32"/>
          <w:lang w:eastAsia="zh-CN"/>
        </w:rPr>
        <w:t>；</w:t>
      </w:r>
      <w:r>
        <w:rPr>
          <w:rFonts w:hint="eastAsia" w:ascii="Times New Roman" w:hAnsi="Times New Roman" w:eastAsia="楷体_GB2312" w:cs="楷体_GB2312"/>
          <w:sz w:val="32"/>
          <w:lang w:val="en-US" w:eastAsia="zh-CN"/>
        </w:rPr>
        <w:t>完成时间：2021年12月</w:t>
      </w:r>
      <w:r>
        <w:rPr>
          <w:rFonts w:hint="eastAsia" w:ascii="Times New Roman" w:hAnsi="Times New Roman" w:cs="仿宋_GB2312"/>
          <w:color w:val="auto"/>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仿宋_GB2312" w:cs="仿宋_GB2312"/>
          <w:b/>
          <w:bCs/>
        </w:rPr>
      </w:pPr>
      <w:bookmarkStart w:id="20" w:name="_Toc22577"/>
      <w:bookmarkStart w:id="21" w:name="_Toc14035"/>
      <w:r>
        <w:rPr>
          <w:rFonts w:hint="eastAsia" w:ascii="Times New Roman" w:hAnsi="Times New Roman" w:eastAsia="仿宋_GB2312" w:cs="仿宋_GB2312"/>
          <w:b/>
          <w:bCs/>
        </w:rPr>
        <w:t>2.搭建区公共信用信息平台</w:t>
      </w:r>
      <w:bookmarkEnd w:id="20"/>
      <w:bookmarkEnd w:id="21"/>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楷体_GB2312" w:cs="楷体_GB2312"/>
          <w:sz w:val="32"/>
        </w:rPr>
      </w:pPr>
      <w:r>
        <w:rPr>
          <w:rFonts w:hint="eastAsia" w:ascii="Times New Roman" w:hAnsi="Times New Roman" w:eastAsia="仿宋_GB2312" w:cs="仿宋_GB2312"/>
        </w:rPr>
        <w:t>根据省公共信用信息平台一体化</w:t>
      </w:r>
      <w:r>
        <w:rPr>
          <w:rFonts w:hint="eastAsia" w:ascii="Times New Roman" w:hAnsi="Times New Roman" w:cs="仿宋_GB2312"/>
          <w:lang w:val="en-US" w:eastAsia="zh-CN"/>
        </w:rPr>
        <w:t>要求</w:t>
      </w:r>
      <w:r>
        <w:rPr>
          <w:rFonts w:hint="eastAsia" w:ascii="Times New Roman" w:hAnsi="Times New Roman" w:eastAsia="仿宋_GB2312" w:cs="仿宋_GB2312"/>
        </w:rPr>
        <w:t>，建立覆盖</w:t>
      </w:r>
      <w:r>
        <w:rPr>
          <w:rFonts w:hint="eastAsia" w:ascii="Times New Roman" w:hAnsi="Times New Roman" w:cs="仿宋_GB2312"/>
          <w:lang w:val="en-US" w:eastAsia="zh-CN"/>
        </w:rPr>
        <w:t>全</w:t>
      </w:r>
      <w:r>
        <w:rPr>
          <w:rFonts w:hint="eastAsia" w:ascii="Times New Roman" w:hAnsi="Times New Roman" w:eastAsia="仿宋_GB2312" w:cs="仿宋_GB2312"/>
          <w:lang w:val="en-US" w:eastAsia="zh-CN"/>
        </w:rPr>
        <w:t>区</w:t>
      </w:r>
      <w:r>
        <w:rPr>
          <w:rFonts w:hint="eastAsia" w:ascii="Times New Roman" w:hAnsi="Times New Roman" w:eastAsia="仿宋_GB2312" w:cs="仿宋_GB2312"/>
        </w:rPr>
        <w:t>全部信用主体、所有信息类别的公共信用信息平台，建立健全信用信息归集、处理、应用、服务的全流程处理机制，夯实平台支撑能力，将信用平台打造为</w:t>
      </w:r>
      <w:r>
        <w:rPr>
          <w:rFonts w:hint="eastAsia" w:ascii="Times New Roman" w:hAnsi="Times New Roman" w:cs="仿宋_GB2312"/>
          <w:lang w:val="en-US" w:eastAsia="zh-CN"/>
        </w:rPr>
        <w:t>全</w:t>
      </w:r>
      <w:r>
        <w:rPr>
          <w:rFonts w:hint="eastAsia" w:ascii="Times New Roman" w:hAnsi="Times New Roman" w:eastAsia="仿宋_GB2312" w:cs="仿宋_GB2312"/>
          <w:lang w:val="en-US" w:eastAsia="zh-CN"/>
        </w:rPr>
        <w:t>区</w:t>
      </w:r>
      <w:r>
        <w:rPr>
          <w:rFonts w:hint="eastAsia" w:ascii="Times New Roman" w:hAnsi="Times New Roman" w:eastAsia="仿宋_GB2312" w:cs="仿宋_GB2312"/>
        </w:rPr>
        <w:t>政府数字化转型基础性、通用性模块。推进信用信息互联互通、协同共享，实现纵向与市</w:t>
      </w:r>
      <w:r>
        <w:rPr>
          <w:rFonts w:hint="eastAsia" w:ascii="Times New Roman" w:hAnsi="Times New Roman" w:cs="仿宋_GB2312"/>
          <w:lang w:val="en-US" w:eastAsia="zh-CN"/>
        </w:rPr>
        <w:t>公共</w:t>
      </w:r>
      <w:r>
        <w:rPr>
          <w:rFonts w:hint="eastAsia" w:ascii="Times New Roman" w:hAnsi="Times New Roman" w:eastAsia="仿宋_GB2312" w:cs="仿宋_GB2312"/>
        </w:rPr>
        <w:t>信用</w:t>
      </w:r>
      <w:r>
        <w:rPr>
          <w:rFonts w:hint="eastAsia" w:ascii="Times New Roman" w:hAnsi="Times New Roman" w:cs="仿宋_GB2312"/>
          <w:lang w:val="en-US" w:eastAsia="zh-CN"/>
        </w:rPr>
        <w:t>信息</w:t>
      </w:r>
      <w:r>
        <w:rPr>
          <w:rFonts w:hint="eastAsia" w:ascii="Times New Roman" w:hAnsi="Times New Roman" w:eastAsia="仿宋_GB2312" w:cs="仿宋_GB2312"/>
        </w:rPr>
        <w:t>平台的无缝对接，横向与区各部门相关管理、审批、服务等信息系统智能联通，推进信用平台与社会综合治理平台、智慧市场监管一体化平台、“爱张店”APP</w:t>
      </w:r>
      <w:r>
        <w:rPr>
          <w:rFonts w:hint="eastAsia" w:ascii="Times New Roman" w:hAnsi="Times New Roman" w:cs="仿宋_GB2312"/>
          <w:lang w:eastAsia="zh-CN"/>
        </w:rPr>
        <w:t>、“</w:t>
      </w:r>
      <w:r>
        <w:rPr>
          <w:rFonts w:hint="eastAsia" w:ascii="Times New Roman" w:hAnsi="Times New Roman" w:cs="仿宋_GB2312"/>
          <w:lang w:val="en-US" w:eastAsia="zh-CN"/>
        </w:rPr>
        <w:t>一网统管</w:t>
      </w:r>
      <w:r>
        <w:rPr>
          <w:rFonts w:hint="eastAsia" w:ascii="Times New Roman" w:hAnsi="Times New Roman" w:cs="仿宋_GB2312"/>
          <w:lang w:eastAsia="zh-CN"/>
        </w:rPr>
        <w:t>”</w:t>
      </w:r>
      <w:r>
        <w:rPr>
          <w:rFonts w:hint="eastAsia" w:ascii="Times New Roman" w:hAnsi="Times New Roman" w:cs="仿宋_GB2312"/>
          <w:lang w:val="en-US" w:eastAsia="zh-CN"/>
        </w:rPr>
        <w:t>平台</w:t>
      </w:r>
      <w:r>
        <w:rPr>
          <w:rFonts w:hint="eastAsia" w:ascii="Times New Roman" w:hAnsi="Times New Roman" w:eastAsia="仿宋_GB2312" w:cs="仿宋_GB2312"/>
        </w:rPr>
        <w:t>等智慧应用的融合建设，利用大数据、云计算等技术构建智能化数据归集、共享、交换和质量管控能力，打破数据壁垒，实现数据共享融合和系统融通，形成信用信息“一张网”和信用平台一体化格局，全面提升信用平台的服务效能，有力支撑信用体系各项工作落地落实。</w:t>
      </w:r>
      <w:r>
        <w:rPr>
          <w:rFonts w:hint="eastAsia" w:ascii="Times New Roman" w:hAnsi="Times New Roman" w:cs="仿宋_GB2312"/>
          <w:color w:val="auto"/>
          <w:lang w:val="en-US" w:eastAsia="zh-CN"/>
        </w:rPr>
        <w:t>（</w:t>
      </w:r>
      <w:r>
        <w:rPr>
          <w:rFonts w:hint="eastAsia" w:ascii="Times New Roman" w:hAnsi="Times New Roman" w:eastAsia="楷体_GB2312" w:cs="楷体_GB2312"/>
          <w:sz w:val="32"/>
        </w:rPr>
        <w:t>责任</w:t>
      </w:r>
      <w:r>
        <w:rPr>
          <w:rFonts w:hint="eastAsia" w:ascii="Times New Roman" w:hAnsi="Times New Roman" w:eastAsia="楷体_GB2312" w:cs="楷体_GB2312"/>
          <w:sz w:val="32"/>
          <w:lang w:val="en-US" w:eastAsia="zh-CN"/>
        </w:rPr>
        <w:t>单位</w:t>
      </w:r>
      <w:r>
        <w:rPr>
          <w:rFonts w:hint="eastAsia" w:ascii="Times New Roman" w:hAnsi="Times New Roman" w:eastAsia="楷体_GB2312" w:cs="楷体_GB2312"/>
          <w:sz w:val="32"/>
        </w:rPr>
        <w:t>：区发展改革局、区大数据中心</w:t>
      </w:r>
      <w:r>
        <w:rPr>
          <w:rFonts w:hint="eastAsia" w:ascii="Times New Roman" w:hAnsi="Times New Roman" w:eastAsia="楷体_GB2312" w:cs="楷体_GB2312"/>
          <w:sz w:val="32"/>
          <w:lang w:val="en-US" w:eastAsia="zh-CN"/>
        </w:rPr>
        <w:t>牵头，</w:t>
      </w:r>
      <w:r>
        <w:rPr>
          <w:rFonts w:hint="eastAsia" w:ascii="Times New Roman" w:hAnsi="Times New Roman" w:eastAsia="楷体_GB2312" w:cs="楷体_GB2312"/>
          <w:sz w:val="32"/>
          <w:lang w:eastAsia="zh-CN"/>
        </w:rPr>
        <w:t>各镇办、</w:t>
      </w:r>
      <w:r>
        <w:rPr>
          <w:rFonts w:hint="eastAsia" w:ascii="Times New Roman" w:hAnsi="Times New Roman" w:eastAsia="楷体_GB2312" w:cs="楷体_GB2312"/>
          <w:sz w:val="32"/>
        </w:rPr>
        <w:t>区直相关部门配合</w:t>
      </w:r>
      <w:r>
        <w:rPr>
          <w:rFonts w:hint="eastAsia" w:ascii="Times New Roman" w:hAnsi="Times New Roman" w:eastAsia="楷体_GB2312" w:cs="楷体_GB2312"/>
          <w:sz w:val="32"/>
          <w:lang w:eastAsia="zh-CN"/>
        </w:rPr>
        <w:t>；</w:t>
      </w:r>
      <w:r>
        <w:rPr>
          <w:rFonts w:hint="eastAsia" w:ascii="Times New Roman" w:hAnsi="Times New Roman" w:eastAsia="楷体_GB2312" w:cs="楷体_GB2312"/>
          <w:sz w:val="32"/>
          <w:lang w:val="en-US" w:eastAsia="zh-CN"/>
        </w:rPr>
        <w:t>完成时间2021年12月</w:t>
      </w:r>
      <w:r>
        <w:rPr>
          <w:rFonts w:hint="eastAsia" w:ascii="Times New Roman" w:hAnsi="Times New Roman" w:cs="仿宋_GB2312"/>
          <w:color w:val="auto"/>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仿宋_GB2312" w:cs="仿宋_GB2312"/>
          <w:b/>
          <w:bCs/>
        </w:rPr>
      </w:pPr>
      <w:bookmarkStart w:id="22" w:name="_Toc12653"/>
      <w:bookmarkStart w:id="23" w:name="_Toc3229"/>
      <w:r>
        <w:rPr>
          <w:rFonts w:hint="eastAsia" w:ascii="Times New Roman" w:hAnsi="Times New Roman" w:eastAsia="仿宋_GB2312" w:cs="仿宋_GB2312"/>
          <w:b/>
          <w:bCs/>
        </w:rPr>
        <w:t>3.建设“信用张店”门户网站</w:t>
      </w:r>
      <w:bookmarkEnd w:id="22"/>
      <w:bookmarkEnd w:id="23"/>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楷体_GB2312" w:cs="楷体_GB2312"/>
          <w:sz w:val="32"/>
        </w:rPr>
      </w:pPr>
      <w:r>
        <w:rPr>
          <w:rFonts w:hint="eastAsia" w:ascii="Times New Roman" w:hAnsi="Times New Roman" w:eastAsia="仿宋_GB2312" w:cs="仿宋_GB2312"/>
        </w:rPr>
        <w:t>以满足市场主体对信用服务的基本需求为导向，建设“信用张店”门户网站，推动公共信用信息依法公开，为社会各界提供高效、便捷、优质的信用服务。逐步拓展门户网站服务功能，开发“信用张店”移动端应用，配置信用服务自助终端，为社会公众提供便捷的信用信息查询和信用报告打印服务。</w:t>
      </w:r>
      <w:r>
        <w:rPr>
          <w:rFonts w:hint="eastAsia" w:ascii="Times New Roman" w:hAnsi="Times New Roman" w:eastAsia="楷体_GB2312" w:cs="楷体_GB2312"/>
          <w:sz w:val="32"/>
        </w:rPr>
        <w:t>（责任</w:t>
      </w:r>
      <w:r>
        <w:rPr>
          <w:rFonts w:hint="eastAsia" w:ascii="Times New Roman" w:hAnsi="Times New Roman" w:eastAsia="楷体_GB2312" w:cs="楷体_GB2312"/>
          <w:sz w:val="32"/>
          <w:lang w:val="en-US" w:eastAsia="zh-CN"/>
        </w:rPr>
        <w:t>单位</w:t>
      </w:r>
      <w:r>
        <w:rPr>
          <w:rFonts w:hint="eastAsia" w:ascii="Times New Roman" w:hAnsi="Times New Roman" w:eastAsia="楷体_GB2312" w:cs="楷体_GB2312"/>
          <w:sz w:val="32"/>
        </w:rPr>
        <w:t>：区发展改革局</w:t>
      </w:r>
      <w:r>
        <w:rPr>
          <w:rFonts w:hint="eastAsia" w:ascii="Times New Roman" w:hAnsi="Times New Roman" w:eastAsia="楷体_GB2312" w:cs="楷体_GB2312"/>
          <w:sz w:val="32"/>
          <w:lang w:val="en-US" w:eastAsia="zh-CN"/>
        </w:rPr>
        <w:t>牵头，</w:t>
      </w:r>
      <w:r>
        <w:rPr>
          <w:rFonts w:hint="eastAsia" w:ascii="Times New Roman" w:hAnsi="Times New Roman" w:eastAsia="楷体_GB2312" w:cs="楷体_GB2312"/>
          <w:sz w:val="32"/>
        </w:rPr>
        <w:t>区大数据中心</w:t>
      </w:r>
      <w:r>
        <w:rPr>
          <w:rFonts w:hint="eastAsia" w:ascii="Times New Roman" w:hAnsi="Times New Roman" w:eastAsia="楷体_GB2312" w:cs="楷体_GB2312"/>
          <w:sz w:val="32"/>
          <w:lang w:eastAsia="zh-CN"/>
        </w:rPr>
        <w:t>、</w:t>
      </w:r>
      <w:r>
        <w:rPr>
          <w:rFonts w:hint="eastAsia" w:ascii="Times New Roman" w:hAnsi="Times New Roman" w:eastAsia="楷体_GB2312" w:cs="楷体_GB2312"/>
          <w:sz w:val="32"/>
        </w:rPr>
        <w:t>区直相关部门配合</w:t>
      </w:r>
      <w:r>
        <w:rPr>
          <w:rFonts w:hint="eastAsia" w:ascii="Times New Roman" w:hAnsi="Times New Roman" w:eastAsia="楷体_GB2312" w:cs="楷体_GB2312"/>
          <w:sz w:val="32"/>
          <w:lang w:eastAsia="zh-CN"/>
        </w:rPr>
        <w:t>；</w:t>
      </w:r>
      <w:r>
        <w:rPr>
          <w:rFonts w:hint="eastAsia" w:ascii="Times New Roman" w:hAnsi="Times New Roman" w:eastAsia="楷体_GB2312" w:cs="楷体_GB2312"/>
          <w:sz w:val="32"/>
          <w:lang w:val="en-US" w:eastAsia="zh-CN"/>
        </w:rPr>
        <w:t>完成时间：2021年12月</w:t>
      </w:r>
      <w:r>
        <w:rPr>
          <w:rFonts w:hint="eastAsia" w:ascii="Times New Roman" w:hAnsi="Times New Roman" w:eastAsia="楷体_GB2312" w:cs="楷体_GB2312"/>
          <w:sz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仿宋_GB2312" w:cs="仿宋_GB2312"/>
          <w:b/>
          <w:bCs/>
        </w:rPr>
      </w:pPr>
      <w:bookmarkStart w:id="24" w:name="_Toc21755"/>
      <w:bookmarkStart w:id="25" w:name="_Toc31738"/>
      <w:r>
        <w:rPr>
          <w:rFonts w:hint="eastAsia" w:ascii="Times New Roman" w:hAnsi="Times New Roman" w:eastAsia="仿宋_GB2312" w:cs="仿宋_GB2312"/>
          <w:b/>
          <w:bCs/>
        </w:rPr>
        <w:t>4</w:t>
      </w:r>
      <w:r>
        <w:rPr>
          <w:rFonts w:hint="eastAsia" w:ascii="Times New Roman" w:hAnsi="Times New Roman" w:cs="仿宋_GB2312"/>
          <w:b/>
          <w:bCs/>
          <w:lang w:eastAsia="zh-CN"/>
        </w:rPr>
        <w:t>.</w:t>
      </w:r>
      <w:r>
        <w:rPr>
          <w:rFonts w:hint="eastAsia" w:ascii="Times New Roman" w:hAnsi="Times New Roman" w:eastAsia="仿宋_GB2312" w:cs="仿宋_GB2312"/>
          <w:b/>
          <w:bCs/>
        </w:rPr>
        <w:t>加快信用信息归集共享</w:t>
      </w:r>
      <w:bookmarkEnd w:id="24"/>
      <w:bookmarkEnd w:id="25"/>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楷体_GB2312" w:cs="楷体_GB2312"/>
          <w:sz w:val="32"/>
        </w:rPr>
      </w:pPr>
      <w:r>
        <w:rPr>
          <w:rFonts w:hint="eastAsia" w:ascii="Times New Roman" w:hAnsi="Times New Roman" w:eastAsia="仿宋_GB2312" w:cs="仿宋_GB2312"/>
          <w:lang w:val="en-US"/>
        </w:rPr>
        <w:t>加大公共信用信息归集力度和范围，提高数据归集的规范性、准确性和时效性</w:t>
      </w:r>
      <w:r>
        <w:rPr>
          <w:rFonts w:hint="eastAsia" w:ascii="Times New Roman" w:hAnsi="Times New Roman" w:cs="仿宋_GB2312"/>
          <w:lang w:val="en-US" w:eastAsia="zh-CN"/>
        </w:rPr>
        <w:t>，</w:t>
      </w:r>
      <w:r>
        <w:rPr>
          <w:rFonts w:hint="eastAsia" w:ascii="Times New Roman" w:hAnsi="Times New Roman" w:eastAsia="仿宋_GB2312" w:cs="仿宋_GB2312"/>
          <w:lang w:val="en-US"/>
        </w:rPr>
        <w:t>确保</w:t>
      </w:r>
      <w:r>
        <w:rPr>
          <w:rFonts w:hint="eastAsia" w:ascii="Times New Roman" w:hAnsi="Times New Roman" w:cs="仿宋_GB2312"/>
          <w:lang w:val="en-US" w:eastAsia="zh-CN"/>
        </w:rPr>
        <w:t>信用主体</w:t>
      </w:r>
      <w:r>
        <w:rPr>
          <w:rFonts w:hint="eastAsia" w:ascii="Times New Roman" w:hAnsi="Times New Roman" w:eastAsia="仿宋_GB2312" w:cs="仿宋_GB2312"/>
          <w:lang w:val="en-US"/>
        </w:rPr>
        <w:t>信用记录真实、准确、完整、可追溯。强化</w:t>
      </w:r>
      <w:r>
        <w:rPr>
          <w:rFonts w:hint="eastAsia" w:ascii="Times New Roman" w:hAnsi="Times New Roman" w:eastAsia="仿宋_GB2312" w:cs="仿宋_GB2312"/>
        </w:rPr>
        <w:t>“双公示”</w:t>
      </w:r>
      <w:r>
        <w:rPr>
          <w:rFonts w:hint="eastAsia" w:ascii="Times New Roman" w:hAnsi="Times New Roman" w:eastAsia="仿宋_GB2312" w:cs="仿宋_GB2312"/>
          <w:lang w:val="en-US"/>
        </w:rPr>
        <w:t>、信用承诺、合同履约等重点信息的规范化归集公示，将践诺信息、合同履约情况纳入信用记录，完善信用主体的诚信档案维度。实现住房公积金、社保参保缴费、公用事业缴费等信用信息的全覆盖。建立健全信用信息共享机制，探索实现公共信用信息、行业信用信息及市场信用信息的共享。</w:t>
      </w:r>
      <w:r>
        <w:rPr>
          <w:rFonts w:hint="eastAsia" w:ascii="Times New Roman" w:hAnsi="Times New Roman" w:cs="仿宋_GB2312"/>
          <w:color w:val="auto"/>
          <w:lang w:val="en-US" w:eastAsia="zh-CN"/>
        </w:rPr>
        <w:t>（</w:t>
      </w:r>
      <w:r>
        <w:rPr>
          <w:rFonts w:hint="eastAsia" w:ascii="Times New Roman" w:hAnsi="Times New Roman" w:eastAsia="楷体_GB2312" w:cs="楷体_GB2312"/>
          <w:sz w:val="32"/>
          <w:lang w:val="en-US"/>
        </w:rPr>
        <w:t>责任</w:t>
      </w:r>
      <w:r>
        <w:rPr>
          <w:rFonts w:hint="eastAsia" w:ascii="Times New Roman" w:hAnsi="Times New Roman" w:eastAsia="楷体_GB2312" w:cs="楷体_GB2312"/>
          <w:sz w:val="32"/>
          <w:lang w:val="en-US" w:eastAsia="zh-CN"/>
        </w:rPr>
        <w:t>单位</w:t>
      </w:r>
      <w:r>
        <w:rPr>
          <w:rFonts w:hint="eastAsia" w:ascii="Times New Roman" w:hAnsi="Times New Roman" w:eastAsia="楷体_GB2312" w:cs="楷体_GB2312"/>
          <w:sz w:val="32"/>
          <w:lang w:val="en-US"/>
        </w:rPr>
        <w:t>：</w:t>
      </w:r>
      <w:r>
        <w:rPr>
          <w:rFonts w:hint="eastAsia" w:ascii="Times New Roman" w:hAnsi="Times New Roman" w:eastAsia="楷体_GB2312" w:cs="楷体_GB2312"/>
          <w:sz w:val="32"/>
          <w:lang w:val="en-US" w:eastAsia="zh-CN"/>
        </w:rPr>
        <w:t>区发展改革局牵头，区行政审批服务局、</w:t>
      </w:r>
      <w:r>
        <w:rPr>
          <w:rFonts w:hint="eastAsia" w:ascii="Times New Roman" w:hAnsi="Times New Roman" w:eastAsia="楷体_GB2312" w:cs="楷体_GB2312"/>
          <w:sz w:val="32"/>
          <w:lang w:eastAsia="zh-CN"/>
        </w:rPr>
        <w:t>各镇办、</w:t>
      </w:r>
      <w:r>
        <w:rPr>
          <w:rFonts w:hint="eastAsia" w:ascii="Times New Roman" w:hAnsi="Times New Roman" w:eastAsia="楷体_GB2312" w:cs="楷体_GB2312"/>
          <w:sz w:val="32"/>
        </w:rPr>
        <w:t>区相关部门配合</w:t>
      </w:r>
      <w:r>
        <w:rPr>
          <w:rFonts w:hint="eastAsia" w:ascii="Times New Roman" w:hAnsi="Times New Roman" w:eastAsia="楷体_GB2312" w:cs="楷体_GB2312"/>
          <w:sz w:val="32"/>
          <w:lang w:eastAsia="zh-CN"/>
        </w:rPr>
        <w:t>；</w:t>
      </w:r>
      <w:r>
        <w:rPr>
          <w:rFonts w:hint="eastAsia" w:ascii="Times New Roman" w:hAnsi="Times New Roman" w:eastAsia="楷体_GB2312" w:cs="楷体_GB2312"/>
          <w:sz w:val="32"/>
          <w:lang w:val="en-US" w:eastAsia="zh-CN"/>
        </w:rPr>
        <w:t>完成时间：2021年12月</w:t>
      </w:r>
      <w:r>
        <w:rPr>
          <w:rFonts w:hint="eastAsia" w:ascii="Times New Roman" w:hAnsi="Times New Roman" w:cs="仿宋_GB2312"/>
          <w:color w:val="auto"/>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仿宋_GB2312" w:cs="仿宋_GB2312"/>
          <w:b/>
          <w:bCs/>
        </w:rPr>
      </w:pPr>
      <w:bookmarkStart w:id="26" w:name="_Toc26803"/>
      <w:bookmarkStart w:id="27" w:name="_Toc10926"/>
      <w:r>
        <w:rPr>
          <w:rFonts w:hint="eastAsia" w:ascii="Times New Roman" w:hAnsi="Times New Roman" w:eastAsia="仿宋_GB2312" w:cs="仿宋_GB2312"/>
          <w:b/>
          <w:bCs/>
        </w:rPr>
        <w:t>5.加强信用主体权益保护</w:t>
      </w:r>
      <w:bookmarkEnd w:id="26"/>
      <w:bookmarkEnd w:id="27"/>
      <w:bookmarkStart w:id="28" w:name="_Hlk526928055"/>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楷体_GB2312" w:cs="楷体_GB2312"/>
        </w:rPr>
      </w:pPr>
      <w:r>
        <w:rPr>
          <w:rFonts w:hint="eastAsia" w:ascii="Times New Roman" w:hAnsi="Times New Roman" w:eastAsia="仿宋_GB2312" w:cs="仿宋_GB2312"/>
          <w:lang w:val="en-US"/>
        </w:rPr>
        <w:t>健全信用主体权益保护机制，通过行政监管、行业自律和社会监督，综合运用法律、经济和行政等手段，切实保护信用主体权益。加强对</w:t>
      </w:r>
      <w:r>
        <w:rPr>
          <w:rFonts w:hint="eastAsia" w:ascii="Times New Roman" w:hAnsi="Times New Roman" w:cs="仿宋_GB2312"/>
          <w:lang w:val="en-US" w:eastAsia="zh-CN"/>
        </w:rPr>
        <w:t>信用</w:t>
      </w:r>
      <w:r>
        <w:rPr>
          <w:rFonts w:hint="eastAsia" w:ascii="Times New Roman" w:hAnsi="Times New Roman" w:eastAsia="仿宋_GB2312" w:cs="仿宋_GB2312"/>
          <w:lang w:val="en-US"/>
        </w:rPr>
        <w:t>主体的教育，不断增强维护自身合法权益的意识。建立信用信息侵权责任追究机制</w:t>
      </w:r>
      <w:r>
        <w:rPr>
          <w:rFonts w:hint="eastAsia" w:ascii="Times New Roman" w:hAnsi="Times New Roman" w:cs="仿宋_GB2312"/>
          <w:lang w:val="en-US" w:eastAsia="zh-CN"/>
        </w:rPr>
        <w:t>，</w:t>
      </w:r>
      <w:r>
        <w:rPr>
          <w:rFonts w:hint="eastAsia" w:ascii="Times New Roman" w:hAnsi="Times New Roman" w:eastAsia="仿宋_GB2312" w:cs="仿宋_GB2312"/>
          <w:lang w:val="en-US"/>
        </w:rPr>
        <w:t>保障信息主体合理维权。加大执法力度，对泄露国家秘密、商业秘密和侵犯个人隐私等违法行为，依法予以严厉处罚。</w:t>
      </w:r>
      <w:r>
        <w:rPr>
          <w:rFonts w:hint="eastAsia" w:ascii="Times New Roman" w:hAnsi="Times New Roman" w:cs="仿宋_GB2312"/>
          <w:color w:val="auto"/>
          <w:lang w:val="en-US" w:eastAsia="zh-CN"/>
        </w:rPr>
        <w:t>（</w:t>
      </w:r>
      <w:r>
        <w:rPr>
          <w:rFonts w:hint="eastAsia" w:ascii="Times New Roman" w:hAnsi="Times New Roman" w:eastAsia="楷体_GB2312" w:cs="楷体_GB2312"/>
          <w:lang w:val="en-US"/>
        </w:rPr>
        <w:t>责任</w:t>
      </w:r>
      <w:r>
        <w:rPr>
          <w:rFonts w:hint="eastAsia" w:ascii="Times New Roman" w:hAnsi="Times New Roman" w:eastAsia="楷体_GB2312" w:cs="楷体_GB2312"/>
          <w:lang w:val="en-US" w:eastAsia="zh-CN"/>
        </w:rPr>
        <w:t>单位</w:t>
      </w:r>
      <w:r>
        <w:rPr>
          <w:rFonts w:hint="eastAsia" w:ascii="Times New Roman" w:hAnsi="Times New Roman" w:eastAsia="楷体_GB2312" w:cs="楷体_GB2312"/>
          <w:lang w:val="en-US"/>
        </w:rPr>
        <w:t>：区发展改革局</w:t>
      </w:r>
      <w:r>
        <w:rPr>
          <w:rFonts w:hint="eastAsia" w:ascii="Times New Roman" w:hAnsi="Times New Roman" w:eastAsia="楷体_GB2312" w:cs="楷体_GB2312"/>
          <w:lang w:val="en-US" w:eastAsia="zh-CN"/>
        </w:rPr>
        <w:t>、</w:t>
      </w:r>
      <w:r>
        <w:rPr>
          <w:rFonts w:hint="eastAsia" w:ascii="Times New Roman" w:hAnsi="Times New Roman" w:eastAsia="楷体_GB2312" w:cs="楷体_GB2312"/>
          <w:lang w:val="en-US"/>
        </w:rPr>
        <w:t>张店公安分局</w:t>
      </w:r>
      <w:r>
        <w:rPr>
          <w:rFonts w:hint="eastAsia" w:ascii="Times New Roman" w:hAnsi="Times New Roman" w:eastAsia="楷体_GB2312" w:cs="楷体_GB2312"/>
          <w:lang w:val="en-US" w:eastAsia="zh-CN"/>
        </w:rPr>
        <w:t>牵头，</w:t>
      </w:r>
      <w:r>
        <w:rPr>
          <w:rFonts w:hint="eastAsia" w:ascii="Times New Roman" w:hAnsi="Times New Roman" w:eastAsia="楷体_GB2312" w:cs="楷体_GB2312"/>
          <w:lang w:eastAsia="zh-CN"/>
        </w:rPr>
        <w:t>各镇办、</w:t>
      </w:r>
      <w:r>
        <w:rPr>
          <w:rFonts w:hint="eastAsia" w:ascii="Times New Roman" w:hAnsi="Times New Roman" w:eastAsia="楷体_GB2312" w:cs="楷体_GB2312"/>
        </w:rPr>
        <w:t>区相关部门配合</w:t>
      </w:r>
      <w:r>
        <w:rPr>
          <w:rFonts w:hint="eastAsia" w:ascii="Times New Roman" w:hAnsi="Times New Roman" w:eastAsia="楷体_GB2312" w:cs="楷体_GB2312"/>
          <w:lang w:eastAsia="zh-CN"/>
        </w:rPr>
        <w:t>；</w:t>
      </w:r>
      <w:r>
        <w:rPr>
          <w:rFonts w:hint="eastAsia" w:ascii="Times New Roman" w:hAnsi="Times New Roman" w:eastAsia="楷体_GB2312" w:cs="楷体_GB2312"/>
          <w:lang w:val="en-US" w:eastAsia="zh-CN"/>
        </w:rPr>
        <w:t>完成时间：实时推进</w:t>
      </w:r>
      <w:r>
        <w:rPr>
          <w:rFonts w:hint="eastAsia" w:ascii="Times New Roman" w:hAnsi="Times New Roman" w:cs="仿宋_GB2312"/>
          <w:color w:val="auto"/>
          <w:lang w:val="en-US" w:eastAsia="zh-CN"/>
        </w:rPr>
        <w:t>）</w:t>
      </w:r>
      <w:bookmarkEnd w:id="28"/>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黑体" w:cs="黑体"/>
          <w:b w:val="0"/>
          <w:bCs w:val="0"/>
          <w:color w:val="auto"/>
          <w:lang w:val="en-US" w:eastAsia="zh-CN"/>
        </w:rPr>
      </w:pPr>
      <w:bookmarkStart w:id="29" w:name="_Toc11468"/>
      <w:bookmarkStart w:id="30" w:name="_Toc14247"/>
      <w:r>
        <w:rPr>
          <w:rFonts w:hint="eastAsia" w:ascii="Times New Roman" w:hAnsi="Times New Roman" w:eastAsia="黑体" w:cs="黑体"/>
          <w:b w:val="0"/>
          <w:bCs w:val="0"/>
          <w:color w:val="auto"/>
          <w:lang w:val="en-US" w:eastAsia="zh-CN"/>
        </w:rPr>
        <w:t>四、分类实施信用体系建设</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楷体_GB2312" w:cs="楷体_GB2312"/>
          <w:b w:val="0"/>
          <w:bCs w:val="0"/>
        </w:rPr>
      </w:pPr>
      <w:r>
        <w:rPr>
          <w:rFonts w:hint="eastAsia" w:ascii="Times New Roman" w:hAnsi="Times New Roman" w:eastAsia="楷体_GB2312" w:cs="楷体_GB2312"/>
          <w:b w:val="0"/>
          <w:bCs w:val="0"/>
        </w:rPr>
        <w:t>（</w:t>
      </w:r>
      <w:r>
        <w:rPr>
          <w:rFonts w:hint="eastAsia" w:ascii="Times New Roman" w:hAnsi="Times New Roman" w:eastAsia="楷体_GB2312" w:cs="楷体_GB2312"/>
          <w:b w:val="0"/>
          <w:bCs w:val="0"/>
          <w:lang w:val="en-US" w:eastAsia="zh-CN"/>
        </w:rPr>
        <w:t>一</w:t>
      </w:r>
      <w:r>
        <w:rPr>
          <w:rFonts w:hint="eastAsia" w:ascii="Times New Roman" w:hAnsi="Times New Roman" w:eastAsia="楷体_GB2312" w:cs="楷体_GB2312"/>
          <w:b w:val="0"/>
          <w:bCs w:val="0"/>
        </w:rPr>
        <w:t>）开展企业信用管理</w:t>
      </w:r>
      <w:bookmarkEnd w:id="29"/>
      <w:bookmarkEnd w:id="30"/>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提高企业对信用体系建设重要性的认识，引导企业建立健全内部信用管理体系，树立企业诚信形象。</w:t>
      </w:r>
      <w:bookmarkStart w:id="31" w:name="_Toc30040"/>
      <w:bookmarkStart w:id="32" w:name="_Toc19141"/>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仿宋_GB2312" w:cs="仿宋_GB2312"/>
          <w:b/>
          <w:bCs/>
        </w:rPr>
      </w:pPr>
      <w:r>
        <w:rPr>
          <w:rFonts w:hint="eastAsia" w:ascii="Times New Roman" w:hAnsi="Times New Roman" w:eastAsia="仿宋_GB2312" w:cs="仿宋_GB2312"/>
          <w:b/>
          <w:bCs/>
        </w:rPr>
        <w:t>1.调研选取企业信用管理试点企业</w:t>
      </w:r>
      <w:bookmarkEnd w:id="31"/>
      <w:bookmarkEnd w:id="32"/>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楷体_GB2312" w:cs="楷体_GB2312"/>
          <w:kern w:val="2"/>
          <w:sz w:val="32"/>
          <w:lang w:val="en-US"/>
        </w:rPr>
      </w:pPr>
      <w:r>
        <w:rPr>
          <w:rFonts w:hint="eastAsia" w:ascii="Times New Roman" w:hAnsi="Times New Roman" w:eastAsia="仿宋_GB2312" w:cs="仿宋_GB2312"/>
        </w:rPr>
        <w:t>邀请企业信用建设方面的专家</w:t>
      </w:r>
      <w:r>
        <w:rPr>
          <w:rFonts w:hint="eastAsia" w:ascii="Times New Roman" w:hAnsi="Times New Roman" w:cs="仿宋_GB2312"/>
          <w:lang w:val="en-US" w:eastAsia="zh-CN"/>
        </w:rPr>
        <w:t>对企业</w:t>
      </w:r>
      <w:r>
        <w:rPr>
          <w:rFonts w:hint="eastAsia" w:ascii="Times New Roman" w:hAnsi="Times New Roman" w:eastAsia="仿宋_GB2312" w:cs="仿宋_GB2312"/>
        </w:rPr>
        <w:t>进行培训指导</w:t>
      </w:r>
      <w:r>
        <w:rPr>
          <w:rFonts w:hint="eastAsia" w:ascii="Times New Roman" w:hAnsi="Times New Roman" w:cs="仿宋_GB2312"/>
          <w:lang w:eastAsia="zh-CN"/>
        </w:rPr>
        <w:t>，</w:t>
      </w:r>
      <w:r>
        <w:rPr>
          <w:rFonts w:hint="eastAsia" w:ascii="Times New Roman" w:hAnsi="Times New Roman" w:eastAsia="仿宋_GB2312" w:cs="仿宋_GB2312"/>
        </w:rPr>
        <w:t>组织开展全区重点企业的生产经营情况摸底，全面了解重点企业发展现状。根据摸底情况，采取企业申报与部门审查的方式，确定企业信用管理试点企业。</w:t>
      </w:r>
      <w:r>
        <w:rPr>
          <w:rFonts w:hint="eastAsia" w:ascii="Times New Roman" w:hAnsi="Times New Roman" w:cs="仿宋_GB2312"/>
          <w:color w:val="auto"/>
          <w:lang w:val="en-US" w:eastAsia="zh-CN"/>
        </w:rPr>
        <w:t>（</w:t>
      </w:r>
      <w:r>
        <w:rPr>
          <w:rFonts w:hint="eastAsia" w:ascii="Times New Roman" w:hAnsi="Times New Roman" w:eastAsia="楷体_GB2312" w:cs="楷体_GB2312"/>
          <w:sz w:val="32"/>
          <w:lang w:val="en-US"/>
        </w:rPr>
        <w:t>责任</w:t>
      </w:r>
      <w:r>
        <w:rPr>
          <w:rFonts w:hint="eastAsia" w:ascii="Times New Roman" w:hAnsi="Times New Roman" w:eastAsia="楷体_GB2312" w:cs="楷体_GB2312"/>
          <w:sz w:val="32"/>
          <w:lang w:val="en-US" w:eastAsia="zh-CN"/>
        </w:rPr>
        <w:t>单位</w:t>
      </w:r>
      <w:r>
        <w:rPr>
          <w:rFonts w:hint="eastAsia" w:ascii="Times New Roman" w:hAnsi="Times New Roman" w:eastAsia="楷体_GB2312" w:cs="楷体_GB2312"/>
          <w:sz w:val="32"/>
          <w:lang w:val="en-US"/>
        </w:rPr>
        <w:t>：区发展改革局</w:t>
      </w:r>
      <w:r>
        <w:rPr>
          <w:rFonts w:hint="eastAsia" w:ascii="Times New Roman" w:hAnsi="Times New Roman" w:eastAsia="楷体_GB2312" w:cs="楷体_GB2312"/>
          <w:sz w:val="32"/>
          <w:lang w:val="en-US" w:eastAsia="zh-CN"/>
        </w:rPr>
        <w:t>牵头，区行政审批服务局</w:t>
      </w:r>
      <w:r>
        <w:rPr>
          <w:rFonts w:hint="eastAsia" w:ascii="Times New Roman" w:hAnsi="Times New Roman" w:eastAsia="楷体_GB2312" w:cs="楷体_GB2312"/>
          <w:sz w:val="32"/>
          <w:lang w:val="en-US"/>
        </w:rPr>
        <w:t>、区市场监管局</w:t>
      </w:r>
      <w:r>
        <w:rPr>
          <w:rFonts w:hint="eastAsia" w:ascii="Times New Roman" w:hAnsi="Times New Roman" w:eastAsia="楷体_GB2312" w:cs="楷体_GB2312"/>
          <w:sz w:val="32"/>
          <w:lang w:val="en-US" w:eastAsia="zh-CN"/>
        </w:rPr>
        <w:t>、</w:t>
      </w:r>
      <w:r>
        <w:rPr>
          <w:rFonts w:hint="eastAsia" w:ascii="Times New Roman" w:hAnsi="Times New Roman" w:eastAsia="楷体_GB2312" w:cs="楷体_GB2312"/>
          <w:sz w:val="32"/>
          <w:lang w:eastAsia="zh-CN"/>
        </w:rPr>
        <w:t>各镇办、</w:t>
      </w:r>
      <w:r>
        <w:rPr>
          <w:rFonts w:hint="eastAsia" w:ascii="Times New Roman" w:hAnsi="Times New Roman" w:eastAsia="楷体_GB2312" w:cs="楷体_GB2312"/>
          <w:sz w:val="32"/>
        </w:rPr>
        <w:t>区相关部门配合</w:t>
      </w:r>
      <w:r>
        <w:rPr>
          <w:rFonts w:hint="eastAsia" w:ascii="Times New Roman" w:hAnsi="Times New Roman" w:eastAsia="楷体_GB2312" w:cs="楷体_GB2312"/>
          <w:sz w:val="32"/>
          <w:lang w:eastAsia="zh-CN"/>
        </w:rPr>
        <w:t>；</w:t>
      </w:r>
      <w:r>
        <w:rPr>
          <w:rFonts w:hint="eastAsia" w:ascii="Times New Roman" w:hAnsi="Times New Roman" w:eastAsia="楷体_GB2312" w:cs="楷体_GB2312"/>
          <w:sz w:val="32"/>
          <w:lang w:val="en-US" w:eastAsia="zh-CN"/>
        </w:rPr>
        <w:t>完成时间：2021年12月</w:t>
      </w:r>
      <w:r>
        <w:rPr>
          <w:rFonts w:hint="eastAsia" w:ascii="Times New Roman" w:hAnsi="Times New Roman" w:cs="仿宋_GB2312"/>
          <w:color w:val="auto"/>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仿宋_GB2312" w:cs="仿宋_GB2312"/>
          <w:b/>
          <w:bCs/>
        </w:rPr>
      </w:pPr>
      <w:bookmarkStart w:id="33" w:name="_Toc13934"/>
      <w:bookmarkStart w:id="34" w:name="_Toc17370"/>
      <w:r>
        <w:rPr>
          <w:rFonts w:hint="eastAsia" w:ascii="Times New Roman" w:hAnsi="Times New Roman" w:eastAsia="仿宋_GB2312" w:cs="仿宋_GB2312"/>
          <w:b/>
          <w:bCs/>
        </w:rPr>
        <w:t>2.指导企业设立信用管理机构</w:t>
      </w:r>
      <w:bookmarkEnd w:id="33"/>
      <w:bookmarkEnd w:id="34"/>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楷体_GB2312" w:cs="楷体_GB2312"/>
          <w:sz w:val="32"/>
        </w:rPr>
      </w:pPr>
      <w:r>
        <w:rPr>
          <w:rFonts w:hint="eastAsia" w:ascii="Times New Roman" w:hAnsi="Times New Roman" w:eastAsia="仿宋_GB2312" w:cs="仿宋_GB2312"/>
        </w:rPr>
        <w:t>指导企业建立信用管理部门，在企业内部形成科学的制约机制。企业根据自身销售规模、销售回款情况、客户数量、客户信用状况及其变化情况等内、外部因素，合理选择信用管理部门的组织架构，可设立独立建制的信用管理部门，或将信用管理职责明确赋予有关业务部门，或成立由相关高级管理人员组成的信用管理协调和决策机构。企业将信用管理的职责在信用、销售、采购、财务、法务等各业务部门之间进行科学合理</w:t>
      </w:r>
      <w:r>
        <w:rPr>
          <w:rFonts w:hint="eastAsia" w:ascii="Times New Roman" w:hAnsi="Times New Roman" w:eastAsia="仿宋_GB2312" w:cs="仿宋_GB2312"/>
          <w:lang w:val="en-US" w:eastAsia="zh-CN"/>
        </w:rPr>
        <w:t>的</w:t>
      </w:r>
      <w:r>
        <w:rPr>
          <w:rFonts w:hint="eastAsia" w:ascii="Times New Roman" w:hAnsi="Times New Roman" w:eastAsia="仿宋_GB2312" w:cs="仿宋_GB2312"/>
        </w:rPr>
        <w:t>分工，并进行及时有效</w:t>
      </w:r>
      <w:r>
        <w:rPr>
          <w:rFonts w:hint="eastAsia" w:ascii="Times New Roman" w:hAnsi="Times New Roman" w:eastAsia="仿宋_GB2312" w:cs="仿宋_GB2312"/>
          <w:lang w:val="en-US" w:eastAsia="zh-CN"/>
        </w:rPr>
        <w:t>的</w:t>
      </w:r>
      <w:r>
        <w:rPr>
          <w:rFonts w:hint="eastAsia" w:ascii="Times New Roman" w:hAnsi="Times New Roman" w:eastAsia="仿宋_GB2312" w:cs="仿宋_GB2312"/>
        </w:rPr>
        <w:t>沟通配合。</w:t>
      </w:r>
      <w:r>
        <w:rPr>
          <w:rFonts w:hint="eastAsia" w:ascii="Times New Roman" w:hAnsi="Times New Roman" w:eastAsia="楷体_GB2312" w:cs="楷体_GB2312"/>
          <w:sz w:val="32"/>
          <w:lang w:val="en-US"/>
        </w:rPr>
        <w:t>（责任</w:t>
      </w:r>
      <w:r>
        <w:rPr>
          <w:rFonts w:hint="eastAsia" w:ascii="Times New Roman" w:hAnsi="Times New Roman" w:eastAsia="楷体_GB2312" w:cs="楷体_GB2312"/>
          <w:sz w:val="32"/>
          <w:lang w:val="en-US" w:eastAsia="zh-CN"/>
        </w:rPr>
        <w:t>单位</w:t>
      </w:r>
      <w:r>
        <w:rPr>
          <w:rFonts w:hint="eastAsia" w:ascii="Times New Roman" w:hAnsi="Times New Roman" w:eastAsia="楷体_GB2312" w:cs="楷体_GB2312"/>
          <w:sz w:val="32"/>
          <w:lang w:val="en-US"/>
        </w:rPr>
        <w:t>：区发展改革局</w:t>
      </w:r>
      <w:r>
        <w:rPr>
          <w:rFonts w:hint="eastAsia" w:ascii="Times New Roman" w:hAnsi="Times New Roman" w:eastAsia="楷体_GB2312" w:cs="楷体_GB2312"/>
          <w:sz w:val="32"/>
          <w:lang w:val="en-US" w:eastAsia="zh-CN"/>
        </w:rPr>
        <w:t>牵头，</w:t>
      </w:r>
      <w:r>
        <w:rPr>
          <w:rFonts w:hint="eastAsia" w:ascii="Times New Roman" w:hAnsi="Times New Roman" w:eastAsia="楷体_GB2312" w:cs="楷体_GB2312"/>
          <w:sz w:val="32"/>
        </w:rPr>
        <w:t>区相关部门配合</w:t>
      </w:r>
      <w:r>
        <w:rPr>
          <w:rFonts w:hint="eastAsia" w:ascii="Times New Roman" w:hAnsi="Times New Roman" w:eastAsia="楷体_GB2312" w:cs="楷体_GB2312"/>
          <w:sz w:val="32"/>
          <w:lang w:eastAsia="zh-CN"/>
        </w:rPr>
        <w:t>；</w:t>
      </w:r>
      <w:r>
        <w:rPr>
          <w:rFonts w:hint="eastAsia" w:ascii="Times New Roman" w:hAnsi="Times New Roman" w:eastAsia="楷体_GB2312" w:cs="楷体_GB2312"/>
          <w:sz w:val="32"/>
          <w:lang w:val="en-US" w:eastAsia="zh-CN"/>
        </w:rPr>
        <w:t>完成时间：2021年12月</w:t>
      </w:r>
      <w:r>
        <w:rPr>
          <w:rFonts w:hint="eastAsia" w:ascii="Times New Roman" w:hAnsi="Times New Roman" w:eastAsia="楷体_GB2312" w:cs="楷体_GB2312"/>
          <w:sz w:val="32"/>
          <w:lang w:val="en-US"/>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仿宋_GB2312" w:cs="仿宋_GB2312"/>
          <w:b/>
          <w:bCs/>
        </w:rPr>
      </w:pPr>
      <w:bookmarkStart w:id="35" w:name="_Toc31163"/>
      <w:bookmarkStart w:id="36" w:name="_Toc24032"/>
      <w:r>
        <w:rPr>
          <w:rFonts w:hint="eastAsia" w:ascii="Times New Roman" w:hAnsi="Times New Roman" w:cs="仿宋_GB2312"/>
          <w:b/>
          <w:bCs/>
          <w:lang w:val="en-US" w:eastAsia="zh-CN"/>
        </w:rPr>
        <w:t>3</w:t>
      </w:r>
      <w:r>
        <w:rPr>
          <w:rFonts w:hint="eastAsia" w:ascii="Times New Roman" w:hAnsi="Times New Roman" w:eastAsia="仿宋_GB2312" w:cs="仿宋_GB2312"/>
          <w:b/>
          <w:bCs/>
        </w:rPr>
        <w:t>.推进企业守信践诺</w:t>
      </w:r>
      <w:bookmarkEnd w:id="35"/>
      <w:bookmarkEnd w:id="36"/>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楷体_GB2312" w:cs="楷体_GB2312"/>
          <w:sz w:val="32"/>
        </w:rPr>
      </w:pPr>
      <w:r>
        <w:rPr>
          <w:rFonts w:hint="eastAsia" w:ascii="Times New Roman" w:hAnsi="Times New Roman" w:eastAsia="仿宋_GB2312" w:cs="仿宋_GB2312"/>
        </w:rPr>
        <w:t>组织各企业开展以“诚信兴业”为内容的诚信承诺活动，签署信用承诺书，并在“信用张店”门户网站面向社会进行公示，把诚信守法经营理念奉为信条，在生产经营、财务管理、履行纳税义务、环境管理和劳动用工管理等各环节中建立信用管理流程，强化信用自律，改善信用环境，提升企业综合竞争力。完成企业信用管理系统与区智慧市场监管一体化平台的对接工作，联合区市场监管局共同开发 “企业信用二维码”，鼓励企业在显著位置张贴信用“二维码”，接受社会监督。</w:t>
      </w:r>
      <w:r>
        <w:rPr>
          <w:rFonts w:hint="eastAsia" w:ascii="Times New Roman" w:hAnsi="Times New Roman" w:cs="仿宋_GB2312"/>
          <w:color w:val="auto"/>
          <w:lang w:val="en-US" w:eastAsia="zh-CN"/>
        </w:rPr>
        <w:t>（</w:t>
      </w:r>
      <w:r>
        <w:rPr>
          <w:rFonts w:hint="eastAsia" w:ascii="Times New Roman" w:hAnsi="Times New Roman" w:eastAsia="楷体_GB2312" w:cs="楷体_GB2312"/>
          <w:sz w:val="32"/>
        </w:rPr>
        <w:t>责任</w:t>
      </w:r>
      <w:r>
        <w:rPr>
          <w:rFonts w:hint="eastAsia" w:ascii="Times New Roman" w:hAnsi="Times New Roman" w:eastAsia="楷体_GB2312" w:cs="楷体_GB2312"/>
          <w:sz w:val="32"/>
          <w:lang w:val="en-US" w:eastAsia="zh-CN"/>
        </w:rPr>
        <w:t>单位</w:t>
      </w:r>
      <w:r>
        <w:rPr>
          <w:rFonts w:hint="eastAsia" w:ascii="Times New Roman" w:hAnsi="Times New Roman" w:eastAsia="楷体_GB2312" w:cs="楷体_GB2312"/>
          <w:sz w:val="32"/>
        </w:rPr>
        <w:t>：区发展改革局、区市场监管局</w:t>
      </w:r>
      <w:r>
        <w:rPr>
          <w:rFonts w:hint="eastAsia" w:ascii="Times New Roman" w:hAnsi="Times New Roman" w:eastAsia="楷体_GB2312" w:cs="楷体_GB2312"/>
          <w:sz w:val="32"/>
          <w:lang w:val="en-US" w:eastAsia="zh-CN"/>
        </w:rPr>
        <w:t>牵头，</w:t>
      </w:r>
      <w:r>
        <w:rPr>
          <w:rFonts w:hint="eastAsia" w:ascii="Times New Roman" w:hAnsi="Times New Roman" w:eastAsia="楷体_GB2312" w:cs="楷体_GB2312"/>
          <w:sz w:val="32"/>
          <w:lang w:eastAsia="zh-CN"/>
        </w:rPr>
        <w:t>各镇办、</w:t>
      </w:r>
      <w:r>
        <w:rPr>
          <w:rFonts w:hint="eastAsia" w:ascii="Times New Roman" w:hAnsi="Times New Roman" w:eastAsia="楷体_GB2312" w:cs="楷体_GB2312"/>
          <w:sz w:val="32"/>
        </w:rPr>
        <w:t>区相关部门配合</w:t>
      </w:r>
      <w:r>
        <w:rPr>
          <w:rFonts w:hint="eastAsia" w:ascii="Times New Roman" w:hAnsi="Times New Roman" w:eastAsia="楷体_GB2312" w:cs="楷体_GB2312"/>
          <w:sz w:val="32"/>
          <w:lang w:eastAsia="zh-CN"/>
        </w:rPr>
        <w:t>；</w:t>
      </w:r>
      <w:r>
        <w:rPr>
          <w:rFonts w:hint="eastAsia" w:ascii="Times New Roman" w:hAnsi="Times New Roman" w:eastAsia="楷体_GB2312" w:cs="楷体_GB2312"/>
          <w:sz w:val="32"/>
          <w:lang w:val="en-US" w:eastAsia="zh-CN"/>
        </w:rPr>
        <w:t>完成时间：2021年12月</w:t>
      </w:r>
      <w:r>
        <w:rPr>
          <w:rFonts w:hint="eastAsia" w:ascii="Times New Roman" w:hAnsi="Times New Roman" w:cs="仿宋_GB2312"/>
          <w:color w:val="auto"/>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仿宋_GB2312" w:cs="仿宋_GB2312"/>
          <w:b/>
          <w:bCs/>
        </w:rPr>
      </w:pPr>
      <w:bookmarkStart w:id="37" w:name="_Toc23565"/>
      <w:bookmarkStart w:id="38" w:name="_Toc4413"/>
      <w:r>
        <w:rPr>
          <w:rFonts w:hint="eastAsia" w:ascii="Times New Roman" w:hAnsi="Times New Roman" w:cs="仿宋_GB2312"/>
          <w:b/>
          <w:bCs/>
          <w:lang w:val="en-US" w:eastAsia="zh-CN"/>
        </w:rPr>
        <w:t>4</w:t>
      </w:r>
      <w:r>
        <w:rPr>
          <w:rFonts w:hint="eastAsia" w:ascii="Times New Roman" w:hAnsi="Times New Roman" w:eastAsia="仿宋_GB2312" w:cs="仿宋_GB2312"/>
          <w:b/>
          <w:bCs/>
        </w:rPr>
        <w:t>.推动企业建立信用管理制度</w:t>
      </w:r>
      <w:bookmarkEnd w:id="37"/>
      <w:bookmarkEnd w:id="38"/>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楷体_GB2312" w:cs="楷体_GB2312"/>
          <w:sz w:val="32"/>
        </w:rPr>
      </w:pPr>
      <w:r>
        <w:rPr>
          <w:rFonts w:hint="eastAsia" w:ascii="Times New Roman" w:hAnsi="Times New Roman" w:eastAsia="仿宋_GB2312" w:cs="仿宋_GB2312"/>
        </w:rPr>
        <w:t>指导企业根据生产经营的实际，制定并发布信用管理制度，明确信用管理各项工作的规范要求。号召企业组织开展信用管理制度培训，确保相关人员准确理解和执行制度。指导企业建立科学</w:t>
      </w:r>
      <w:r>
        <w:rPr>
          <w:rFonts w:hint="eastAsia" w:ascii="Times New Roman" w:hAnsi="Times New Roman" w:cs="仿宋_GB2312"/>
          <w:lang w:eastAsia="zh-CN"/>
        </w:rPr>
        <w:t>的</w:t>
      </w:r>
      <w:r>
        <w:rPr>
          <w:rFonts w:hint="eastAsia" w:ascii="Times New Roman" w:hAnsi="Times New Roman" w:eastAsia="仿宋_GB2312" w:cs="仿宋_GB2312"/>
        </w:rPr>
        <w:t>评估指标体系对信用管理制度进行定期评估，根据需求对制度进行调整、修订或废止。鼓励企业在开展经济合作，签订商务合同时，主动查询或委托第三方出具合作对象的信用记录或者信用报告，规避信用风险，降低交易成本。鼓励企业建立客户信用档案，将客户提供假冒伪劣产品、合同欺诈、恶意拖欠货款等纳入客户信用档案。开展客户诚信综合评价，将客户诚信交易记录纳入应收账款管理、信用销售授信额度计量，建立科学的企业信用管理流程，防范信用风险。</w:t>
      </w:r>
      <w:r>
        <w:rPr>
          <w:rFonts w:hint="eastAsia" w:ascii="Times New Roman" w:hAnsi="Times New Roman" w:cs="仿宋_GB2312"/>
          <w:color w:val="auto"/>
          <w:lang w:val="en-US" w:eastAsia="zh-CN"/>
        </w:rPr>
        <w:t>（</w:t>
      </w:r>
      <w:r>
        <w:rPr>
          <w:rFonts w:hint="eastAsia" w:ascii="Times New Roman" w:hAnsi="Times New Roman" w:eastAsia="楷体_GB2312" w:cs="楷体_GB2312"/>
          <w:sz w:val="32"/>
        </w:rPr>
        <w:t>责任</w:t>
      </w:r>
      <w:r>
        <w:rPr>
          <w:rFonts w:hint="eastAsia" w:ascii="Times New Roman" w:hAnsi="Times New Roman" w:eastAsia="楷体_GB2312" w:cs="楷体_GB2312"/>
          <w:sz w:val="32"/>
          <w:lang w:val="en-US" w:eastAsia="zh-CN"/>
        </w:rPr>
        <w:t>单位</w:t>
      </w:r>
      <w:r>
        <w:rPr>
          <w:rFonts w:hint="eastAsia" w:ascii="Times New Roman" w:hAnsi="Times New Roman" w:eastAsia="楷体_GB2312" w:cs="楷体_GB2312"/>
          <w:sz w:val="32"/>
        </w:rPr>
        <w:t>：区发展改革局、区市场监管局</w:t>
      </w:r>
      <w:r>
        <w:rPr>
          <w:rFonts w:hint="eastAsia" w:ascii="Times New Roman" w:hAnsi="Times New Roman" w:eastAsia="楷体_GB2312" w:cs="楷体_GB2312"/>
          <w:sz w:val="32"/>
          <w:lang w:val="en-US" w:eastAsia="zh-CN"/>
        </w:rPr>
        <w:t>牵头，</w:t>
      </w:r>
      <w:r>
        <w:rPr>
          <w:rFonts w:hint="eastAsia" w:ascii="Times New Roman" w:hAnsi="Times New Roman" w:eastAsia="楷体_GB2312" w:cs="楷体_GB2312"/>
          <w:sz w:val="32"/>
          <w:lang w:eastAsia="zh-CN"/>
        </w:rPr>
        <w:t>各镇办、</w:t>
      </w:r>
      <w:r>
        <w:rPr>
          <w:rFonts w:hint="eastAsia" w:ascii="Times New Roman" w:hAnsi="Times New Roman" w:eastAsia="楷体_GB2312" w:cs="楷体_GB2312"/>
          <w:sz w:val="32"/>
        </w:rPr>
        <w:t>区相关部门配合</w:t>
      </w:r>
      <w:r>
        <w:rPr>
          <w:rFonts w:hint="eastAsia" w:ascii="Times New Roman" w:hAnsi="Times New Roman" w:eastAsia="楷体_GB2312" w:cs="楷体_GB2312"/>
          <w:sz w:val="32"/>
          <w:lang w:eastAsia="zh-CN"/>
        </w:rPr>
        <w:t>；</w:t>
      </w:r>
      <w:r>
        <w:rPr>
          <w:rFonts w:hint="eastAsia" w:ascii="Times New Roman" w:hAnsi="Times New Roman" w:eastAsia="楷体_GB2312" w:cs="楷体_GB2312"/>
          <w:sz w:val="32"/>
          <w:lang w:val="en-US" w:eastAsia="zh-CN"/>
        </w:rPr>
        <w:t>完成时间：2021年12月</w:t>
      </w:r>
      <w:r>
        <w:rPr>
          <w:rFonts w:hint="eastAsia" w:ascii="Times New Roman" w:hAnsi="Times New Roman" w:cs="仿宋_GB2312"/>
          <w:color w:val="auto"/>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仿宋_GB2312" w:cs="仿宋_GB2312"/>
          <w:b/>
          <w:bCs/>
        </w:rPr>
      </w:pPr>
      <w:bookmarkStart w:id="39" w:name="_Toc20197"/>
      <w:bookmarkStart w:id="40" w:name="_Toc872"/>
      <w:r>
        <w:rPr>
          <w:rFonts w:hint="eastAsia" w:ascii="Times New Roman" w:hAnsi="Times New Roman" w:cs="仿宋_GB2312"/>
          <w:b/>
          <w:bCs/>
          <w:lang w:val="en-US" w:eastAsia="zh-CN"/>
        </w:rPr>
        <w:t>5</w:t>
      </w:r>
      <w:r>
        <w:rPr>
          <w:rFonts w:hint="eastAsia" w:ascii="Times New Roman" w:hAnsi="Times New Roman" w:eastAsia="仿宋_GB2312" w:cs="仿宋_GB2312"/>
          <w:b/>
          <w:bCs/>
        </w:rPr>
        <w:t>.构建企业信用监管机制</w:t>
      </w:r>
      <w:bookmarkEnd w:id="39"/>
      <w:bookmarkEnd w:id="4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楷体_GB2312" w:cs="楷体_GB2312"/>
          <w:sz w:val="32"/>
        </w:rPr>
      </w:pPr>
      <w:r>
        <w:rPr>
          <w:rFonts w:hint="eastAsia" w:ascii="Times New Roman" w:hAnsi="Times New Roman" w:eastAsia="仿宋_GB2312" w:cs="仿宋_GB2312"/>
        </w:rPr>
        <w:t>根据国家、省、市关于构建以信用为基础的新型监管机制的有关文件要求，</w:t>
      </w:r>
      <w:r>
        <w:rPr>
          <w:rFonts w:hint="eastAsia" w:ascii="Times New Roman" w:hAnsi="Times New Roman" w:eastAsia="仿宋_GB2312" w:cs="仿宋_GB2312"/>
          <w:lang w:val="en-US" w:eastAsia="zh-CN"/>
        </w:rPr>
        <w:t>研究制定</w:t>
      </w:r>
      <w:r>
        <w:rPr>
          <w:rFonts w:hint="eastAsia" w:ascii="Times New Roman" w:hAnsi="Times New Roman" w:cs="仿宋_GB2312"/>
          <w:lang w:val="en-US" w:eastAsia="zh-CN"/>
        </w:rPr>
        <w:t>《张店区市场主体公共信用评价管理办法（试行）》</w:t>
      </w:r>
      <w:r>
        <w:rPr>
          <w:rFonts w:hint="eastAsia" w:ascii="Times New Roman" w:hAnsi="Times New Roman" w:eastAsia="仿宋_GB2312" w:cs="仿宋_GB2312"/>
          <w:lang w:val="en-US" w:eastAsia="zh-CN"/>
        </w:rPr>
        <w:t>，以提升企业信用为着力点</w:t>
      </w:r>
      <w:r>
        <w:rPr>
          <w:rFonts w:hint="eastAsia" w:ascii="Times New Roman" w:hAnsi="Times New Roman" w:eastAsia="仿宋_GB2312" w:cs="仿宋_GB2312"/>
        </w:rPr>
        <w:t>，开展事前信用核查和信用承诺、事中信用分级评价和分类监管、事后联合奖惩和信用修复工作，建成衔接事前、事中、事后全监管环节的新型监管机制。依托区公共信用信息平台，融合公共信用评价、行业管理数据和基础数据，设计指标权重和评价方法，结合行业特点和行业监管要求，构建适用于各行业的企业信用监管评价（预警）模型并开展企业信用评价，逐步实现企业信用分级分类监管、动态监管、精准监管，提高行政监管水平。</w:t>
      </w:r>
      <w:r>
        <w:rPr>
          <w:rFonts w:hint="eastAsia" w:ascii="Times New Roman" w:hAnsi="Times New Roman" w:cs="仿宋_GB2312"/>
          <w:color w:val="auto"/>
          <w:lang w:val="en-US" w:eastAsia="zh-CN"/>
        </w:rPr>
        <w:t>（</w:t>
      </w:r>
      <w:r>
        <w:rPr>
          <w:rFonts w:hint="eastAsia" w:ascii="Times New Roman" w:hAnsi="Times New Roman" w:eastAsia="楷体_GB2312" w:cs="楷体_GB2312"/>
          <w:sz w:val="32"/>
        </w:rPr>
        <w:t>责任</w:t>
      </w:r>
      <w:r>
        <w:rPr>
          <w:rFonts w:hint="eastAsia" w:ascii="Times New Roman" w:hAnsi="Times New Roman" w:eastAsia="楷体_GB2312" w:cs="楷体_GB2312"/>
          <w:sz w:val="32"/>
          <w:lang w:val="en-US" w:eastAsia="zh-CN"/>
        </w:rPr>
        <w:t>单位</w:t>
      </w:r>
      <w:r>
        <w:rPr>
          <w:rFonts w:hint="eastAsia" w:ascii="Times New Roman" w:hAnsi="Times New Roman" w:eastAsia="楷体_GB2312" w:cs="楷体_GB2312"/>
          <w:sz w:val="32"/>
        </w:rPr>
        <w:t>：</w:t>
      </w:r>
      <w:r>
        <w:rPr>
          <w:rFonts w:hint="eastAsia" w:ascii="Times New Roman" w:hAnsi="Times New Roman" w:eastAsia="楷体_GB2312" w:cs="楷体_GB2312"/>
          <w:sz w:val="32"/>
          <w:lang w:val="en-US" w:eastAsia="zh-CN"/>
        </w:rPr>
        <w:t>区市场监管局牵头，</w:t>
      </w:r>
      <w:r>
        <w:rPr>
          <w:rFonts w:hint="eastAsia" w:ascii="Times New Roman" w:hAnsi="Times New Roman" w:eastAsia="楷体_GB2312" w:cs="楷体_GB2312"/>
          <w:sz w:val="32"/>
          <w:lang w:eastAsia="zh-CN"/>
        </w:rPr>
        <w:t>各镇办、</w:t>
      </w:r>
      <w:r>
        <w:rPr>
          <w:rFonts w:hint="eastAsia" w:ascii="Times New Roman" w:hAnsi="Times New Roman" w:eastAsia="楷体_GB2312" w:cs="楷体_GB2312"/>
          <w:sz w:val="32"/>
        </w:rPr>
        <w:t>区相关部门配合</w:t>
      </w:r>
      <w:r>
        <w:rPr>
          <w:rFonts w:hint="eastAsia" w:ascii="Times New Roman" w:hAnsi="Times New Roman" w:eastAsia="楷体_GB2312" w:cs="楷体_GB2312"/>
          <w:sz w:val="32"/>
          <w:lang w:eastAsia="zh-CN"/>
        </w:rPr>
        <w:t>；</w:t>
      </w:r>
      <w:r>
        <w:rPr>
          <w:rFonts w:hint="eastAsia" w:ascii="Times New Roman" w:hAnsi="Times New Roman" w:eastAsia="楷体_GB2312" w:cs="楷体_GB2312"/>
          <w:sz w:val="32"/>
          <w:lang w:val="en-US" w:eastAsia="zh-CN"/>
        </w:rPr>
        <w:t>完成时间：2021年12月</w:t>
      </w:r>
      <w:r>
        <w:rPr>
          <w:rFonts w:hint="eastAsia" w:ascii="Times New Roman" w:hAnsi="Times New Roman" w:cs="仿宋_GB2312"/>
          <w:color w:val="auto"/>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default" w:ascii="Times New Roman" w:hAnsi="Times New Roman" w:eastAsia="仿宋_GB2312" w:cs="仿宋_GB2312"/>
          <w:b/>
          <w:bCs/>
          <w:lang w:val="en-US" w:eastAsia="zh-CN"/>
        </w:rPr>
      </w:pPr>
      <w:r>
        <w:rPr>
          <w:rFonts w:hint="eastAsia" w:ascii="Times New Roman" w:hAnsi="Times New Roman" w:eastAsia="仿宋_GB2312" w:cs="仿宋_GB2312"/>
          <w:b/>
          <w:bCs/>
          <w:lang w:val="en-US" w:eastAsia="zh-CN"/>
        </w:rPr>
        <w:t>6.强化企业信用评价结果运用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仿宋_GB2312" w:cs="Times New Roman"/>
          <w:b w:val="0"/>
          <w:bCs/>
          <w:color w:val="auto"/>
          <w:sz w:val="32"/>
          <w:szCs w:val="32"/>
          <w:highlight w:val="none"/>
          <w:shd w:val="clear" w:color="auto" w:fill="auto"/>
          <w:lang w:val="en-US" w:eastAsia="zh-CN"/>
        </w:rPr>
      </w:pPr>
      <w:bookmarkStart w:id="41" w:name="_Toc3123"/>
      <w:bookmarkStart w:id="42" w:name="_Toc18918"/>
      <w:r>
        <w:rPr>
          <w:rFonts w:hint="eastAsia" w:ascii="Times New Roman" w:hAnsi="Times New Roman" w:eastAsia="仿宋_GB2312" w:cs="Times New Roman"/>
          <w:b w:val="0"/>
          <w:bCs/>
          <w:color w:val="auto"/>
          <w:sz w:val="32"/>
          <w:szCs w:val="32"/>
          <w:highlight w:val="none"/>
          <w:shd w:val="clear" w:color="auto" w:fill="auto"/>
          <w:lang w:val="en-US" w:eastAsia="zh-CN"/>
        </w:rPr>
        <w:t>按照企业信用评价结果，对诚信守法类市场主体，实行“非请勿扰”诚信管理制度。在日常监管中，合理降低抽查比例和频次。在行政管理和公共服务中，实行绿色通道、容缺受理、简化程序等支持激励措施。对轻微失信类信用主体，每年至多进行一次随机检查，采取包容审慎监管方式。对一般失信类信用主体，每年除进行一次随机性联合检查外，不再安排其他检查。对严重失信类信用主体，在日常监管中列为重点监管对象，抽查比例不设上限，依法依规增加检查内容，加大抽查检查力度和频次。根据国家有关部委签署的联合惩戒备忘录规定，依法依规在行政管理和公共服务中，限制其享受简化程序等便利措施，限制其申请财政性资金项目、评优评先项目。</w:t>
      </w:r>
      <w:r>
        <w:rPr>
          <w:rFonts w:hint="eastAsia" w:ascii="Times New Roman" w:hAnsi="Times New Roman" w:cs="仿宋_GB2312"/>
          <w:color w:val="auto"/>
          <w:lang w:val="en-US" w:eastAsia="zh-CN"/>
        </w:rPr>
        <w:t>（</w:t>
      </w:r>
      <w:r>
        <w:rPr>
          <w:rFonts w:hint="eastAsia" w:ascii="Times New Roman" w:hAnsi="Times New Roman" w:eastAsia="楷体_GB2312" w:cs="楷体_GB2312"/>
          <w:color w:val="auto"/>
          <w:sz w:val="32"/>
        </w:rPr>
        <w:t>责任</w:t>
      </w:r>
      <w:r>
        <w:rPr>
          <w:rFonts w:hint="eastAsia" w:ascii="Times New Roman" w:hAnsi="Times New Roman" w:eastAsia="楷体_GB2312" w:cs="楷体_GB2312"/>
          <w:color w:val="auto"/>
          <w:sz w:val="32"/>
          <w:lang w:val="en-US" w:eastAsia="zh-CN"/>
        </w:rPr>
        <w:t>单位</w:t>
      </w:r>
      <w:r>
        <w:rPr>
          <w:rFonts w:hint="eastAsia" w:ascii="Times New Roman" w:hAnsi="Times New Roman" w:eastAsia="楷体_GB2312" w:cs="楷体_GB2312"/>
          <w:color w:val="auto"/>
          <w:sz w:val="32"/>
        </w:rPr>
        <w:t>：区发展改革局、区市场监管局</w:t>
      </w:r>
      <w:r>
        <w:rPr>
          <w:rFonts w:hint="eastAsia" w:ascii="Times New Roman" w:hAnsi="Times New Roman" w:eastAsia="楷体_GB2312" w:cs="楷体_GB2312"/>
          <w:color w:val="auto"/>
          <w:sz w:val="32"/>
          <w:lang w:val="en-US" w:eastAsia="zh-CN"/>
        </w:rPr>
        <w:t>牵头，</w:t>
      </w:r>
      <w:r>
        <w:rPr>
          <w:rFonts w:hint="eastAsia" w:ascii="Times New Roman" w:hAnsi="Times New Roman" w:eastAsia="楷体_GB2312" w:cs="楷体_GB2312"/>
          <w:color w:val="auto"/>
          <w:sz w:val="32"/>
          <w:lang w:eastAsia="zh-CN"/>
        </w:rPr>
        <w:t>各镇办、</w:t>
      </w:r>
      <w:r>
        <w:rPr>
          <w:rFonts w:hint="eastAsia" w:ascii="Times New Roman" w:hAnsi="Times New Roman" w:eastAsia="楷体_GB2312" w:cs="楷体_GB2312"/>
          <w:color w:val="auto"/>
          <w:sz w:val="32"/>
        </w:rPr>
        <w:t>区直相关部门配合</w:t>
      </w:r>
      <w:r>
        <w:rPr>
          <w:rFonts w:hint="eastAsia" w:ascii="Times New Roman" w:hAnsi="Times New Roman" w:eastAsia="楷体_GB2312" w:cs="楷体_GB2312"/>
          <w:color w:val="auto"/>
          <w:sz w:val="32"/>
          <w:lang w:eastAsia="zh-CN"/>
        </w:rPr>
        <w:t>；</w:t>
      </w:r>
      <w:r>
        <w:rPr>
          <w:rFonts w:hint="eastAsia" w:ascii="Times New Roman" w:hAnsi="Times New Roman" w:eastAsia="楷体_GB2312" w:cs="楷体_GB2312"/>
          <w:color w:val="auto"/>
          <w:sz w:val="32"/>
          <w:lang w:val="en-US" w:eastAsia="zh-CN"/>
        </w:rPr>
        <w:t>完成时间：2021年12月</w:t>
      </w:r>
      <w:r>
        <w:rPr>
          <w:rFonts w:hint="eastAsia" w:ascii="Times New Roman" w:hAnsi="Times New Roman" w:cs="仿宋_GB2312"/>
          <w:color w:val="auto"/>
          <w:lang w:val="en-US" w:eastAsia="zh-CN"/>
        </w:rPr>
        <w:t>）</w:t>
      </w:r>
      <w:bookmarkEnd w:id="41"/>
      <w:bookmarkEnd w:id="42"/>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1"/>
        <w:rPr>
          <w:rFonts w:hint="eastAsia" w:ascii="Times New Roman" w:hAnsi="Times New Roman" w:eastAsia="楷体_GB2312" w:cs="楷体_GB2312"/>
          <w:b w:val="0"/>
          <w:bCs w:val="0"/>
        </w:rPr>
      </w:pPr>
      <w:bookmarkStart w:id="43" w:name="_Toc2950"/>
      <w:bookmarkStart w:id="44" w:name="_Toc17711"/>
      <w:bookmarkStart w:id="45" w:name="_Toc32525"/>
      <w:r>
        <w:rPr>
          <w:rFonts w:hint="eastAsia" w:ascii="Times New Roman" w:hAnsi="Times New Roman" w:eastAsia="楷体_GB2312" w:cs="楷体_GB2312"/>
          <w:b w:val="0"/>
          <w:bCs w:val="0"/>
        </w:rPr>
        <w:t>（</w:t>
      </w:r>
      <w:r>
        <w:rPr>
          <w:rFonts w:hint="eastAsia" w:ascii="Times New Roman" w:hAnsi="Times New Roman" w:eastAsia="楷体_GB2312" w:cs="楷体_GB2312"/>
          <w:b w:val="0"/>
          <w:bCs w:val="0"/>
          <w:lang w:val="en-US" w:eastAsia="zh-CN"/>
        </w:rPr>
        <w:t>二</w:t>
      </w:r>
      <w:r>
        <w:rPr>
          <w:rFonts w:hint="eastAsia" w:ascii="Times New Roman" w:hAnsi="Times New Roman" w:eastAsia="楷体_GB2312" w:cs="楷体_GB2312"/>
          <w:b w:val="0"/>
          <w:bCs w:val="0"/>
        </w:rPr>
        <w:t>）加强公职人员诚信建设</w:t>
      </w:r>
      <w:bookmarkEnd w:id="43"/>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仿宋_GB2312" w:cs="仿宋_GB2312"/>
        </w:rPr>
      </w:pPr>
      <w:r>
        <w:rPr>
          <w:rFonts w:hint="eastAsia" w:ascii="Times New Roman" w:hAnsi="Times New Roman" w:cs="仿宋_GB2312"/>
          <w:lang w:val="en-US" w:eastAsia="zh-CN"/>
        </w:rPr>
        <w:t>研究制定《张店区公职人员诚信建设工作实施方案（试行）》，</w:t>
      </w:r>
      <w:r>
        <w:rPr>
          <w:rFonts w:hint="eastAsia" w:ascii="Times New Roman" w:hAnsi="Times New Roman" w:eastAsia="仿宋_GB2312" w:cs="仿宋_GB2312"/>
        </w:rPr>
        <w:t>加强公职人员诚信建设，塑造公职人员“模范守信、带头守信”的良好队伍形象。充分发挥</w:t>
      </w:r>
      <w:r>
        <w:rPr>
          <w:rFonts w:hint="eastAsia" w:ascii="Times New Roman" w:hAnsi="Times New Roman" w:cs="仿宋_GB2312"/>
          <w:lang w:val="en-US" w:eastAsia="zh-CN"/>
        </w:rPr>
        <w:t>公职人员</w:t>
      </w:r>
      <w:r>
        <w:rPr>
          <w:rFonts w:hint="eastAsia" w:ascii="Times New Roman" w:hAnsi="Times New Roman" w:eastAsia="仿宋_GB2312" w:cs="仿宋_GB2312"/>
        </w:rPr>
        <w:t>在社会信用体系建设中的表率导向和示范作用，不断提升政府诚信行政水平，树立政府公开、公正、诚信的良好形象，增强政府公信力。</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2"/>
        <w:rPr>
          <w:rFonts w:hint="eastAsia" w:ascii="Times New Roman" w:hAnsi="Times New Roman" w:eastAsia="仿宋_GB2312" w:cs="仿宋_GB2312"/>
          <w:b/>
          <w:bCs/>
          <w:color w:val="auto"/>
          <w:lang w:val="en-US" w:eastAsia="zh-CN"/>
        </w:rPr>
      </w:pPr>
      <w:bookmarkStart w:id="46" w:name="_Toc561"/>
      <w:bookmarkStart w:id="47" w:name="_Toc15486"/>
      <w:bookmarkStart w:id="48" w:name="_Toc20590"/>
      <w:r>
        <w:rPr>
          <w:rFonts w:hint="eastAsia" w:ascii="Times New Roman" w:hAnsi="Times New Roman" w:eastAsia="仿宋_GB2312" w:cs="仿宋_GB2312"/>
          <w:b/>
          <w:bCs/>
          <w:color w:val="auto"/>
          <w:lang w:val="en-US" w:eastAsia="zh-CN"/>
        </w:rPr>
        <w:t>1.建立公职人员信用信息数据库</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楷体_GB2312" w:cs="楷体_GB2312"/>
          <w:color w:val="auto"/>
          <w:sz w:val="32"/>
        </w:rPr>
      </w:pPr>
      <w:r>
        <w:rPr>
          <w:rFonts w:hint="eastAsia" w:ascii="Times New Roman" w:hAnsi="Times New Roman" w:eastAsia="仿宋_GB2312" w:cs="仿宋_GB2312"/>
          <w:color w:val="auto"/>
        </w:rPr>
        <w:t>依托</w:t>
      </w:r>
      <w:r>
        <w:rPr>
          <w:rFonts w:hint="eastAsia" w:ascii="Times New Roman" w:hAnsi="Times New Roman" w:cs="仿宋_GB2312"/>
          <w:color w:val="auto"/>
          <w:lang w:val="en-US" w:eastAsia="zh-CN"/>
        </w:rPr>
        <w:t>区公共信用信息</w:t>
      </w:r>
      <w:r>
        <w:rPr>
          <w:rFonts w:hint="eastAsia" w:ascii="Times New Roman" w:hAnsi="Times New Roman" w:eastAsia="仿宋_GB2312" w:cs="仿宋_GB2312"/>
          <w:color w:val="auto"/>
        </w:rPr>
        <w:t>平台逐步实现归集、整合公职人员的基础信息、日常信息及社会信息，构建公职人员信用信息数据库，为开展公职人员诚信评价以及信用监管提供数据支撑。</w:t>
      </w:r>
      <w:r>
        <w:rPr>
          <w:rFonts w:hint="eastAsia" w:ascii="Times New Roman" w:hAnsi="Times New Roman" w:cs="仿宋_GB2312"/>
          <w:color w:val="auto"/>
          <w:lang w:val="en-US" w:eastAsia="zh-CN"/>
        </w:rPr>
        <w:t>（</w:t>
      </w:r>
      <w:r>
        <w:rPr>
          <w:rFonts w:hint="eastAsia" w:ascii="Times New Roman" w:hAnsi="Times New Roman" w:eastAsia="楷体_GB2312" w:cs="楷体_GB2312"/>
          <w:color w:val="auto"/>
          <w:sz w:val="32"/>
        </w:rPr>
        <w:t>责任</w:t>
      </w:r>
      <w:r>
        <w:rPr>
          <w:rFonts w:hint="eastAsia" w:ascii="Times New Roman" w:hAnsi="Times New Roman" w:eastAsia="楷体_GB2312" w:cs="楷体_GB2312"/>
          <w:color w:val="auto"/>
          <w:sz w:val="32"/>
          <w:lang w:val="en-US" w:eastAsia="zh-CN"/>
        </w:rPr>
        <w:t>单位</w:t>
      </w:r>
      <w:r>
        <w:rPr>
          <w:rFonts w:hint="eastAsia" w:ascii="Times New Roman" w:hAnsi="Times New Roman" w:eastAsia="楷体_GB2312" w:cs="楷体_GB2312"/>
          <w:color w:val="auto"/>
          <w:sz w:val="32"/>
        </w:rPr>
        <w:t>：区委宣传部牵头，</w:t>
      </w:r>
      <w:r>
        <w:rPr>
          <w:rFonts w:hint="eastAsia" w:ascii="Times New Roman" w:hAnsi="Times New Roman" w:eastAsia="楷体_GB2312" w:cs="楷体_GB2312"/>
          <w:color w:val="auto"/>
          <w:sz w:val="32"/>
          <w:lang w:eastAsia="zh-CN"/>
        </w:rPr>
        <w:t>区纪委监委机关</w:t>
      </w:r>
      <w:r>
        <w:rPr>
          <w:rFonts w:hint="eastAsia" w:ascii="Times New Roman" w:hAnsi="Times New Roman" w:eastAsia="楷体_GB2312" w:cs="楷体_GB2312"/>
          <w:color w:val="auto"/>
          <w:sz w:val="32"/>
        </w:rPr>
        <w:t>、区委组织部、区委编办、区人力资源社会保障局、</w:t>
      </w:r>
      <w:r>
        <w:rPr>
          <w:rFonts w:hint="eastAsia" w:ascii="Times New Roman" w:hAnsi="Times New Roman" w:eastAsia="楷体_GB2312" w:cs="楷体_GB2312"/>
          <w:color w:val="auto"/>
          <w:sz w:val="32"/>
          <w:lang w:eastAsia="zh-CN"/>
        </w:rPr>
        <w:t>各镇办</w:t>
      </w:r>
      <w:r>
        <w:rPr>
          <w:rFonts w:hint="eastAsia" w:ascii="Times New Roman" w:hAnsi="Times New Roman" w:eastAsia="楷体_GB2312" w:cs="楷体_GB2312"/>
          <w:color w:val="auto"/>
          <w:sz w:val="32"/>
        </w:rPr>
        <w:t>、区直相关部门配合；完成时间：2021年</w:t>
      </w:r>
      <w:r>
        <w:rPr>
          <w:rFonts w:hint="eastAsia" w:ascii="Times New Roman" w:hAnsi="Times New Roman" w:eastAsia="楷体_GB2312" w:cs="楷体_GB2312"/>
          <w:color w:val="auto"/>
          <w:sz w:val="32"/>
          <w:lang w:val="en-US" w:eastAsia="zh-CN"/>
        </w:rPr>
        <w:t>12</w:t>
      </w:r>
      <w:r>
        <w:rPr>
          <w:rFonts w:hint="eastAsia" w:ascii="Times New Roman" w:hAnsi="Times New Roman" w:eastAsia="楷体_GB2312" w:cs="楷体_GB2312"/>
          <w:color w:val="auto"/>
          <w:sz w:val="32"/>
        </w:rPr>
        <w:t>月</w:t>
      </w:r>
      <w:r>
        <w:rPr>
          <w:rFonts w:hint="eastAsia" w:ascii="Times New Roman" w:hAnsi="Times New Roman" w:cs="仿宋_GB2312"/>
          <w:color w:val="auto"/>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2"/>
        <w:rPr>
          <w:rFonts w:hint="eastAsia" w:ascii="Times New Roman" w:hAnsi="Times New Roman" w:eastAsia="仿宋_GB2312" w:cs="仿宋_GB2312"/>
          <w:b/>
          <w:bCs/>
          <w:color w:val="auto"/>
          <w:lang w:val="en-US" w:eastAsia="zh-CN"/>
        </w:rPr>
      </w:pPr>
      <w:bookmarkStart w:id="49" w:name="_Toc12010"/>
      <w:bookmarkStart w:id="50" w:name="_Toc23675"/>
      <w:bookmarkStart w:id="51" w:name="_Toc17801"/>
      <w:r>
        <w:rPr>
          <w:rFonts w:hint="eastAsia" w:ascii="Times New Roman" w:hAnsi="Times New Roman" w:eastAsia="仿宋_GB2312" w:cs="仿宋_GB2312"/>
          <w:b/>
          <w:bCs/>
          <w:color w:val="auto"/>
          <w:lang w:val="en-US" w:eastAsia="zh-CN"/>
        </w:rPr>
        <w:t>2.构建公职人员守信激励和失信惩戒机制</w:t>
      </w:r>
      <w:bookmarkEnd w:id="49"/>
      <w:bookmarkEnd w:id="50"/>
      <w:bookmarkEnd w:id="51"/>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楷体_GB2312" w:cs="楷体_GB2312"/>
          <w:color w:val="auto"/>
        </w:rPr>
      </w:pPr>
      <w:r>
        <w:rPr>
          <w:rFonts w:hint="eastAsia" w:ascii="Times New Roman" w:hAnsi="Times New Roman" w:eastAsia="仿宋_GB2312" w:cs="仿宋_GB2312"/>
          <w:color w:val="auto"/>
        </w:rPr>
        <w:t>将</w:t>
      </w:r>
      <w:r>
        <w:rPr>
          <w:rFonts w:hint="eastAsia" w:ascii="Times New Roman" w:hAnsi="Times New Roman" w:eastAsia="仿宋_GB2312" w:cs="仿宋_GB2312"/>
          <w:color w:val="auto"/>
          <w:lang w:val="en-US" w:eastAsia="zh-CN"/>
        </w:rPr>
        <w:t>公职人员</w:t>
      </w:r>
      <w:r>
        <w:rPr>
          <w:rFonts w:hint="eastAsia" w:ascii="Times New Roman" w:hAnsi="Times New Roman" w:eastAsia="仿宋_GB2312" w:cs="仿宋_GB2312"/>
          <w:color w:val="auto"/>
        </w:rPr>
        <w:t>诚信记录</w:t>
      </w:r>
      <w:r>
        <w:rPr>
          <w:rFonts w:hint="eastAsia" w:ascii="Times New Roman" w:hAnsi="Times New Roman" w:eastAsia="仿宋_GB2312" w:cs="仿宋_GB2312"/>
          <w:color w:val="auto"/>
          <w:lang w:val="en-US" w:eastAsia="zh-CN"/>
        </w:rPr>
        <w:t>和评价结果</w:t>
      </w:r>
      <w:r>
        <w:rPr>
          <w:rFonts w:hint="eastAsia" w:ascii="Times New Roman" w:hAnsi="Times New Roman" w:eastAsia="仿宋_GB2312" w:cs="仿宋_GB2312"/>
          <w:color w:val="auto"/>
        </w:rPr>
        <w:t>作为干部考核、任用和奖惩的重要依据</w:t>
      </w:r>
      <w:r>
        <w:rPr>
          <w:rFonts w:hint="eastAsia" w:ascii="Times New Roman" w:hAnsi="Times New Roman" w:eastAsia="仿宋_GB2312" w:cs="仿宋_GB2312"/>
          <w:color w:val="auto"/>
          <w:lang w:eastAsia="zh-CN"/>
        </w:rPr>
        <w:t>，</w:t>
      </w:r>
      <w:r>
        <w:rPr>
          <w:rFonts w:hint="eastAsia" w:ascii="Times New Roman" w:hAnsi="Times New Roman" w:eastAsia="仿宋_GB2312" w:cs="仿宋_GB2312"/>
          <w:color w:val="auto"/>
        </w:rPr>
        <w:t>在评优评先、干部选拔、职务晋升、工资档位上调等工作中，依法依规对守信公职人员</w:t>
      </w:r>
      <w:r>
        <w:rPr>
          <w:rFonts w:hint="eastAsia" w:ascii="Times New Roman" w:hAnsi="Times New Roman" w:cs="仿宋_GB2312"/>
          <w:color w:val="auto"/>
          <w:lang w:val="en-US" w:eastAsia="zh-CN"/>
        </w:rPr>
        <w:t>在同等条件下</w:t>
      </w:r>
      <w:r>
        <w:rPr>
          <w:rFonts w:hint="eastAsia" w:ascii="Times New Roman" w:hAnsi="Times New Roman" w:eastAsia="仿宋_GB2312" w:cs="仿宋_GB2312"/>
          <w:color w:val="auto"/>
        </w:rPr>
        <w:t>提供优先权和推荐名额，对严重失信的公职人员依法采取相应限制或惩戒措施。</w:t>
      </w:r>
      <w:r>
        <w:rPr>
          <w:rFonts w:hint="eastAsia" w:ascii="Times New Roman" w:hAnsi="Times New Roman" w:cs="仿宋_GB2312"/>
          <w:color w:val="auto"/>
          <w:lang w:val="en-US" w:eastAsia="zh-CN"/>
        </w:rPr>
        <w:t>（</w:t>
      </w:r>
      <w:r>
        <w:rPr>
          <w:rFonts w:hint="eastAsia" w:ascii="Times New Roman" w:hAnsi="Times New Roman" w:eastAsia="楷体_GB2312" w:cs="楷体_GB2312"/>
          <w:color w:val="auto"/>
          <w:lang w:eastAsia="zh-CN"/>
        </w:rPr>
        <w:t>责任</w:t>
      </w:r>
      <w:r>
        <w:rPr>
          <w:rFonts w:hint="eastAsia" w:ascii="Times New Roman" w:hAnsi="Times New Roman" w:eastAsia="楷体_GB2312" w:cs="楷体_GB2312"/>
          <w:color w:val="auto"/>
          <w:lang w:val="en-US" w:eastAsia="zh-CN"/>
        </w:rPr>
        <w:t>单位</w:t>
      </w:r>
      <w:r>
        <w:rPr>
          <w:rFonts w:hint="eastAsia" w:ascii="Times New Roman" w:hAnsi="Times New Roman" w:eastAsia="楷体_GB2312" w:cs="楷体_GB2312"/>
          <w:color w:val="auto"/>
          <w:lang w:eastAsia="zh-CN"/>
        </w:rPr>
        <w:t>：区委组织部牵头，区纪委监委机关、区人力资源社会保障局、各镇办、区直相关部门配合；完成时间：实时推进</w:t>
      </w:r>
      <w:r>
        <w:rPr>
          <w:rFonts w:hint="eastAsia" w:ascii="Times New Roman" w:hAnsi="Times New Roman" w:cs="仿宋_GB2312"/>
          <w:color w:val="auto"/>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2"/>
        <w:rPr>
          <w:rFonts w:hint="eastAsia" w:ascii="Times New Roman" w:hAnsi="Times New Roman" w:eastAsia="仿宋_GB2312" w:cs="仿宋_GB2312"/>
          <w:b/>
          <w:bCs/>
          <w:color w:val="auto"/>
          <w:lang w:val="en-US" w:eastAsia="zh-CN"/>
        </w:rPr>
      </w:pPr>
      <w:bookmarkStart w:id="52" w:name="_Toc7168"/>
      <w:r>
        <w:rPr>
          <w:rFonts w:hint="eastAsia" w:ascii="Times New Roman" w:hAnsi="Times New Roman" w:cs="仿宋_GB2312"/>
          <w:b/>
          <w:bCs/>
          <w:color w:val="auto"/>
          <w:lang w:val="en-US" w:eastAsia="zh-CN"/>
        </w:rPr>
        <w:t>3</w:t>
      </w:r>
      <w:r>
        <w:rPr>
          <w:rFonts w:hint="eastAsia" w:ascii="Times New Roman" w:hAnsi="Times New Roman" w:eastAsia="仿宋_GB2312" w:cs="仿宋_GB2312"/>
          <w:b/>
          <w:bCs/>
          <w:color w:val="auto"/>
          <w:lang w:val="en-US" w:eastAsia="zh-CN"/>
        </w:rPr>
        <w:t>.建立公职人员信用信息纠错、修复机制</w:t>
      </w:r>
      <w:bookmarkEnd w:id="52"/>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楷体_GB2312" w:cs="楷体_GB2312"/>
          <w:color w:val="auto"/>
          <w:sz w:val="32"/>
        </w:rPr>
      </w:pPr>
      <w:r>
        <w:rPr>
          <w:rFonts w:hint="eastAsia" w:ascii="Times New Roman" w:hAnsi="Times New Roman" w:eastAsia="仿宋_GB2312" w:cs="仿宋_GB2312"/>
          <w:color w:val="auto"/>
          <w:lang w:eastAsia="zh-CN"/>
        </w:rPr>
        <w:t>建立公共信用信息纠错、修复机制。明确各类公共信用信息展示期限，探索通过事后主动履约、申请延期、自主解释等方式减少失信损失，通过按时履约、志愿服务、慈善捐助等方式修复信用。</w:t>
      </w:r>
      <w:r>
        <w:rPr>
          <w:rFonts w:hint="eastAsia" w:ascii="Times New Roman" w:hAnsi="Times New Roman" w:cs="仿宋_GB2312"/>
          <w:color w:val="auto"/>
          <w:lang w:val="en-US" w:eastAsia="zh-CN"/>
        </w:rPr>
        <w:t>（</w:t>
      </w:r>
      <w:r>
        <w:rPr>
          <w:rFonts w:hint="eastAsia" w:ascii="Times New Roman" w:hAnsi="Times New Roman" w:eastAsia="楷体_GB2312" w:cs="楷体_GB2312"/>
          <w:color w:val="auto"/>
          <w:lang w:eastAsia="zh-CN"/>
        </w:rPr>
        <w:t>责任</w:t>
      </w:r>
      <w:r>
        <w:rPr>
          <w:rFonts w:hint="eastAsia" w:ascii="Times New Roman" w:hAnsi="Times New Roman" w:eastAsia="楷体_GB2312" w:cs="楷体_GB2312"/>
          <w:color w:val="auto"/>
          <w:lang w:val="en-US" w:eastAsia="zh-CN"/>
        </w:rPr>
        <w:t>单位</w:t>
      </w:r>
      <w:r>
        <w:rPr>
          <w:rFonts w:hint="eastAsia" w:ascii="Times New Roman" w:hAnsi="Times New Roman" w:eastAsia="楷体_GB2312" w:cs="楷体_GB2312"/>
          <w:color w:val="auto"/>
          <w:lang w:eastAsia="zh-CN"/>
        </w:rPr>
        <w:t>：区发展改革局牵头，区委组织部、区委编办、区人力资源社会保障局、区民政局、各镇办、区直相关部门配合；完成时间：实时推进</w:t>
      </w:r>
      <w:r>
        <w:rPr>
          <w:rFonts w:hint="eastAsia" w:ascii="Times New Roman" w:hAnsi="Times New Roman" w:cs="仿宋_GB2312"/>
          <w:color w:val="auto"/>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2"/>
        <w:rPr>
          <w:rFonts w:hint="eastAsia" w:ascii="Times New Roman" w:hAnsi="Times New Roman" w:eastAsia="仿宋_GB2312" w:cs="仿宋_GB2312"/>
          <w:b/>
          <w:bCs/>
          <w:color w:val="auto"/>
          <w:lang w:val="en-US" w:eastAsia="zh-CN"/>
        </w:rPr>
      </w:pPr>
      <w:bookmarkStart w:id="53" w:name="_Toc13188"/>
      <w:bookmarkStart w:id="54" w:name="_Toc24642"/>
      <w:bookmarkStart w:id="55" w:name="_Toc4602"/>
      <w:r>
        <w:rPr>
          <w:rFonts w:hint="eastAsia" w:ascii="Times New Roman" w:hAnsi="Times New Roman" w:cs="仿宋_GB2312"/>
          <w:b/>
          <w:bCs/>
          <w:color w:val="auto"/>
          <w:lang w:val="en-US" w:eastAsia="zh-CN"/>
        </w:rPr>
        <w:t>4</w:t>
      </w:r>
      <w:r>
        <w:rPr>
          <w:rFonts w:hint="eastAsia" w:ascii="Times New Roman" w:hAnsi="Times New Roman" w:eastAsia="仿宋_GB2312" w:cs="仿宋_GB2312"/>
          <w:b/>
          <w:bCs/>
          <w:color w:val="auto"/>
          <w:lang w:val="en-US" w:eastAsia="zh-CN"/>
        </w:rPr>
        <w:t>.加强公职人员诚信教育</w:t>
      </w:r>
      <w:bookmarkEnd w:id="53"/>
      <w:bookmarkEnd w:id="54"/>
      <w:bookmarkEnd w:id="55"/>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楷体_GB2312" w:cs="楷体_GB2312"/>
          <w:color w:val="auto"/>
          <w:lang w:eastAsia="zh-CN"/>
        </w:rPr>
      </w:pPr>
      <w:r>
        <w:rPr>
          <w:rFonts w:hint="eastAsia" w:ascii="Times New Roman" w:hAnsi="Times New Roman" w:eastAsia="仿宋_GB2312" w:cs="仿宋_GB2312"/>
          <w:bCs/>
          <w:color w:val="auto"/>
          <w:sz w:val="32"/>
          <w:szCs w:val="32"/>
          <w:lang w:eastAsia="zh-CN"/>
        </w:rPr>
        <w:t>按照分级分类精准常态管理原则，根据公职人员干部管理权限，由</w:t>
      </w:r>
      <w:r>
        <w:rPr>
          <w:rFonts w:hint="eastAsia" w:ascii="Times New Roman" w:hAnsi="Times New Roman" w:cs="仿宋_GB2312"/>
          <w:bCs/>
          <w:color w:val="auto"/>
          <w:sz w:val="32"/>
          <w:szCs w:val="32"/>
          <w:lang w:eastAsia="zh-CN"/>
        </w:rPr>
        <w:t>各镇办</w:t>
      </w:r>
      <w:r>
        <w:rPr>
          <w:rFonts w:hint="eastAsia" w:ascii="Times New Roman" w:hAnsi="Times New Roman" w:eastAsia="仿宋_GB2312" w:cs="仿宋_GB2312"/>
          <w:bCs/>
          <w:color w:val="auto"/>
          <w:sz w:val="32"/>
          <w:szCs w:val="32"/>
          <w:lang w:eastAsia="zh-CN"/>
        </w:rPr>
        <w:t>、区直各部门（单位）</w:t>
      </w:r>
      <w:r>
        <w:rPr>
          <w:rFonts w:hint="eastAsia" w:ascii="Times New Roman" w:hAnsi="Times New Roman" w:eastAsia="仿宋_GB2312" w:cs="仿宋_GB2312"/>
          <w:bCs/>
          <w:color w:val="auto"/>
          <w:sz w:val="32"/>
          <w:szCs w:val="32"/>
        </w:rPr>
        <w:t>组织开展公职人员诚信培训活动，</w:t>
      </w:r>
      <w:r>
        <w:rPr>
          <w:rFonts w:hint="eastAsia" w:ascii="Times New Roman" w:hAnsi="Times New Roman" w:eastAsia="仿宋_GB2312" w:cs="仿宋_GB2312"/>
          <w:bCs/>
          <w:color w:val="auto"/>
          <w:sz w:val="32"/>
          <w:szCs w:val="32"/>
          <w:lang w:eastAsia="zh-CN"/>
        </w:rPr>
        <w:t>提升公职人员信用意识和诚信履职能力，进一步提升政府公信力</w:t>
      </w:r>
      <w:r>
        <w:rPr>
          <w:rFonts w:hint="eastAsia" w:ascii="Times New Roman" w:hAnsi="Times New Roman" w:eastAsia="仿宋_GB2312" w:cs="仿宋_GB2312"/>
          <w:bCs/>
          <w:color w:val="auto"/>
          <w:sz w:val="32"/>
          <w:szCs w:val="32"/>
        </w:rPr>
        <w:t>。</w:t>
      </w:r>
      <w:r>
        <w:rPr>
          <w:rFonts w:hint="eastAsia" w:ascii="Times New Roman" w:hAnsi="Times New Roman" w:cs="仿宋_GB2312"/>
          <w:color w:val="auto"/>
          <w:lang w:val="en-US" w:eastAsia="zh-CN"/>
        </w:rPr>
        <w:t>（</w:t>
      </w:r>
      <w:r>
        <w:rPr>
          <w:rFonts w:hint="eastAsia" w:ascii="Times New Roman" w:hAnsi="Times New Roman" w:eastAsia="楷体_GB2312" w:cs="楷体_GB2312"/>
          <w:color w:val="auto"/>
          <w:lang w:eastAsia="zh-CN"/>
        </w:rPr>
        <w:t>责任</w:t>
      </w:r>
      <w:r>
        <w:rPr>
          <w:rFonts w:hint="eastAsia" w:ascii="Times New Roman" w:hAnsi="Times New Roman" w:eastAsia="楷体_GB2312" w:cs="楷体_GB2312"/>
          <w:color w:val="auto"/>
          <w:lang w:val="en-US" w:eastAsia="zh-CN"/>
        </w:rPr>
        <w:t>单位</w:t>
      </w:r>
      <w:r>
        <w:rPr>
          <w:rFonts w:hint="eastAsia" w:ascii="Times New Roman" w:hAnsi="Times New Roman" w:eastAsia="楷体_GB2312" w:cs="楷体_GB2312"/>
          <w:color w:val="auto"/>
          <w:lang w:eastAsia="zh-CN"/>
        </w:rPr>
        <w:t>：区委宣传部牵头，区委组织部、区人力资源社会保障局、各镇办、区直相关部门配合；完成时间：实时推进</w:t>
      </w:r>
      <w:r>
        <w:rPr>
          <w:rFonts w:hint="eastAsia" w:ascii="Times New Roman" w:hAnsi="Times New Roman" w:cs="仿宋_GB2312"/>
          <w:color w:val="auto"/>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1"/>
        <w:rPr>
          <w:rFonts w:hint="eastAsia" w:ascii="Times New Roman" w:hAnsi="Times New Roman" w:eastAsia="楷体_GB2312" w:cs="楷体_GB2312"/>
          <w:b w:val="0"/>
          <w:bCs w:val="0"/>
          <w:color w:val="auto"/>
        </w:rPr>
      </w:pPr>
      <w:bookmarkStart w:id="56" w:name="_Toc18599"/>
      <w:bookmarkStart w:id="57" w:name="_Toc79422510"/>
      <w:bookmarkStart w:id="58" w:name="_Toc31842"/>
      <w:bookmarkStart w:id="59" w:name="_Toc3376"/>
      <w:r>
        <w:rPr>
          <w:rFonts w:hint="eastAsia" w:ascii="Times New Roman" w:hAnsi="Times New Roman" w:eastAsia="楷体_GB2312" w:cs="楷体_GB2312"/>
          <w:b w:val="0"/>
          <w:bCs w:val="0"/>
          <w:color w:val="auto"/>
        </w:rPr>
        <w:t>（</w:t>
      </w:r>
      <w:r>
        <w:rPr>
          <w:rFonts w:hint="eastAsia" w:ascii="Times New Roman" w:hAnsi="Times New Roman" w:eastAsia="楷体_GB2312" w:cs="楷体_GB2312"/>
          <w:b w:val="0"/>
          <w:bCs w:val="0"/>
          <w:color w:val="auto"/>
          <w:lang w:val="en-US" w:eastAsia="zh-CN"/>
        </w:rPr>
        <w:t>三</w:t>
      </w:r>
      <w:r>
        <w:rPr>
          <w:rFonts w:hint="eastAsia" w:ascii="Times New Roman" w:hAnsi="Times New Roman" w:eastAsia="楷体_GB2312" w:cs="楷体_GB2312"/>
          <w:b w:val="0"/>
          <w:bCs w:val="0"/>
          <w:color w:val="auto"/>
        </w:rPr>
        <w:t>）</w:t>
      </w:r>
      <w:r>
        <w:rPr>
          <w:rFonts w:hint="eastAsia" w:ascii="Times New Roman" w:hAnsi="Times New Roman" w:eastAsia="楷体_GB2312" w:cs="楷体_GB2312"/>
          <w:b w:val="0"/>
          <w:bCs w:val="0"/>
          <w:color w:val="auto"/>
          <w:lang w:val="en-US" w:eastAsia="zh-CN"/>
        </w:rPr>
        <w:t>推动</w:t>
      </w:r>
      <w:r>
        <w:rPr>
          <w:rFonts w:hint="eastAsia" w:ascii="Times New Roman" w:hAnsi="Times New Roman" w:eastAsia="楷体_GB2312" w:cs="楷体_GB2312"/>
          <w:b w:val="0"/>
          <w:bCs w:val="0"/>
          <w:color w:val="auto"/>
        </w:rPr>
        <w:t>个人诚信体系建设</w:t>
      </w:r>
      <w:bookmarkEnd w:id="56"/>
      <w:bookmarkEnd w:id="57"/>
      <w:bookmarkEnd w:id="58"/>
      <w:bookmarkEnd w:id="59"/>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仿宋_GB2312" w:cs="仿宋_GB2312"/>
          <w:color w:val="auto"/>
        </w:rPr>
      </w:pPr>
      <w:r>
        <w:rPr>
          <w:rFonts w:hint="eastAsia" w:ascii="Times New Roman" w:hAnsi="Times New Roman" w:eastAsia="仿宋_GB2312" w:cs="仿宋_GB2312"/>
          <w:color w:val="auto"/>
        </w:rPr>
        <w:t>以培育和践行社会主义核心价值观为根本，全面加强个人诚信体系建设，弘扬诚信传统美德，增强社会成员诚信意识，让诚信成为全社会共同的价值追求和行为准则。</w:t>
      </w:r>
      <w:bookmarkStart w:id="60" w:name="_Toc23124"/>
      <w:bookmarkStart w:id="61" w:name="_Toc10458"/>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2"/>
        <w:rPr>
          <w:rFonts w:hint="eastAsia" w:ascii="Times New Roman" w:hAnsi="Times New Roman" w:eastAsia="仿宋_GB2312" w:cs="仿宋_GB2312"/>
          <w:b/>
          <w:bCs/>
          <w:color w:val="auto"/>
          <w:lang w:val="en-US" w:eastAsia="zh-CN"/>
        </w:rPr>
      </w:pPr>
      <w:bookmarkStart w:id="62" w:name="_Toc3249"/>
      <w:r>
        <w:rPr>
          <w:rFonts w:hint="eastAsia" w:ascii="Times New Roman" w:hAnsi="Times New Roman" w:eastAsia="仿宋_GB2312" w:cs="仿宋_GB2312"/>
          <w:b/>
          <w:bCs/>
          <w:color w:val="auto"/>
          <w:lang w:val="en-US" w:eastAsia="zh-CN"/>
        </w:rPr>
        <w:t>1.加强诚信文化建设</w:t>
      </w:r>
      <w:bookmarkEnd w:id="60"/>
      <w:bookmarkEnd w:id="61"/>
      <w:bookmarkEnd w:id="62"/>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楷体_GB2312" w:cs="楷体_GB2312"/>
          <w:color w:val="auto"/>
        </w:rPr>
      </w:pPr>
      <w:r>
        <w:rPr>
          <w:rFonts w:hint="eastAsia" w:ascii="Times New Roman" w:hAnsi="Times New Roman" w:eastAsia="仿宋_GB2312" w:cs="仿宋_GB2312"/>
          <w:color w:val="auto"/>
        </w:rPr>
        <w:t>鼓励各领域开展“诚信模范”“诚信好人”“诚信标兵”等诚信典型评选</w:t>
      </w:r>
      <w:r>
        <w:rPr>
          <w:rFonts w:hint="eastAsia" w:ascii="Times New Roman" w:hAnsi="Times New Roman" w:eastAsia="仿宋_GB2312" w:cs="仿宋_GB2312"/>
          <w:color w:val="auto"/>
          <w:lang w:eastAsia="zh-CN"/>
        </w:rPr>
        <w:t>；</w:t>
      </w:r>
      <w:r>
        <w:rPr>
          <w:rFonts w:hint="eastAsia" w:ascii="Times New Roman" w:hAnsi="Times New Roman" w:eastAsia="仿宋_GB2312" w:cs="仿宋_GB2312"/>
          <w:color w:val="auto"/>
        </w:rPr>
        <w:t>广泛开展诚信宣传</w:t>
      </w:r>
      <w:r>
        <w:rPr>
          <w:rFonts w:hint="eastAsia" w:ascii="Times New Roman" w:hAnsi="Times New Roman" w:eastAsia="仿宋_GB2312" w:cs="仿宋_GB2312"/>
          <w:color w:val="auto"/>
          <w:lang w:eastAsia="zh-CN"/>
        </w:rPr>
        <w:t>，</w:t>
      </w:r>
      <w:r>
        <w:rPr>
          <w:rFonts w:hint="eastAsia" w:ascii="Times New Roman" w:hAnsi="Times New Roman" w:eastAsia="仿宋_GB2312" w:cs="仿宋_GB2312"/>
          <w:color w:val="auto"/>
        </w:rPr>
        <w:t>结合春节、国际消费者权益日、劳动节、网络诚信宣传日、全国信用记录关爱日、诚信兴商宣传月、国庆节、国家宪法日暨全国法制宣传日和基层换届选举等重要时间节点和法定节假日，集中宣传信用政策法规、信用知识和典型案例</w:t>
      </w:r>
      <w:r>
        <w:rPr>
          <w:rFonts w:hint="eastAsia" w:ascii="Times New Roman" w:hAnsi="Times New Roman" w:eastAsia="仿宋_GB2312" w:cs="仿宋_GB2312"/>
          <w:color w:val="auto"/>
          <w:lang w:eastAsia="zh-CN"/>
        </w:rPr>
        <w:t>，</w:t>
      </w:r>
      <w:r>
        <w:rPr>
          <w:rFonts w:hint="eastAsia" w:ascii="Times New Roman" w:hAnsi="Times New Roman" w:eastAsia="仿宋_GB2312" w:cs="仿宋_GB2312"/>
          <w:color w:val="auto"/>
          <w:lang w:val="en-US" w:eastAsia="zh-CN"/>
        </w:rPr>
        <w:t>通过</w:t>
      </w:r>
      <w:r>
        <w:rPr>
          <w:rFonts w:hint="eastAsia" w:ascii="Times New Roman" w:hAnsi="Times New Roman" w:cs="仿宋_GB2312"/>
          <w:color w:val="auto"/>
          <w:lang w:eastAsia="zh-CN"/>
        </w:rPr>
        <w:t>各类</w:t>
      </w:r>
      <w:r>
        <w:rPr>
          <w:rFonts w:hint="eastAsia" w:ascii="Times New Roman" w:hAnsi="Times New Roman" w:eastAsia="仿宋_GB2312" w:cs="仿宋_GB2312"/>
          <w:color w:val="auto"/>
        </w:rPr>
        <w:t>媒体，积极推介诚信典型</w:t>
      </w:r>
      <w:r>
        <w:rPr>
          <w:rFonts w:hint="eastAsia" w:ascii="Times New Roman" w:hAnsi="Times New Roman" w:eastAsia="仿宋_GB2312" w:cs="仿宋_GB2312"/>
          <w:color w:val="auto"/>
          <w:lang w:eastAsia="zh-CN"/>
        </w:rPr>
        <w:t>；</w:t>
      </w:r>
      <w:r>
        <w:rPr>
          <w:rFonts w:hint="eastAsia" w:ascii="Times New Roman" w:hAnsi="Times New Roman" w:eastAsia="仿宋_GB2312" w:cs="仿宋_GB2312"/>
          <w:color w:val="auto"/>
        </w:rPr>
        <w:t>推动诚信教育进教材、进课堂，全面加强校园诚信教育。</w:t>
      </w:r>
      <w:r>
        <w:rPr>
          <w:rFonts w:hint="eastAsia" w:ascii="Times New Roman" w:hAnsi="Times New Roman" w:cs="仿宋_GB2312"/>
          <w:color w:val="auto"/>
          <w:lang w:val="en-US" w:eastAsia="zh-CN"/>
        </w:rPr>
        <w:t>（</w:t>
      </w:r>
      <w:r>
        <w:rPr>
          <w:rFonts w:hint="eastAsia" w:ascii="Times New Roman" w:hAnsi="Times New Roman" w:eastAsia="楷体_GB2312" w:cs="楷体_GB2312"/>
          <w:color w:val="auto"/>
        </w:rPr>
        <w:t>责任</w:t>
      </w:r>
      <w:r>
        <w:rPr>
          <w:rFonts w:hint="eastAsia" w:ascii="Times New Roman" w:hAnsi="Times New Roman" w:eastAsia="楷体_GB2312" w:cs="楷体_GB2312"/>
          <w:color w:val="auto"/>
          <w:lang w:val="en-US" w:eastAsia="zh-CN"/>
        </w:rPr>
        <w:t>单位</w:t>
      </w:r>
      <w:r>
        <w:rPr>
          <w:rFonts w:hint="eastAsia" w:ascii="Times New Roman" w:hAnsi="Times New Roman" w:eastAsia="楷体_GB2312" w:cs="楷体_GB2312"/>
          <w:color w:val="auto"/>
        </w:rPr>
        <w:t>：区委宣传部</w:t>
      </w:r>
      <w:r>
        <w:rPr>
          <w:rFonts w:hint="eastAsia" w:ascii="Times New Roman" w:hAnsi="Times New Roman" w:eastAsia="楷体_GB2312" w:cs="楷体_GB2312"/>
          <w:color w:val="auto"/>
          <w:lang w:val="en-US" w:eastAsia="zh-CN"/>
        </w:rPr>
        <w:t>牵头，区市场监管局、区司法局、区教育体育局、</w:t>
      </w:r>
      <w:r>
        <w:rPr>
          <w:rFonts w:hint="eastAsia" w:ascii="Times New Roman" w:hAnsi="Times New Roman" w:eastAsia="楷体_GB2312" w:cs="楷体_GB2312"/>
          <w:color w:val="auto"/>
          <w:lang w:eastAsia="zh-CN"/>
        </w:rPr>
        <w:t>各镇办、</w:t>
      </w:r>
      <w:r>
        <w:rPr>
          <w:rFonts w:hint="eastAsia" w:ascii="Times New Roman" w:hAnsi="Times New Roman" w:eastAsia="楷体_GB2312" w:cs="楷体_GB2312"/>
          <w:color w:val="auto"/>
        </w:rPr>
        <w:t>区直相关部门配合</w:t>
      </w:r>
      <w:r>
        <w:rPr>
          <w:rFonts w:hint="eastAsia" w:ascii="Times New Roman" w:hAnsi="Times New Roman" w:eastAsia="楷体_GB2312" w:cs="楷体_GB2312"/>
          <w:color w:val="auto"/>
          <w:lang w:eastAsia="zh-CN"/>
        </w:rPr>
        <w:t>；</w:t>
      </w:r>
      <w:r>
        <w:rPr>
          <w:rFonts w:hint="eastAsia" w:ascii="Times New Roman" w:hAnsi="Times New Roman" w:eastAsia="楷体_GB2312" w:cs="楷体_GB2312"/>
          <w:color w:val="auto"/>
          <w:lang w:val="en-US" w:eastAsia="zh-CN"/>
        </w:rPr>
        <w:t>完成时间：实时推进</w:t>
      </w:r>
      <w:r>
        <w:rPr>
          <w:rFonts w:hint="eastAsia" w:ascii="Times New Roman" w:hAnsi="Times New Roman" w:cs="仿宋_GB2312"/>
          <w:color w:val="auto"/>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2"/>
        <w:rPr>
          <w:rFonts w:hint="eastAsia" w:ascii="Times New Roman" w:hAnsi="Times New Roman" w:eastAsia="仿宋_GB2312" w:cs="仿宋_GB2312"/>
          <w:b/>
          <w:bCs/>
          <w:color w:val="auto"/>
        </w:rPr>
      </w:pPr>
      <w:bookmarkStart w:id="63" w:name="_Toc26125"/>
      <w:bookmarkStart w:id="64" w:name="_Toc13741"/>
      <w:bookmarkStart w:id="65" w:name="_Toc24850"/>
      <w:r>
        <w:rPr>
          <w:rFonts w:hint="eastAsia" w:ascii="Times New Roman" w:hAnsi="Times New Roman" w:eastAsia="仿宋_GB2312" w:cs="仿宋_GB2312"/>
          <w:b/>
          <w:bCs/>
          <w:color w:val="auto"/>
          <w:lang w:val="en-US" w:eastAsia="zh-CN"/>
        </w:rPr>
        <w:t>2.</w:t>
      </w:r>
      <w:bookmarkEnd w:id="63"/>
      <w:bookmarkEnd w:id="64"/>
      <w:bookmarkStart w:id="66" w:name="_Toc7689"/>
      <w:bookmarkStart w:id="67" w:name="_Toc22339"/>
      <w:r>
        <w:rPr>
          <w:rFonts w:hint="eastAsia" w:ascii="Times New Roman" w:hAnsi="Times New Roman" w:eastAsia="仿宋_GB2312" w:cs="仿宋_GB2312"/>
          <w:b/>
          <w:bCs/>
          <w:color w:val="auto"/>
        </w:rPr>
        <w:t>建立个人信用积分体系</w:t>
      </w:r>
      <w:bookmarkEnd w:id="65"/>
      <w:bookmarkEnd w:id="66"/>
      <w:bookmarkEnd w:id="67"/>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楷体_GB2312" w:cs="楷体_GB2312"/>
          <w:color w:val="auto"/>
          <w:lang w:eastAsia="zh-CN"/>
        </w:rPr>
      </w:pPr>
      <w:r>
        <w:rPr>
          <w:rFonts w:hint="eastAsia" w:ascii="Times New Roman" w:hAnsi="Times New Roman" w:eastAsia="仿宋_GB2312" w:cs="仿宋_GB2312"/>
          <w:color w:val="auto"/>
          <w:lang w:eastAsia="zh-CN"/>
        </w:rPr>
        <w:t>严格依法依规，在</w:t>
      </w:r>
      <w:r>
        <w:rPr>
          <w:rFonts w:hint="eastAsia" w:ascii="Times New Roman" w:hAnsi="Times New Roman" w:eastAsia="仿宋_GB2312" w:cs="仿宋_GB2312"/>
          <w:color w:val="auto"/>
        </w:rPr>
        <w:t>保护个人</w:t>
      </w:r>
      <w:r>
        <w:rPr>
          <w:rFonts w:hint="eastAsia" w:ascii="Times New Roman" w:hAnsi="Times New Roman" w:eastAsia="仿宋_GB2312" w:cs="仿宋_GB2312"/>
          <w:color w:val="auto"/>
          <w:lang w:eastAsia="zh-CN"/>
        </w:rPr>
        <w:t>信息安全</w:t>
      </w:r>
      <w:r>
        <w:rPr>
          <w:rFonts w:hint="eastAsia" w:ascii="Times New Roman" w:hAnsi="Times New Roman" w:eastAsia="仿宋_GB2312" w:cs="仿宋_GB2312"/>
          <w:color w:val="auto"/>
          <w:lang w:val="en-US" w:eastAsia="zh-CN"/>
        </w:rPr>
        <w:t>前提下，</w:t>
      </w:r>
      <w:r>
        <w:rPr>
          <w:rFonts w:hint="eastAsia" w:ascii="Times New Roman" w:hAnsi="Times New Roman" w:eastAsia="仿宋_GB2312" w:cs="仿宋_GB2312"/>
          <w:color w:val="auto"/>
        </w:rPr>
        <w:t>研究制定</w:t>
      </w:r>
      <w:r>
        <w:rPr>
          <w:rFonts w:hint="eastAsia" w:ascii="Times New Roman" w:hAnsi="Times New Roman" w:cs="仿宋_GB2312"/>
          <w:color w:val="auto"/>
          <w:lang w:eastAsia="zh-CN"/>
        </w:rPr>
        <w:t>《</w:t>
      </w:r>
      <w:r>
        <w:rPr>
          <w:rFonts w:hint="eastAsia" w:ascii="Times New Roman" w:hAnsi="Times New Roman" w:eastAsia="仿宋_GB2312" w:cs="仿宋_GB2312"/>
          <w:color w:val="auto"/>
          <w:lang w:eastAsia="zh-CN"/>
        </w:rPr>
        <w:t>张店区</w:t>
      </w:r>
      <w:r>
        <w:rPr>
          <w:rFonts w:hint="eastAsia" w:ascii="Times New Roman" w:hAnsi="Times New Roman" w:eastAsia="仿宋_GB2312" w:cs="仿宋_GB2312"/>
          <w:color w:val="auto"/>
        </w:rPr>
        <w:t>个人诚信积分</w:t>
      </w:r>
      <w:r>
        <w:rPr>
          <w:rFonts w:hint="eastAsia" w:ascii="Times New Roman" w:hAnsi="Times New Roman" w:eastAsia="仿宋_GB2312" w:cs="仿宋_GB2312"/>
          <w:color w:val="auto"/>
          <w:lang w:eastAsia="zh-CN"/>
        </w:rPr>
        <w:t>（爱张店·诚信分）</w:t>
      </w:r>
      <w:r>
        <w:rPr>
          <w:rFonts w:hint="eastAsia" w:ascii="Times New Roman" w:hAnsi="Times New Roman" w:eastAsia="仿宋_GB2312" w:cs="仿宋_GB2312"/>
          <w:color w:val="auto"/>
        </w:rPr>
        <w:t>管理</w:t>
      </w:r>
      <w:r>
        <w:rPr>
          <w:rFonts w:hint="eastAsia" w:ascii="Times New Roman" w:hAnsi="Times New Roman" w:eastAsia="仿宋_GB2312" w:cs="仿宋_GB2312"/>
          <w:color w:val="auto"/>
          <w:lang w:eastAsia="zh-CN"/>
        </w:rPr>
        <w:t>实施方案（试行）</w:t>
      </w:r>
      <w:r>
        <w:rPr>
          <w:rFonts w:hint="eastAsia" w:ascii="Times New Roman" w:hAnsi="Times New Roman" w:cs="仿宋_GB2312"/>
          <w:color w:val="auto"/>
          <w:lang w:eastAsia="zh-CN"/>
        </w:rPr>
        <w:t>》</w:t>
      </w:r>
      <w:r>
        <w:rPr>
          <w:rFonts w:hint="eastAsia" w:ascii="Times New Roman" w:hAnsi="Times New Roman" w:eastAsia="仿宋_GB2312" w:cs="仿宋_GB2312"/>
          <w:color w:val="auto"/>
        </w:rPr>
        <w:t>，明确个人信用评价标准和信用积分方式。以区</w:t>
      </w:r>
      <w:r>
        <w:rPr>
          <w:rFonts w:hint="eastAsia" w:ascii="Times New Roman" w:hAnsi="Times New Roman" w:cs="仿宋_GB2312"/>
          <w:color w:val="auto"/>
          <w:lang w:eastAsia="zh-CN"/>
        </w:rPr>
        <w:t>公共</w:t>
      </w:r>
      <w:r>
        <w:rPr>
          <w:rFonts w:hint="eastAsia" w:ascii="Times New Roman" w:hAnsi="Times New Roman" w:eastAsia="仿宋_GB2312" w:cs="仿宋_GB2312"/>
          <w:color w:val="auto"/>
        </w:rPr>
        <w:t>信用信息平台为依托，实现个人信用信息的全面汇总，坚持正向激励导向，构建科学、合理、公正的个人信用评价模型，完成信用赋分。</w:t>
      </w:r>
      <w:r>
        <w:rPr>
          <w:rFonts w:hint="eastAsia" w:ascii="Times New Roman" w:hAnsi="Times New Roman" w:cs="仿宋_GB2312"/>
          <w:color w:val="auto"/>
          <w:lang w:val="en-US" w:eastAsia="zh-CN"/>
        </w:rPr>
        <w:t>（</w:t>
      </w:r>
      <w:r>
        <w:rPr>
          <w:rFonts w:hint="eastAsia" w:ascii="Times New Roman" w:hAnsi="Times New Roman" w:eastAsia="楷体_GB2312" w:cs="楷体_GB2312"/>
          <w:color w:val="auto"/>
        </w:rPr>
        <w:t>责任单位：</w:t>
      </w:r>
      <w:r>
        <w:rPr>
          <w:rFonts w:hint="eastAsia" w:ascii="Times New Roman" w:hAnsi="Times New Roman" w:eastAsia="楷体_GB2312" w:cs="楷体_GB2312"/>
          <w:color w:val="auto"/>
          <w:lang w:val="en-US" w:eastAsia="zh-CN"/>
        </w:rPr>
        <w:t>区委宣传部牵头，</w:t>
      </w:r>
      <w:r>
        <w:rPr>
          <w:rFonts w:hint="eastAsia" w:ascii="Times New Roman" w:hAnsi="Times New Roman" w:eastAsia="楷体_GB2312" w:cs="楷体_GB2312"/>
          <w:color w:val="auto"/>
        </w:rPr>
        <w:t>各镇</w:t>
      </w:r>
      <w:r>
        <w:rPr>
          <w:rFonts w:hint="eastAsia" w:ascii="Times New Roman" w:hAnsi="Times New Roman" w:eastAsia="楷体_GB2312" w:cs="楷体_GB2312"/>
          <w:color w:val="auto"/>
          <w:lang w:eastAsia="zh-CN"/>
        </w:rPr>
        <w:t>办、</w:t>
      </w:r>
      <w:r>
        <w:rPr>
          <w:rFonts w:hint="eastAsia" w:ascii="Times New Roman" w:hAnsi="Times New Roman" w:eastAsia="楷体_GB2312" w:cs="楷体_GB2312"/>
          <w:color w:val="auto"/>
        </w:rPr>
        <w:t>区直相关</w:t>
      </w:r>
      <w:r>
        <w:rPr>
          <w:rFonts w:hint="eastAsia" w:ascii="Times New Roman" w:hAnsi="Times New Roman" w:eastAsia="楷体_GB2312" w:cs="楷体_GB2312"/>
          <w:color w:val="auto"/>
          <w:sz w:val="32"/>
        </w:rPr>
        <w:t>部门配合</w:t>
      </w:r>
      <w:r>
        <w:rPr>
          <w:rFonts w:hint="eastAsia" w:ascii="Times New Roman" w:hAnsi="Times New Roman" w:eastAsia="楷体_GB2312" w:cs="楷体_GB2312"/>
          <w:color w:val="auto"/>
          <w:sz w:val="32"/>
          <w:lang w:eastAsia="zh-CN"/>
        </w:rPr>
        <w:t>；</w:t>
      </w:r>
      <w:r>
        <w:rPr>
          <w:rFonts w:hint="eastAsia" w:ascii="Times New Roman" w:hAnsi="Times New Roman" w:eastAsia="楷体_GB2312" w:cs="楷体_GB2312"/>
          <w:color w:val="auto"/>
          <w:sz w:val="32"/>
          <w:lang w:val="en-US" w:eastAsia="zh-CN"/>
        </w:rPr>
        <w:t>完成时间：2021年12月</w:t>
      </w:r>
      <w:bookmarkStart w:id="68" w:name="_Toc27318"/>
      <w:bookmarkStart w:id="69" w:name="_Toc16879"/>
      <w:bookmarkStart w:id="70" w:name="_Toc22318"/>
      <w:r>
        <w:rPr>
          <w:rFonts w:hint="eastAsia" w:ascii="Times New Roman" w:hAnsi="Times New Roman" w:cs="仿宋_GB2312"/>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仿宋_GB2312" w:cs="仿宋_GB2312"/>
          <w:b/>
          <w:bCs/>
          <w:color w:val="auto"/>
        </w:rPr>
      </w:pPr>
      <w:r>
        <w:rPr>
          <w:rFonts w:hint="eastAsia" w:ascii="Times New Roman" w:hAnsi="Times New Roman" w:cs="仿宋_GB2312"/>
          <w:b/>
          <w:bCs/>
          <w:color w:val="auto"/>
          <w:lang w:val="en-US" w:eastAsia="zh-CN"/>
        </w:rPr>
        <w:t>3</w:t>
      </w:r>
      <w:r>
        <w:rPr>
          <w:rFonts w:hint="eastAsia" w:ascii="Times New Roman" w:hAnsi="Times New Roman" w:eastAsia="仿宋_GB2312" w:cs="仿宋_GB2312"/>
          <w:b/>
          <w:bCs/>
          <w:color w:val="auto"/>
        </w:rPr>
        <w:t>.完善个人守信激励机制</w:t>
      </w:r>
      <w:bookmarkEnd w:id="68"/>
      <w:bookmarkEnd w:id="69"/>
      <w:bookmarkEnd w:id="7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楷体_GB2312" w:cs="楷体_GB2312"/>
          <w:color w:val="auto"/>
        </w:rPr>
      </w:pPr>
      <w:r>
        <w:rPr>
          <w:rFonts w:hint="eastAsia" w:ascii="Times New Roman" w:hAnsi="Times New Roman" w:cs="仿宋_GB2312"/>
          <w:color w:val="auto"/>
          <w:lang w:val="en-US" w:eastAsia="zh-CN"/>
        </w:rPr>
        <w:t>区</w:t>
      </w:r>
      <w:r>
        <w:rPr>
          <w:rFonts w:hint="eastAsia" w:ascii="Times New Roman" w:hAnsi="Times New Roman" w:eastAsia="仿宋_GB2312" w:cs="仿宋_GB2312"/>
          <w:color w:val="auto"/>
          <w:lang w:val="en-US" w:eastAsia="zh-CN"/>
        </w:rPr>
        <w:t>各</w:t>
      </w:r>
      <w:r>
        <w:rPr>
          <w:rFonts w:hint="eastAsia" w:ascii="Times New Roman" w:hAnsi="Times New Roman" w:eastAsia="仿宋_GB2312" w:cs="仿宋_GB2312"/>
          <w:color w:val="auto"/>
        </w:rPr>
        <w:t>有关部门结合自身职能，研究</w:t>
      </w:r>
      <w:r>
        <w:rPr>
          <w:rFonts w:hint="eastAsia" w:ascii="Times New Roman" w:hAnsi="Times New Roman" w:cs="仿宋_GB2312"/>
          <w:color w:val="auto"/>
          <w:lang w:val="en-US" w:eastAsia="zh-CN"/>
        </w:rPr>
        <w:t>制定</w:t>
      </w:r>
      <w:r>
        <w:rPr>
          <w:rFonts w:hint="eastAsia" w:ascii="Times New Roman" w:hAnsi="Times New Roman" w:eastAsia="仿宋_GB2312" w:cs="仿宋_GB2312"/>
          <w:color w:val="auto"/>
        </w:rPr>
        <w:t>本部门个人诚信积分激励措施实施细则，积极探索个人诚信积分惠民应用措施</w:t>
      </w:r>
      <w:r>
        <w:rPr>
          <w:rFonts w:hint="eastAsia" w:ascii="Times New Roman" w:hAnsi="Times New Roman" w:eastAsia="仿宋_GB2312" w:cs="仿宋_GB2312"/>
          <w:color w:val="auto"/>
          <w:lang w:eastAsia="zh-CN"/>
        </w:rPr>
        <w:t>。</w:t>
      </w:r>
      <w:r>
        <w:rPr>
          <w:rFonts w:hint="eastAsia" w:ascii="Times New Roman" w:hAnsi="Times New Roman" w:eastAsia="仿宋_GB2312" w:cs="仿宋_GB2312"/>
          <w:color w:val="auto"/>
        </w:rPr>
        <w:t>对具有优良信用记录的个人，在教育医疗、就业创业、文化生活服务、社会保障等领域给予优先支持或重点支持，</w:t>
      </w:r>
      <w:r>
        <w:rPr>
          <w:rFonts w:hint="eastAsia" w:ascii="Times New Roman" w:hAnsi="Times New Roman" w:cs="仿宋_GB2312"/>
          <w:color w:val="auto"/>
          <w:lang w:val="en-US" w:eastAsia="zh-CN"/>
        </w:rPr>
        <w:t>全</w:t>
      </w:r>
      <w:r>
        <w:rPr>
          <w:rFonts w:hint="eastAsia" w:ascii="Times New Roman" w:hAnsi="Times New Roman" w:eastAsia="仿宋_GB2312" w:cs="仿宋_GB2312"/>
          <w:color w:val="auto"/>
        </w:rPr>
        <w:t>力提供更多便利服务。在办理行政许可过程中，可根据实际情况依法采取“绿色通道”和“容缺受理”等便利服务措施。</w:t>
      </w:r>
      <w:r>
        <w:rPr>
          <w:rFonts w:hint="eastAsia" w:ascii="Times New Roman" w:hAnsi="Times New Roman" w:cs="仿宋_GB2312"/>
          <w:color w:val="auto"/>
          <w:lang w:val="en-US" w:eastAsia="zh-CN"/>
        </w:rPr>
        <w:t>（</w:t>
      </w:r>
      <w:r>
        <w:rPr>
          <w:rFonts w:hint="eastAsia" w:ascii="Times New Roman" w:hAnsi="Times New Roman" w:eastAsia="楷体_GB2312" w:cs="楷体_GB2312"/>
          <w:color w:val="auto"/>
        </w:rPr>
        <w:t>责任单位：</w:t>
      </w:r>
      <w:r>
        <w:rPr>
          <w:rFonts w:hint="eastAsia" w:ascii="Times New Roman" w:hAnsi="Times New Roman" w:eastAsia="楷体_GB2312" w:cs="楷体_GB2312"/>
          <w:color w:val="auto"/>
          <w:lang w:val="en-US" w:eastAsia="zh-CN"/>
        </w:rPr>
        <w:t>区委宣传部牵头，</w:t>
      </w:r>
      <w:r>
        <w:rPr>
          <w:rFonts w:hint="eastAsia" w:ascii="Times New Roman" w:hAnsi="Times New Roman" w:eastAsia="楷体_GB2312" w:cs="楷体_GB2312"/>
          <w:color w:val="auto"/>
          <w:lang w:eastAsia="zh-CN"/>
        </w:rPr>
        <w:t>各镇办、</w:t>
      </w:r>
      <w:r>
        <w:rPr>
          <w:rFonts w:hint="eastAsia" w:ascii="Times New Roman" w:hAnsi="Times New Roman" w:eastAsia="楷体_GB2312" w:cs="楷体_GB2312"/>
          <w:color w:val="auto"/>
        </w:rPr>
        <w:t>区直相关部门配合</w:t>
      </w:r>
      <w:r>
        <w:rPr>
          <w:rFonts w:hint="eastAsia" w:ascii="Times New Roman" w:hAnsi="Times New Roman" w:eastAsia="楷体_GB2312" w:cs="楷体_GB2312"/>
          <w:color w:val="auto"/>
          <w:lang w:eastAsia="zh-CN"/>
        </w:rPr>
        <w:t>；</w:t>
      </w:r>
      <w:r>
        <w:rPr>
          <w:rFonts w:hint="eastAsia" w:ascii="Times New Roman" w:hAnsi="Times New Roman" w:eastAsia="楷体_GB2312" w:cs="楷体_GB2312"/>
          <w:color w:val="auto"/>
          <w:lang w:val="en-US" w:eastAsia="zh-CN"/>
        </w:rPr>
        <w:t>完成时间：实时推进</w:t>
      </w:r>
      <w:r>
        <w:rPr>
          <w:rFonts w:hint="eastAsia" w:ascii="Times New Roman" w:hAnsi="Times New Roman" w:cs="仿宋_GB2312"/>
          <w:color w:val="auto"/>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2"/>
        <w:rPr>
          <w:rFonts w:hint="eastAsia" w:ascii="Times New Roman" w:hAnsi="Times New Roman" w:eastAsia="仿宋_GB2312" w:cs="仿宋_GB2312"/>
          <w:color w:val="auto"/>
        </w:rPr>
      </w:pPr>
      <w:bookmarkStart w:id="71" w:name="_Toc17565"/>
      <w:bookmarkStart w:id="72" w:name="_Toc16718"/>
      <w:bookmarkStart w:id="73" w:name="_Toc6775"/>
      <w:r>
        <w:rPr>
          <w:rFonts w:hint="eastAsia" w:ascii="Times New Roman" w:hAnsi="Times New Roman" w:cs="仿宋_GB2312"/>
          <w:b/>
          <w:bCs/>
          <w:color w:val="auto"/>
          <w:lang w:val="en-US" w:eastAsia="zh-CN"/>
        </w:rPr>
        <w:t>4</w:t>
      </w:r>
      <w:r>
        <w:rPr>
          <w:rFonts w:hint="eastAsia" w:ascii="Times New Roman" w:hAnsi="Times New Roman" w:eastAsia="仿宋_GB2312" w:cs="仿宋_GB2312"/>
          <w:b/>
          <w:bCs/>
          <w:color w:val="auto"/>
        </w:rPr>
        <w:t>.完善个人信息安全、权益保护与信用修复机制</w:t>
      </w:r>
      <w:bookmarkEnd w:id="71"/>
      <w:bookmarkEnd w:id="72"/>
      <w:bookmarkEnd w:id="73"/>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楷体_GB2312" w:cs="楷体_GB2312"/>
          <w:color w:val="auto"/>
          <w:sz w:val="32"/>
        </w:rPr>
      </w:pPr>
      <w:r>
        <w:rPr>
          <w:rFonts w:hint="eastAsia" w:ascii="Times New Roman" w:hAnsi="Times New Roman" w:eastAsia="仿宋_GB2312" w:cs="仿宋_GB2312"/>
          <w:color w:val="auto"/>
        </w:rPr>
        <w:t>规范个人信用信息查询，防止信息泄露</w:t>
      </w:r>
      <w:r>
        <w:rPr>
          <w:rFonts w:hint="eastAsia" w:ascii="Times New Roman" w:hAnsi="Times New Roman" w:cs="仿宋_GB2312"/>
          <w:color w:val="auto"/>
          <w:lang w:eastAsia="zh-CN"/>
        </w:rPr>
        <w:t>。</w:t>
      </w:r>
      <w:r>
        <w:rPr>
          <w:rFonts w:hint="eastAsia" w:ascii="Times New Roman" w:hAnsi="Times New Roman" w:eastAsia="仿宋_GB2312" w:cs="仿宋_GB2312"/>
          <w:color w:val="auto"/>
        </w:rPr>
        <w:t>建立个人公共信用信息纠错、修复机制，建立健全异议处理、投诉制度及操作细则，明确各类公共信用信息公示期限。畅通信用修复渠道，丰富信用修复方式，鼓励通过按时履约、志愿服务、慈善捐助等社会公益服务形式修复个人信用。</w:t>
      </w:r>
      <w:r>
        <w:rPr>
          <w:rFonts w:hint="eastAsia" w:ascii="Times New Roman" w:hAnsi="Times New Roman" w:cs="仿宋_GB2312"/>
          <w:color w:val="auto"/>
          <w:lang w:val="en-US" w:eastAsia="zh-CN"/>
        </w:rPr>
        <w:t>（</w:t>
      </w:r>
      <w:r>
        <w:rPr>
          <w:rFonts w:hint="eastAsia" w:ascii="Times New Roman" w:hAnsi="Times New Roman" w:eastAsia="楷体_GB2312" w:cs="楷体_GB2312"/>
          <w:color w:val="auto"/>
          <w:sz w:val="32"/>
        </w:rPr>
        <w:t>责任单位：</w:t>
      </w:r>
      <w:r>
        <w:rPr>
          <w:rFonts w:hint="eastAsia" w:ascii="Times New Roman" w:hAnsi="Times New Roman" w:eastAsia="楷体_GB2312" w:cs="楷体_GB2312"/>
          <w:color w:val="auto"/>
          <w:sz w:val="32"/>
          <w:lang w:val="en-US" w:eastAsia="zh-CN"/>
        </w:rPr>
        <w:t>区委宣传部牵头，</w:t>
      </w:r>
      <w:r>
        <w:rPr>
          <w:rFonts w:hint="eastAsia" w:ascii="Times New Roman" w:hAnsi="Times New Roman" w:eastAsia="楷体_GB2312" w:cs="楷体_GB2312"/>
          <w:color w:val="auto"/>
          <w:sz w:val="32"/>
        </w:rPr>
        <w:t>张店公安分局、</w:t>
      </w:r>
      <w:r>
        <w:rPr>
          <w:rFonts w:hint="eastAsia" w:ascii="Times New Roman" w:hAnsi="Times New Roman" w:eastAsia="楷体_GB2312" w:cs="楷体_GB2312"/>
          <w:color w:val="auto"/>
          <w:sz w:val="32"/>
          <w:lang w:eastAsia="zh-CN"/>
        </w:rPr>
        <w:t>各镇办、</w:t>
      </w:r>
      <w:r>
        <w:rPr>
          <w:rFonts w:hint="eastAsia" w:ascii="Times New Roman" w:hAnsi="Times New Roman" w:eastAsia="楷体_GB2312" w:cs="楷体_GB2312"/>
          <w:color w:val="auto"/>
          <w:sz w:val="32"/>
        </w:rPr>
        <w:t>区直相关部门配合</w:t>
      </w:r>
      <w:r>
        <w:rPr>
          <w:rFonts w:hint="eastAsia" w:ascii="Times New Roman" w:hAnsi="Times New Roman" w:eastAsia="楷体_GB2312" w:cs="楷体_GB2312"/>
          <w:color w:val="auto"/>
          <w:sz w:val="32"/>
          <w:lang w:eastAsia="zh-CN"/>
        </w:rPr>
        <w:t>；</w:t>
      </w:r>
      <w:r>
        <w:rPr>
          <w:rFonts w:hint="eastAsia" w:ascii="Times New Roman" w:hAnsi="Times New Roman" w:eastAsia="楷体_GB2312" w:cs="楷体_GB2312"/>
          <w:color w:val="auto"/>
          <w:sz w:val="32"/>
          <w:lang w:val="en-US" w:eastAsia="zh-CN"/>
        </w:rPr>
        <w:t>完成时间：</w:t>
      </w:r>
      <w:r>
        <w:rPr>
          <w:rFonts w:hint="eastAsia" w:ascii="Times New Roman" w:hAnsi="Times New Roman" w:eastAsia="楷体_GB2312" w:cs="楷体_GB2312"/>
          <w:color w:val="auto"/>
          <w:lang w:val="en-US" w:eastAsia="zh-CN"/>
        </w:rPr>
        <w:t>实时推进</w:t>
      </w:r>
      <w:r>
        <w:rPr>
          <w:rFonts w:hint="eastAsia" w:ascii="Times New Roman" w:hAnsi="Times New Roman" w:cs="仿宋_GB2312"/>
          <w:color w:val="auto"/>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楷体_GB2312" w:cs="楷体_GB2312"/>
          <w:b w:val="0"/>
          <w:bCs w:val="0"/>
        </w:rPr>
      </w:pPr>
      <w:r>
        <w:rPr>
          <w:rFonts w:hint="eastAsia" w:ascii="Times New Roman" w:hAnsi="Times New Roman" w:eastAsia="楷体_GB2312" w:cs="楷体_GB2312"/>
          <w:b w:val="0"/>
          <w:bCs w:val="0"/>
        </w:rPr>
        <w:t>（</w:t>
      </w:r>
      <w:r>
        <w:rPr>
          <w:rFonts w:hint="eastAsia" w:ascii="Times New Roman" w:hAnsi="Times New Roman" w:eastAsia="楷体_GB2312" w:cs="楷体_GB2312"/>
          <w:b w:val="0"/>
          <w:bCs w:val="0"/>
          <w:lang w:val="en-US" w:eastAsia="zh-CN"/>
        </w:rPr>
        <w:t>四</w:t>
      </w:r>
      <w:r>
        <w:rPr>
          <w:rFonts w:hint="eastAsia" w:ascii="Times New Roman" w:hAnsi="Times New Roman" w:eastAsia="楷体_GB2312" w:cs="楷体_GB2312"/>
          <w:b w:val="0"/>
          <w:bCs w:val="0"/>
        </w:rPr>
        <w:t>）</w:t>
      </w:r>
      <w:r>
        <w:rPr>
          <w:rFonts w:hint="eastAsia" w:ascii="Times New Roman" w:hAnsi="Times New Roman" w:eastAsia="楷体_GB2312" w:cs="楷体_GB2312"/>
          <w:b w:val="0"/>
          <w:bCs w:val="0"/>
          <w:lang w:val="en-US" w:eastAsia="zh-CN"/>
        </w:rPr>
        <w:t>完成</w:t>
      </w:r>
      <w:r>
        <w:rPr>
          <w:rFonts w:hint="eastAsia" w:ascii="Times New Roman" w:hAnsi="Times New Roman" w:eastAsia="楷体_GB2312" w:cs="楷体_GB2312"/>
          <w:b w:val="0"/>
          <w:bCs w:val="0"/>
        </w:rPr>
        <w:t>诚信示范街区创建</w:t>
      </w:r>
      <w:bookmarkEnd w:id="44"/>
      <w:bookmarkEnd w:id="45"/>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按照“政府引导、商户参与、社会监督、群众受益”的原则</w:t>
      </w:r>
      <w:r>
        <w:rPr>
          <w:rFonts w:hint="eastAsia" w:ascii="Times New Roman" w:hAnsi="Times New Roman" w:eastAsia="仿宋_GB2312" w:cs="仿宋_GB2312"/>
          <w:lang w:eastAsia="zh-CN"/>
        </w:rPr>
        <w:t>，</w:t>
      </w:r>
      <w:r>
        <w:rPr>
          <w:rFonts w:hint="eastAsia" w:ascii="Times New Roman" w:hAnsi="Times New Roman" w:eastAsia="仿宋_GB2312" w:cs="仿宋_GB2312"/>
        </w:rPr>
        <w:t>针对试点街区，开展诚信示范街区建设，实现以点带面，促进商户诚信经营。打造</w:t>
      </w:r>
      <w:r>
        <w:rPr>
          <w:rFonts w:hint="eastAsia" w:ascii="Times New Roman" w:hAnsi="Times New Roman" w:cs="仿宋_GB2312"/>
          <w:lang w:val="en-US" w:eastAsia="zh-CN"/>
        </w:rPr>
        <w:t>全</w:t>
      </w:r>
      <w:r>
        <w:rPr>
          <w:rFonts w:hint="eastAsia" w:ascii="Times New Roman" w:hAnsi="Times New Roman" w:eastAsia="仿宋_GB2312" w:cs="仿宋_GB2312"/>
        </w:rPr>
        <w:t>区诚信经营品牌，助推诚信示范街区建设成为城市诚信建设的标杆和亮丽风景。</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仿宋_GB2312" w:cs="仿宋_GB2312"/>
          <w:b/>
          <w:bCs/>
        </w:rPr>
      </w:pPr>
      <w:bookmarkStart w:id="74" w:name="_Toc12906"/>
      <w:bookmarkStart w:id="75" w:name="_Toc31190"/>
      <w:r>
        <w:rPr>
          <w:rFonts w:hint="eastAsia" w:ascii="Times New Roman" w:hAnsi="Times New Roman" w:eastAsia="仿宋_GB2312" w:cs="仿宋_GB2312"/>
          <w:b/>
          <w:bCs/>
          <w:lang w:val="en-US" w:eastAsia="zh-CN"/>
        </w:rPr>
        <w:t>1.</w:t>
      </w:r>
      <w:r>
        <w:rPr>
          <w:rFonts w:hint="eastAsia" w:ascii="Times New Roman" w:hAnsi="Times New Roman" w:eastAsia="仿宋_GB2312" w:cs="仿宋_GB2312"/>
          <w:b/>
          <w:bCs/>
        </w:rPr>
        <w:t>开展“诚信经营示范街”试点创建启动仪式</w:t>
      </w:r>
      <w:bookmarkEnd w:id="74"/>
      <w:bookmarkEnd w:id="75"/>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楷体_GB2312" w:cs="楷体_GB2312"/>
          <w:sz w:val="32"/>
        </w:rPr>
      </w:pPr>
      <w:r>
        <w:rPr>
          <w:rFonts w:hint="eastAsia" w:ascii="Times New Roman" w:hAnsi="Times New Roman" w:eastAsia="仿宋_GB2312" w:cs="仿宋_GB2312"/>
        </w:rPr>
        <w:t>在试点街区开展创建“诚信经营示范街”试点启动仪式，宣读并发放“诚信经营示范街”试点创建倡议书，签署商户诚信经营信用承诺书。</w:t>
      </w:r>
      <w:r>
        <w:rPr>
          <w:rFonts w:hint="eastAsia" w:ascii="Times New Roman" w:hAnsi="Times New Roman" w:cs="仿宋_GB2312"/>
          <w:color w:val="auto"/>
          <w:lang w:val="en-US" w:eastAsia="zh-CN"/>
        </w:rPr>
        <w:t>（</w:t>
      </w:r>
      <w:r>
        <w:rPr>
          <w:rFonts w:hint="eastAsia" w:ascii="Times New Roman" w:hAnsi="Times New Roman" w:eastAsia="楷体_GB2312" w:cs="楷体_GB2312"/>
          <w:sz w:val="32"/>
        </w:rPr>
        <w:t>责任单位：</w:t>
      </w:r>
      <w:r>
        <w:rPr>
          <w:rFonts w:hint="eastAsia" w:ascii="Times New Roman" w:hAnsi="Times New Roman" w:eastAsia="楷体_GB2312" w:cs="楷体_GB2312"/>
          <w:sz w:val="32"/>
          <w:lang w:val="en-US" w:eastAsia="zh-CN"/>
        </w:rPr>
        <w:t>区发展改革局牵头，</w:t>
      </w:r>
      <w:r>
        <w:rPr>
          <w:rFonts w:hint="eastAsia" w:ascii="Times New Roman" w:hAnsi="Times New Roman" w:eastAsia="楷体_GB2312" w:cs="楷体_GB2312"/>
          <w:sz w:val="32"/>
        </w:rPr>
        <w:t>区市场监管局、区综合行政执法局、</w:t>
      </w:r>
      <w:r>
        <w:rPr>
          <w:rFonts w:hint="eastAsia" w:ascii="Times New Roman" w:hAnsi="Times New Roman" w:eastAsia="楷体_GB2312" w:cs="楷体_GB2312"/>
          <w:sz w:val="32"/>
          <w:lang w:eastAsia="zh-CN"/>
        </w:rPr>
        <w:t>试点街区所在镇办</w:t>
      </w:r>
      <w:r>
        <w:rPr>
          <w:rFonts w:hint="eastAsia" w:ascii="Times New Roman" w:hAnsi="Times New Roman" w:eastAsia="楷体_GB2312" w:cs="楷体_GB2312"/>
          <w:sz w:val="32"/>
        </w:rPr>
        <w:t>，街区管理单位</w:t>
      </w:r>
      <w:r>
        <w:rPr>
          <w:rFonts w:hint="eastAsia" w:ascii="Times New Roman" w:hAnsi="Times New Roman" w:eastAsia="楷体_GB2312" w:cs="楷体_GB2312"/>
          <w:sz w:val="32"/>
          <w:lang w:val="en-US" w:eastAsia="zh-CN"/>
        </w:rPr>
        <w:t>配合；完成时间：2021年12月</w:t>
      </w:r>
      <w:r>
        <w:rPr>
          <w:rFonts w:hint="eastAsia" w:ascii="Times New Roman" w:hAnsi="Times New Roman" w:cs="仿宋_GB2312"/>
          <w:color w:val="auto"/>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仿宋_GB2312" w:cs="仿宋_GB2312"/>
          <w:b/>
          <w:bCs/>
        </w:rPr>
      </w:pPr>
      <w:bookmarkStart w:id="76" w:name="_Toc28582"/>
      <w:bookmarkStart w:id="77" w:name="_Toc21820"/>
      <w:r>
        <w:rPr>
          <w:rFonts w:hint="eastAsia" w:ascii="Times New Roman" w:hAnsi="Times New Roman" w:eastAsia="仿宋_GB2312" w:cs="仿宋_GB2312"/>
          <w:b/>
          <w:bCs/>
          <w:lang w:val="en-US" w:eastAsia="zh-CN"/>
        </w:rPr>
        <w:t>2</w:t>
      </w:r>
      <w:r>
        <w:rPr>
          <w:rFonts w:hint="eastAsia" w:ascii="Times New Roman" w:hAnsi="Times New Roman" w:eastAsia="仿宋_GB2312" w:cs="仿宋_GB2312"/>
          <w:b/>
          <w:bCs/>
        </w:rPr>
        <w:t>.建立商户信用档案</w:t>
      </w:r>
      <w:bookmarkEnd w:id="76"/>
      <w:bookmarkEnd w:id="77"/>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楷体_GB2312" w:cs="楷体_GB2312"/>
          <w:sz w:val="32"/>
        </w:rPr>
      </w:pPr>
      <w:r>
        <w:rPr>
          <w:rFonts w:hint="eastAsia" w:ascii="Times New Roman" w:hAnsi="Times New Roman" w:cs="仿宋_GB2312"/>
          <w:lang w:val="en-US" w:eastAsia="zh-CN"/>
        </w:rPr>
        <w:t>研究制定</w:t>
      </w:r>
      <w:r>
        <w:rPr>
          <w:rFonts w:hint="eastAsia" w:ascii="Times New Roman" w:hAnsi="Times New Roman" w:cs="仿宋_GB2312"/>
          <w:lang w:eastAsia="zh-CN"/>
        </w:rPr>
        <w:t>《张店区“诚信经营示范街”试点创建实施方案（试行）》，</w:t>
      </w:r>
      <w:r>
        <w:rPr>
          <w:rFonts w:hint="eastAsia" w:ascii="Times New Roman" w:hAnsi="Times New Roman" w:cs="仿宋_GB2312"/>
          <w:lang w:val="en-US" w:eastAsia="zh-CN"/>
        </w:rPr>
        <w:t>按照</w:t>
      </w:r>
      <w:r>
        <w:rPr>
          <w:rFonts w:hint="eastAsia" w:ascii="Times New Roman" w:hAnsi="Times New Roman" w:eastAsia="仿宋_GB2312" w:cs="仿宋_GB2312"/>
        </w:rPr>
        <w:t>“诚信经营示范街”资源采集目录，依托区公共信用信息平台，建立街区商户信用信息数据库</w:t>
      </w:r>
      <w:r>
        <w:rPr>
          <w:rFonts w:hint="eastAsia" w:ascii="Times New Roman" w:hAnsi="Times New Roman" w:eastAsia="仿宋_GB2312" w:cs="仿宋_GB2312"/>
          <w:lang w:val="en-US" w:eastAsia="zh-CN"/>
        </w:rPr>
        <w:t>,</w:t>
      </w:r>
      <w:r>
        <w:rPr>
          <w:rFonts w:hint="eastAsia" w:ascii="Times New Roman" w:hAnsi="Times New Roman" w:eastAsia="仿宋_GB2312" w:cs="仿宋_GB2312"/>
        </w:rPr>
        <w:t>建立完善街区商户信用档案，将商户的基础信息、行政许可信息、行政处罚信息、纳税信息、水电气信息、消费者评价信息、投诉处理信息、信用评价信息等纳入信用档案，实现对商户信用状况的动态管理。</w:t>
      </w:r>
      <w:r>
        <w:rPr>
          <w:rFonts w:hint="eastAsia" w:ascii="Times New Roman" w:hAnsi="Times New Roman" w:cs="仿宋_GB2312"/>
          <w:color w:val="auto"/>
          <w:lang w:val="en-US" w:eastAsia="zh-CN"/>
        </w:rPr>
        <w:t>（</w:t>
      </w:r>
      <w:r>
        <w:rPr>
          <w:rFonts w:hint="eastAsia" w:ascii="Times New Roman" w:hAnsi="Times New Roman" w:eastAsia="楷体_GB2312" w:cs="楷体_GB2312"/>
          <w:sz w:val="32"/>
        </w:rPr>
        <w:t>责任</w:t>
      </w:r>
      <w:r>
        <w:rPr>
          <w:rFonts w:hint="eastAsia" w:ascii="Times New Roman" w:hAnsi="Times New Roman" w:eastAsia="楷体_GB2312" w:cs="楷体_GB2312"/>
          <w:sz w:val="32"/>
          <w:lang w:val="en-US" w:eastAsia="zh-CN"/>
        </w:rPr>
        <w:t>单位</w:t>
      </w:r>
      <w:r>
        <w:rPr>
          <w:rFonts w:hint="eastAsia" w:ascii="Times New Roman" w:hAnsi="Times New Roman" w:eastAsia="楷体_GB2312" w:cs="楷体_GB2312"/>
          <w:sz w:val="32"/>
        </w:rPr>
        <w:t>：区发展改革局</w:t>
      </w:r>
      <w:r>
        <w:rPr>
          <w:rFonts w:hint="eastAsia" w:ascii="Times New Roman" w:hAnsi="Times New Roman" w:eastAsia="楷体_GB2312" w:cs="楷体_GB2312"/>
          <w:sz w:val="32"/>
          <w:lang w:val="en-US" w:eastAsia="zh-CN"/>
        </w:rPr>
        <w:t>牵头，区综合行政执法局</w:t>
      </w:r>
      <w:r>
        <w:rPr>
          <w:rFonts w:hint="eastAsia" w:ascii="Times New Roman" w:hAnsi="Times New Roman" w:eastAsia="楷体_GB2312" w:cs="楷体_GB2312"/>
          <w:sz w:val="32"/>
        </w:rPr>
        <w:t>、区市场监管局</w:t>
      </w:r>
      <w:r>
        <w:rPr>
          <w:rFonts w:hint="eastAsia" w:ascii="Times New Roman" w:hAnsi="Times New Roman" w:eastAsia="楷体_GB2312" w:cs="楷体_GB2312"/>
          <w:sz w:val="32"/>
          <w:lang w:eastAsia="zh-CN"/>
        </w:rPr>
        <w:t>、试点街区所在镇办、</w:t>
      </w:r>
      <w:r>
        <w:rPr>
          <w:rFonts w:hint="eastAsia" w:ascii="Times New Roman" w:hAnsi="Times New Roman" w:eastAsia="楷体_GB2312" w:cs="楷体_GB2312"/>
          <w:sz w:val="32"/>
        </w:rPr>
        <w:t>街区管理单位</w:t>
      </w:r>
      <w:r>
        <w:rPr>
          <w:rFonts w:hint="eastAsia" w:ascii="Times New Roman" w:hAnsi="Times New Roman" w:eastAsia="楷体_GB2312" w:cs="楷体_GB2312"/>
          <w:sz w:val="32"/>
          <w:lang w:val="en-US" w:eastAsia="zh-CN"/>
        </w:rPr>
        <w:t>等</w:t>
      </w:r>
      <w:r>
        <w:rPr>
          <w:rFonts w:hint="eastAsia" w:ascii="Times New Roman" w:hAnsi="Times New Roman" w:eastAsia="楷体_GB2312" w:cs="楷体_GB2312"/>
          <w:sz w:val="32"/>
        </w:rPr>
        <w:t>配合</w:t>
      </w:r>
      <w:r>
        <w:rPr>
          <w:rFonts w:hint="eastAsia" w:ascii="Times New Roman" w:hAnsi="Times New Roman" w:eastAsia="楷体_GB2312" w:cs="楷体_GB2312"/>
          <w:sz w:val="32"/>
          <w:lang w:eastAsia="zh-CN"/>
        </w:rPr>
        <w:t>；</w:t>
      </w:r>
      <w:r>
        <w:rPr>
          <w:rFonts w:hint="eastAsia" w:ascii="Times New Roman" w:hAnsi="Times New Roman" w:eastAsia="楷体_GB2312" w:cs="楷体_GB2312"/>
          <w:sz w:val="32"/>
          <w:lang w:val="en-US" w:eastAsia="zh-CN"/>
        </w:rPr>
        <w:t>完成时间：2021年12月</w:t>
      </w:r>
      <w:r>
        <w:rPr>
          <w:rFonts w:hint="eastAsia" w:ascii="Times New Roman" w:hAnsi="Times New Roman" w:cs="仿宋_GB2312"/>
          <w:color w:val="auto"/>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仿宋_GB2312" w:cs="仿宋_GB2312"/>
          <w:b/>
          <w:bCs/>
        </w:rPr>
      </w:pPr>
      <w:bookmarkStart w:id="78" w:name="_Toc16809"/>
      <w:bookmarkStart w:id="79" w:name="_Toc487"/>
      <w:r>
        <w:rPr>
          <w:rFonts w:hint="eastAsia" w:ascii="Times New Roman" w:hAnsi="Times New Roman" w:eastAsia="仿宋_GB2312" w:cs="仿宋_GB2312"/>
          <w:b/>
          <w:bCs/>
          <w:lang w:val="en-US" w:eastAsia="zh-CN"/>
        </w:rPr>
        <w:t>3</w:t>
      </w:r>
      <w:r>
        <w:rPr>
          <w:rFonts w:hint="eastAsia" w:ascii="Times New Roman" w:hAnsi="Times New Roman" w:eastAsia="仿宋_GB2312" w:cs="仿宋_GB2312"/>
          <w:b/>
          <w:bCs/>
        </w:rPr>
        <w:t>.</w:t>
      </w:r>
      <w:r>
        <w:rPr>
          <w:rFonts w:hint="eastAsia" w:ascii="Times New Roman" w:hAnsi="Times New Roman" w:eastAsia="仿宋_GB2312" w:cs="仿宋_GB2312"/>
          <w:b/>
          <w:bCs/>
          <w:lang w:val="en-US" w:eastAsia="zh-CN"/>
        </w:rPr>
        <w:t>开发</w:t>
      </w:r>
      <w:r>
        <w:rPr>
          <w:rFonts w:hint="eastAsia" w:ascii="Times New Roman" w:hAnsi="Times New Roman" w:eastAsia="仿宋_GB2312" w:cs="仿宋_GB2312"/>
          <w:b/>
          <w:bCs/>
        </w:rPr>
        <w:t>商户信用二维码</w:t>
      </w:r>
      <w:bookmarkEnd w:id="78"/>
      <w:bookmarkEnd w:id="79"/>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楷体_GB2312" w:cs="楷体_GB2312"/>
          <w:sz w:val="32"/>
        </w:rPr>
      </w:pPr>
      <w:r>
        <w:rPr>
          <w:rFonts w:hint="eastAsia" w:ascii="Times New Roman" w:hAnsi="Times New Roman" w:eastAsia="仿宋_GB2312" w:cs="仿宋_GB2312"/>
        </w:rPr>
        <w:t>加强与区智慧市场监管一体化平台的融合建设，联合区市场监管局共同开发可视化的街区商户“信用二维码”。做好商户信用信息公开与社会监督，制作“信用二维码”标识牌，将其张贴于街区门店显眼位置，供广大消费者扫码查询，一键掌握街区商户的信用状况，实现“扫码知信用”，促进商户诚信经营，引导消费者择优消费，进一步强化社会监督，督促商户诚信自律。</w:t>
      </w:r>
      <w:r>
        <w:rPr>
          <w:rFonts w:hint="eastAsia" w:ascii="Times New Roman" w:hAnsi="Times New Roman" w:cs="仿宋_GB2312"/>
          <w:color w:val="auto"/>
          <w:lang w:val="en-US" w:eastAsia="zh-CN"/>
        </w:rPr>
        <w:t>（</w:t>
      </w:r>
      <w:r>
        <w:rPr>
          <w:rFonts w:hint="eastAsia" w:ascii="Times New Roman" w:hAnsi="Times New Roman" w:eastAsia="楷体_GB2312" w:cs="楷体_GB2312"/>
          <w:sz w:val="32"/>
        </w:rPr>
        <w:t>责任</w:t>
      </w:r>
      <w:r>
        <w:rPr>
          <w:rFonts w:hint="eastAsia" w:ascii="Times New Roman" w:hAnsi="Times New Roman" w:eastAsia="楷体_GB2312" w:cs="楷体_GB2312"/>
          <w:sz w:val="32"/>
          <w:lang w:val="en-US" w:eastAsia="zh-CN"/>
        </w:rPr>
        <w:t>单位</w:t>
      </w:r>
      <w:r>
        <w:rPr>
          <w:rFonts w:hint="eastAsia" w:ascii="Times New Roman" w:hAnsi="Times New Roman" w:eastAsia="楷体_GB2312" w:cs="楷体_GB2312"/>
          <w:sz w:val="32"/>
        </w:rPr>
        <w:t>：区市场监管局</w:t>
      </w:r>
      <w:r>
        <w:rPr>
          <w:rFonts w:hint="eastAsia" w:ascii="Times New Roman" w:hAnsi="Times New Roman" w:eastAsia="楷体_GB2312" w:cs="楷体_GB2312"/>
          <w:sz w:val="32"/>
          <w:lang w:val="en-US" w:eastAsia="zh-CN"/>
        </w:rPr>
        <w:t>牵头，</w:t>
      </w:r>
      <w:r>
        <w:rPr>
          <w:rFonts w:hint="eastAsia" w:ascii="Times New Roman" w:hAnsi="Times New Roman" w:eastAsia="楷体_GB2312" w:cs="楷体_GB2312"/>
          <w:sz w:val="32"/>
        </w:rPr>
        <w:t>区发展改革局、</w:t>
      </w:r>
      <w:r>
        <w:rPr>
          <w:rFonts w:hint="eastAsia" w:ascii="Times New Roman" w:hAnsi="Times New Roman" w:eastAsia="楷体_GB2312" w:cs="楷体_GB2312"/>
          <w:sz w:val="32"/>
          <w:lang w:eastAsia="zh-CN"/>
        </w:rPr>
        <w:t>试点街区所在镇办、</w:t>
      </w:r>
      <w:r>
        <w:rPr>
          <w:rFonts w:hint="eastAsia" w:ascii="Times New Roman" w:hAnsi="Times New Roman" w:eastAsia="楷体_GB2312" w:cs="楷体_GB2312"/>
          <w:sz w:val="32"/>
        </w:rPr>
        <w:t>街区管理单位</w:t>
      </w:r>
      <w:r>
        <w:rPr>
          <w:rFonts w:hint="eastAsia" w:ascii="Times New Roman" w:hAnsi="Times New Roman" w:eastAsia="楷体_GB2312" w:cs="楷体_GB2312"/>
          <w:sz w:val="32"/>
          <w:lang w:val="en-US" w:eastAsia="zh-CN"/>
        </w:rPr>
        <w:t>等</w:t>
      </w:r>
      <w:r>
        <w:rPr>
          <w:rFonts w:hint="eastAsia" w:ascii="Times New Roman" w:hAnsi="Times New Roman" w:eastAsia="楷体_GB2312" w:cs="楷体_GB2312"/>
          <w:sz w:val="32"/>
        </w:rPr>
        <w:t>配合</w:t>
      </w:r>
      <w:r>
        <w:rPr>
          <w:rFonts w:hint="eastAsia" w:ascii="Times New Roman" w:hAnsi="Times New Roman" w:eastAsia="楷体_GB2312" w:cs="楷体_GB2312"/>
          <w:sz w:val="32"/>
          <w:lang w:eastAsia="zh-CN"/>
        </w:rPr>
        <w:t>；</w:t>
      </w:r>
      <w:r>
        <w:rPr>
          <w:rFonts w:hint="eastAsia" w:ascii="Times New Roman" w:hAnsi="Times New Roman" w:eastAsia="楷体_GB2312" w:cs="楷体_GB2312"/>
          <w:sz w:val="32"/>
          <w:lang w:val="en-US" w:eastAsia="zh-CN"/>
        </w:rPr>
        <w:t>完成时间：2021年12月</w:t>
      </w:r>
      <w:r>
        <w:rPr>
          <w:rFonts w:hint="eastAsia" w:ascii="Times New Roman" w:hAnsi="Times New Roman" w:cs="仿宋_GB2312"/>
          <w:color w:val="auto"/>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仿宋_GB2312" w:cs="仿宋_GB2312"/>
          <w:b/>
          <w:bCs/>
        </w:rPr>
      </w:pPr>
      <w:bookmarkStart w:id="80" w:name="_Toc15730"/>
      <w:bookmarkStart w:id="81" w:name="_Toc118"/>
      <w:r>
        <w:rPr>
          <w:rFonts w:hint="eastAsia" w:ascii="Times New Roman" w:hAnsi="Times New Roman" w:eastAsia="仿宋_GB2312" w:cs="仿宋_GB2312"/>
          <w:b/>
          <w:bCs/>
          <w:lang w:val="en-US" w:eastAsia="zh-CN"/>
        </w:rPr>
        <w:t>4</w:t>
      </w:r>
      <w:r>
        <w:rPr>
          <w:rFonts w:hint="eastAsia" w:ascii="Times New Roman" w:hAnsi="Times New Roman" w:eastAsia="仿宋_GB2312" w:cs="仿宋_GB2312"/>
          <w:b/>
          <w:bCs/>
        </w:rPr>
        <w:t>.健全街区信用监管机制</w:t>
      </w:r>
      <w:bookmarkEnd w:id="80"/>
      <w:bookmarkEnd w:id="81"/>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对街区商户实行动态管理，定期在</w:t>
      </w:r>
      <w:r>
        <w:rPr>
          <w:rFonts w:hint="eastAsia" w:ascii="Times New Roman" w:hAnsi="Times New Roman" w:cs="仿宋_GB2312"/>
          <w:lang w:val="en-US" w:eastAsia="zh-CN"/>
        </w:rPr>
        <w:t>区公共</w:t>
      </w:r>
      <w:r>
        <w:rPr>
          <w:rFonts w:hint="eastAsia" w:ascii="Times New Roman" w:hAnsi="Times New Roman" w:eastAsia="仿宋_GB2312" w:cs="仿宋_GB2312"/>
        </w:rPr>
        <w:t>信用信息平台更新商户信用信息，公示商户信用状况，形成常态化监控机制。研究制定试点街区商户信用监管办法，围绕环境卫生、食品安全、消防安全、明码标价、产品质量、广告宣传等方面开展联合检查执法，分类制定检查工作台账和问题清单，实行“红、蓝、黄、黑”四级信用分类管理。设立街区线下消费投诉维权站，开通线上消费维权投诉渠道，健全消费矛盾快速处理机制。</w:t>
      </w:r>
      <w:r>
        <w:rPr>
          <w:rFonts w:hint="eastAsia" w:ascii="Times New Roman" w:hAnsi="Times New Roman" w:cs="仿宋_GB2312"/>
          <w:color w:val="auto"/>
          <w:lang w:val="en-US" w:eastAsia="zh-CN"/>
        </w:rPr>
        <w:t>（</w:t>
      </w:r>
      <w:r>
        <w:rPr>
          <w:rFonts w:hint="eastAsia" w:ascii="Times New Roman" w:hAnsi="Times New Roman" w:eastAsia="楷体_GB2312" w:cs="楷体_GB2312"/>
          <w:sz w:val="32"/>
        </w:rPr>
        <w:t>责任</w:t>
      </w:r>
      <w:r>
        <w:rPr>
          <w:rFonts w:hint="eastAsia" w:ascii="Times New Roman" w:hAnsi="Times New Roman" w:eastAsia="楷体_GB2312" w:cs="楷体_GB2312"/>
          <w:sz w:val="32"/>
          <w:lang w:val="en-US" w:eastAsia="zh-CN"/>
        </w:rPr>
        <w:t>单位</w:t>
      </w:r>
      <w:r>
        <w:rPr>
          <w:rFonts w:hint="eastAsia" w:ascii="Times New Roman" w:hAnsi="Times New Roman" w:eastAsia="楷体_GB2312" w:cs="楷体_GB2312"/>
          <w:sz w:val="32"/>
        </w:rPr>
        <w:t>：</w:t>
      </w:r>
      <w:r>
        <w:rPr>
          <w:rFonts w:hint="eastAsia" w:ascii="Times New Roman" w:hAnsi="Times New Roman" w:eastAsia="楷体_GB2312" w:cs="楷体_GB2312"/>
          <w:sz w:val="32"/>
          <w:lang w:val="en-US" w:eastAsia="zh-CN"/>
        </w:rPr>
        <w:t>区综合行政执法局、</w:t>
      </w:r>
      <w:r>
        <w:rPr>
          <w:rFonts w:hint="eastAsia" w:ascii="Times New Roman" w:hAnsi="Times New Roman" w:eastAsia="楷体_GB2312" w:cs="楷体_GB2312"/>
          <w:sz w:val="32"/>
        </w:rPr>
        <w:t>区市场监管局</w:t>
      </w:r>
      <w:r>
        <w:rPr>
          <w:rFonts w:hint="eastAsia" w:ascii="Times New Roman" w:hAnsi="Times New Roman" w:eastAsia="楷体_GB2312" w:cs="楷体_GB2312"/>
          <w:sz w:val="32"/>
          <w:lang w:val="en-US" w:eastAsia="zh-CN"/>
        </w:rPr>
        <w:t>牵头，</w:t>
      </w:r>
      <w:r>
        <w:rPr>
          <w:rFonts w:hint="eastAsia" w:ascii="Times New Roman" w:hAnsi="Times New Roman" w:eastAsia="楷体_GB2312" w:cs="楷体_GB2312"/>
          <w:sz w:val="32"/>
        </w:rPr>
        <w:t>区发展改革局</w:t>
      </w:r>
      <w:r>
        <w:rPr>
          <w:rFonts w:hint="eastAsia" w:ascii="Times New Roman" w:hAnsi="Times New Roman" w:eastAsia="楷体_GB2312" w:cs="楷体_GB2312"/>
          <w:sz w:val="32"/>
          <w:lang w:eastAsia="zh-CN"/>
        </w:rPr>
        <w:t>、试点街区所在镇办、</w:t>
      </w:r>
      <w:r>
        <w:rPr>
          <w:rFonts w:hint="eastAsia" w:ascii="Times New Roman" w:hAnsi="Times New Roman" w:eastAsia="楷体_GB2312" w:cs="楷体_GB2312"/>
          <w:sz w:val="32"/>
        </w:rPr>
        <w:t>街区管理单位</w:t>
      </w:r>
      <w:r>
        <w:rPr>
          <w:rFonts w:hint="eastAsia" w:ascii="Times New Roman" w:hAnsi="Times New Roman" w:eastAsia="楷体_GB2312" w:cs="楷体_GB2312"/>
          <w:sz w:val="32"/>
          <w:lang w:val="en-US" w:eastAsia="zh-CN"/>
        </w:rPr>
        <w:t>等</w:t>
      </w:r>
      <w:r>
        <w:rPr>
          <w:rFonts w:hint="eastAsia" w:ascii="Times New Roman" w:hAnsi="Times New Roman" w:eastAsia="楷体_GB2312" w:cs="楷体_GB2312"/>
          <w:sz w:val="32"/>
        </w:rPr>
        <w:t>配合</w:t>
      </w:r>
      <w:r>
        <w:rPr>
          <w:rFonts w:hint="eastAsia" w:ascii="Times New Roman" w:hAnsi="Times New Roman" w:eastAsia="楷体_GB2312" w:cs="楷体_GB2312"/>
          <w:sz w:val="32"/>
          <w:lang w:eastAsia="zh-CN"/>
        </w:rPr>
        <w:t>；</w:t>
      </w:r>
      <w:r>
        <w:rPr>
          <w:rFonts w:hint="eastAsia" w:ascii="Times New Roman" w:hAnsi="Times New Roman" w:eastAsia="楷体_GB2312" w:cs="楷体_GB2312"/>
          <w:sz w:val="32"/>
          <w:lang w:val="en-US" w:eastAsia="zh-CN"/>
        </w:rPr>
        <w:t>完成时间：2021年12月</w:t>
      </w:r>
      <w:r>
        <w:rPr>
          <w:rFonts w:hint="eastAsia" w:ascii="Times New Roman" w:hAnsi="Times New Roman" w:cs="仿宋_GB2312"/>
          <w:color w:val="auto"/>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仿宋_GB2312" w:cs="仿宋_GB2312"/>
          <w:b/>
          <w:bCs/>
        </w:rPr>
      </w:pPr>
      <w:bookmarkStart w:id="82" w:name="_Toc857"/>
      <w:bookmarkStart w:id="83" w:name="_Toc30728"/>
      <w:r>
        <w:rPr>
          <w:rFonts w:hint="eastAsia" w:ascii="Times New Roman" w:hAnsi="Times New Roman" w:eastAsia="仿宋_GB2312" w:cs="仿宋_GB2312"/>
          <w:b/>
          <w:bCs/>
          <w:lang w:val="en-US" w:eastAsia="zh-CN"/>
        </w:rPr>
        <w:t>5</w:t>
      </w:r>
      <w:r>
        <w:rPr>
          <w:rFonts w:hint="eastAsia" w:ascii="Times New Roman" w:hAnsi="Times New Roman" w:eastAsia="仿宋_GB2312" w:cs="仿宋_GB2312"/>
          <w:b/>
          <w:bCs/>
        </w:rPr>
        <w:t>.开展街区信用主题活动</w:t>
      </w:r>
      <w:bookmarkEnd w:id="82"/>
      <w:bookmarkEnd w:id="83"/>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楷体_GB2312" w:cs="楷体_GB2312"/>
          <w:sz w:val="32"/>
        </w:rPr>
      </w:pPr>
      <w:r>
        <w:rPr>
          <w:rFonts w:hint="eastAsia" w:ascii="Times New Roman" w:hAnsi="Times New Roman" w:eastAsia="仿宋_GB2312" w:cs="仿宋_GB2312"/>
        </w:rPr>
        <w:t>结合全国文明城市创建工作定期开展诚信主题宣传活动，扩大影响力。在街区沿街地段增设诚信宣传标语、诚信宣传栏目，宣传诚信文化，让消费者感受</w:t>
      </w:r>
      <w:r>
        <w:rPr>
          <w:rFonts w:hint="eastAsia" w:ascii="Times New Roman" w:hAnsi="Times New Roman" w:cs="仿宋_GB2312"/>
          <w:lang w:val="en-US" w:eastAsia="zh-CN"/>
        </w:rPr>
        <w:t>张店</w:t>
      </w:r>
      <w:r>
        <w:rPr>
          <w:rFonts w:hint="eastAsia" w:ascii="Times New Roman" w:hAnsi="Times New Roman" w:eastAsia="仿宋_GB2312" w:cs="仿宋_GB2312"/>
        </w:rPr>
        <w:t>诚信文化建设。开展街区商户信用等级评定、诚信商户授牌、诚信经营流动红旗表彰等诚信评选活动，选树诚信经营典范。向社会发布街区内诚信示范经营店名单，并将之推送给金融机构、行政审批局、商务部门、新闻媒体，在信贷、纳税、办理许可、专项资金奖补、宣传推广等方面实施守信联合激励。</w:t>
      </w:r>
      <w:r>
        <w:rPr>
          <w:rFonts w:hint="eastAsia" w:ascii="Times New Roman" w:hAnsi="Times New Roman" w:cs="仿宋_GB2312"/>
          <w:color w:val="auto"/>
          <w:lang w:val="en-US" w:eastAsia="zh-CN"/>
        </w:rPr>
        <w:t>（</w:t>
      </w:r>
      <w:r>
        <w:rPr>
          <w:rFonts w:hint="eastAsia" w:ascii="Times New Roman" w:hAnsi="Times New Roman" w:eastAsia="楷体_GB2312" w:cs="楷体_GB2312"/>
          <w:sz w:val="32"/>
        </w:rPr>
        <w:t>责任</w:t>
      </w:r>
      <w:r>
        <w:rPr>
          <w:rFonts w:hint="eastAsia" w:ascii="Times New Roman" w:hAnsi="Times New Roman" w:eastAsia="楷体_GB2312" w:cs="楷体_GB2312"/>
          <w:sz w:val="32"/>
          <w:lang w:val="en-US" w:eastAsia="zh-CN"/>
        </w:rPr>
        <w:t>单位</w:t>
      </w:r>
      <w:r>
        <w:rPr>
          <w:rFonts w:hint="eastAsia" w:ascii="Times New Roman" w:hAnsi="Times New Roman" w:eastAsia="楷体_GB2312" w:cs="楷体_GB2312"/>
          <w:sz w:val="32"/>
        </w:rPr>
        <w:t>：</w:t>
      </w:r>
      <w:r>
        <w:rPr>
          <w:rFonts w:hint="eastAsia" w:ascii="Times New Roman" w:hAnsi="Times New Roman" w:eastAsia="楷体_GB2312" w:cs="楷体_GB2312"/>
          <w:sz w:val="32"/>
          <w:lang w:val="en-US" w:eastAsia="zh-CN"/>
        </w:rPr>
        <w:t>区发展改革局牵头，</w:t>
      </w:r>
      <w:r>
        <w:rPr>
          <w:rFonts w:hint="eastAsia" w:ascii="Times New Roman" w:hAnsi="Times New Roman" w:eastAsia="楷体_GB2312" w:cs="楷体_GB2312"/>
          <w:sz w:val="32"/>
        </w:rPr>
        <w:t>区市场监管局、区综合行政执法局</w:t>
      </w:r>
      <w:r>
        <w:rPr>
          <w:rFonts w:hint="eastAsia" w:ascii="Times New Roman" w:hAnsi="Times New Roman" w:eastAsia="楷体_GB2312" w:cs="楷体_GB2312"/>
          <w:sz w:val="32"/>
          <w:lang w:eastAsia="zh-CN"/>
        </w:rPr>
        <w:t>、试点街区所在镇办、</w:t>
      </w:r>
      <w:r>
        <w:rPr>
          <w:rFonts w:hint="eastAsia" w:ascii="Times New Roman" w:hAnsi="Times New Roman" w:eastAsia="楷体_GB2312" w:cs="楷体_GB2312"/>
          <w:sz w:val="32"/>
        </w:rPr>
        <w:t>街区管理单位</w:t>
      </w:r>
      <w:r>
        <w:rPr>
          <w:rFonts w:hint="eastAsia" w:ascii="Times New Roman" w:hAnsi="Times New Roman" w:eastAsia="楷体_GB2312" w:cs="楷体_GB2312"/>
          <w:sz w:val="32"/>
          <w:lang w:val="en-US" w:eastAsia="zh-CN"/>
        </w:rPr>
        <w:t>等</w:t>
      </w:r>
      <w:r>
        <w:rPr>
          <w:rFonts w:hint="eastAsia" w:ascii="Times New Roman" w:hAnsi="Times New Roman" w:eastAsia="楷体_GB2312" w:cs="楷体_GB2312"/>
          <w:sz w:val="32"/>
        </w:rPr>
        <w:t>配合</w:t>
      </w:r>
      <w:r>
        <w:rPr>
          <w:rFonts w:hint="eastAsia" w:ascii="Times New Roman" w:hAnsi="Times New Roman" w:eastAsia="楷体_GB2312" w:cs="楷体_GB2312"/>
          <w:sz w:val="32"/>
          <w:lang w:eastAsia="zh-CN"/>
        </w:rPr>
        <w:t>；</w:t>
      </w:r>
      <w:r>
        <w:rPr>
          <w:rFonts w:hint="eastAsia" w:ascii="Times New Roman" w:hAnsi="Times New Roman" w:eastAsia="楷体_GB2312" w:cs="楷体_GB2312"/>
          <w:sz w:val="32"/>
          <w:lang w:val="en-US" w:eastAsia="zh-CN"/>
        </w:rPr>
        <w:t>完成时间：2021年12月</w:t>
      </w:r>
      <w:bookmarkStart w:id="84" w:name="_Toc79422511"/>
      <w:r>
        <w:rPr>
          <w:rFonts w:hint="eastAsia" w:ascii="Times New Roman" w:hAnsi="Times New Roman" w:cs="仿宋_GB2312"/>
          <w:color w:val="auto"/>
          <w:lang w:val="en-US" w:eastAsia="zh-CN"/>
        </w:rPr>
        <w:t>）</w:t>
      </w:r>
      <w:bookmarkEnd w:id="84"/>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黑体" w:cs="黑体"/>
        </w:rPr>
      </w:pPr>
      <w:bookmarkStart w:id="85" w:name="_Toc6587"/>
      <w:bookmarkStart w:id="86" w:name="_Toc26217"/>
      <w:bookmarkStart w:id="87" w:name="_Toc29911"/>
      <w:r>
        <w:rPr>
          <w:rFonts w:hint="eastAsia" w:ascii="Times New Roman" w:hAnsi="Times New Roman" w:eastAsia="黑体" w:cs="黑体"/>
          <w:lang w:val="en-US" w:eastAsia="zh-CN"/>
        </w:rPr>
        <w:t>五</w:t>
      </w:r>
      <w:r>
        <w:rPr>
          <w:rFonts w:hint="eastAsia" w:ascii="Times New Roman" w:hAnsi="Times New Roman" w:eastAsia="黑体" w:cs="黑体"/>
        </w:rPr>
        <w:t>、保障措施</w:t>
      </w:r>
      <w:bookmarkEnd w:id="85"/>
      <w:bookmarkEnd w:id="86"/>
      <w:bookmarkEnd w:id="87"/>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楷体_GB2312" w:cs="楷体_GB2312"/>
        </w:rPr>
      </w:pPr>
      <w:bookmarkStart w:id="88" w:name="_Toc26947"/>
      <w:bookmarkStart w:id="89" w:name="_Toc5515"/>
      <w:r>
        <w:rPr>
          <w:rFonts w:hint="eastAsia" w:ascii="Times New Roman" w:hAnsi="Times New Roman" w:eastAsia="楷体_GB2312" w:cs="楷体_GB2312"/>
        </w:rPr>
        <w:t>（一）加强组织领导</w:t>
      </w:r>
      <w:bookmarkEnd w:id="88"/>
      <w:bookmarkEnd w:id="89"/>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区社会信用体系建设联席会议统筹协调全区社会信用体系建设工作，定期召开信用工作联席会议，通报工作进展情况，研究解决社会信用体系建设中的重大问题，强化日常管理，统筹协调落实各项重点工作任务，建立工作会议推进机制，明确各部门任务分工，细化目标责任，制定具体方案，强化责任落实，加强考核督导，确保完成各项建设目标任务落实。各部门、</w:t>
      </w:r>
      <w:r>
        <w:rPr>
          <w:rFonts w:hint="eastAsia" w:ascii="Times New Roman" w:hAnsi="Times New Roman" w:cs="仿宋_GB2312"/>
          <w:lang w:eastAsia="zh-CN"/>
        </w:rPr>
        <w:t>镇办</w:t>
      </w:r>
      <w:r>
        <w:rPr>
          <w:rFonts w:hint="eastAsia" w:ascii="Times New Roman" w:hAnsi="Times New Roman" w:eastAsia="仿宋_GB2312" w:cs="仿宋_GB2312"/>
        </w:rPr>
        <w:t>要成立社会信用体系建设领导小组，健全配套政策文件，确保社会信用体系建设工作有机构、有人员负责。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楷体_GB2312" w:cs="楷体_GB2312"/>
        </w:rPr>
      </w:pPr>
      <w:bookmarkStart w:id="90" w:name="_Toc26871"/>
      <w:bookmarkStart w:id="91" w:name="_Toc8656"/>
      <w:r>
        <w:rPr>
          <w:rFonts w:hint="eastAsia" w:ascii="Times New Roman" w:hAnsi="Times New Roman" w:eastAsia="楷体_GB2312" w:cs="楷体_GB2312"/>
        </w:rPr>
        <w:t>（二）加大政策支持</w:t>
      </w:r>
      <w:bookmarkEnd w:id="90"/>
      <w:bookmarkEnd w:id="91"/>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将社会信用体系建设纳入国民经济和社会发展规划，各单位要结合实际制定落实本单位的信用建设实施方案。加大对信用良好市场主体支持力度，细化守信联合激励、失信联合惩戒措施。保障信用体系建设工作经费和公共信用信息平台建设资金需求。探索建立社会信用体系建设容新容错机制，鼓励各部门创新开展社会信用体系建设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Times New Roman" w:hAnsi="Times New Roman" w:eastAsia="楷体_GB2312" w:cs="楷体_GB2312"/>
        </w:rPr>
      </w:pPr>
      <w:bookmarkStart w:id="92" w:name="_Toc7495"/>
      <w:bookmarkStart w:id="93" w:name="_Toc9513"/>
      <w:r>
        <w:rPr>
          <w:rFonts w:hint="eastAsia" w:ascii="Times New Roman" w:hAnsi="Times New Roman" w:eastAsia="楷体_GB2312" w:cs="楷体_GB2312"/>
        </w:rPr>
        <w:t>（三）强化督导落实</w:t>
      </w:r>
      <w:bookmarkEnd w:id="92"/>
      <w:bookmarkEnd w:id="93"/>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仿宋_GB2312" w:cs="仿宋_GB2312"/>
        </w:rPr>
      </w:pPr>
      <w:r>
        <w:rPr>
          <w:rFonts w:hint="eastAsia" w:ascii="Times New Roman" w:hAnsi="Times New Roman" w:eastAsia="仿宋_GB2312" w:cs="仿宋_GB2312"/>
        </w:rPr>
        <w:t>围绕本实施方案进一步细化分解社会信用体系建设工作任务，落实责任分工，健全社会信用体系考核制度，建立工作台账，定期调度推进。健全通报、约谈、督导机制，确保措施及时到位，任务按期完成。实施信用建设工作专项督导，提升工作质效，各责任</w:t>
      </w:r>
      <w:r>
        <w:rPr>
          <w:rFonts w:hint="eastAsia" w:ascii="Times New Roman" w:hAnsi="Times New Roman" w:cs="仿宋_GB2312"/>
          <w:lang w:val="en-US" w:eastAsia="zh-CN"/>
        </w:rPr>
        <w:t>单位</w:t>
      </w:r>
      <w:r>
        <w:rPr>
          <w:rFonts w:hint="eastAsia" w:ascii="Times New Roman" w:hAnsi="Times New Roman" w:eastAsia="仿宋_GB2312" w:cs="仿宋_GB2312"/>
        </w:rPr>
        <w:t>加强沟通、密切配合，确保形成工作合力。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lang w:val="en-US"/>
        </w:rPr>
      </w:pPr>
      <w:r>
        <w:rPr>
          <w:rFonts w:hint="eastAsia" w:ascii="Times New Roman" w:hAnsi="Times New Roman" w:eastAsia="仿宋_GB2312" w:cs="Times New Roman"/>
          <w:b w:val="0"/>
          <w:bCs/>
          <w:color w:val="auto"/>
          <w:sz w:val="32"/>
          <w:szCs w:val="32"/>
          <w:highlight w:val="none"/>
          <w:shd w:val="clear" w:color="auto" w:fill="auto"/>
          <w:lang w:val="en-US" w:eastAsia="zh-CN"/>
        </w:rPr>
        <w:t>本</w:t>
      </w:r>
      <w:r>
        <w:rPr>
          <w:rFonts w:hint="eastAsia" w:ascii="Times New Roman" w:hAnsi="Times New Roman" w:cs="Times New Roman"/>
          <w:b w:val="0"/>
          <w:bCs/>
          <w:color w:val="auto"/>
          <w:sz w:val="32"/>
          <w:szCs w:val="32"/>
          <w:highlight w:val="none"/>
          <w:shd w:val="clear" w:color="auto" w:fill="auto"/>
          <w:lang w:val="en-US" w:eastAsia="zh-CN"/>
        </w:rPr>
        <w:t>方案</w:t>
      </w:r>
      <w:r>
        <w:rPr>
          <w:rFonts w:hint="eastAsia" w:ascii="Times New Roman" w:hAnsi="Times New Roman" w:eastAsia="仿宋_GB2312" w:cs="Times New Roman"/>
          <w:b w:val="0"/>
          <w:bCs/>
          <w:color w:val="auto"/>
          <w:sz w:val="32"/>
          <w:szCs w:val="32"/>
          <w:highlight w:val="none"/>
          <w:shd w:val="clear" w:color="auto" w:fill="auto"/>
          <w:lang w:val="en-US" w:eastAsia="zh-CN"/>
        </w:rPr>
        <w:t>自2022年</w:t>
      </w:r>
      <w:r>
        <w:rPr>
          <w:rFonts w:hint="eastAsia" w:ascii="Times New Roman" w:hAnsi="Times New Roman" w:cs="Times New Roman"/>
          <w:b w:val="0"/>
          <w:bCs/>
          <w:color w:val="auto"/>
          <w:sz w:val="32"/>
          <w:szCs w:val="32"/>
          <w:highlight w:val="none"/>
          <w:shd w:val="clear" w:color="auto" w:fill="auto"/>
          <w:lang w:val="en-US" w:eastAsia="zh-CN"/>
        </w:rPr>
        <w:t>2</w:t>
      </w:r>
      <w:r>
        <w:rPr>
          <w:rFonts w:hint="eastAsia" w:ascii="Times New Roman" w:hAnsi="Times New Roman" w:eastAsia="仿宋_GB2312" w:cs="Times New Roman"/>
          <w:b w:val="0"/>
          <w:bCs/>
          <w:color w:val="auto"/>
          <w:sz w:val="32"/>
          <w:szCs w:val="32"/>
          <w:highlight w:val="none"/>
          <w:shd w:val="clear" w:color="auto" w:fill="auto"/>
          <w:lang w:val="en-US" w:eastAsia="zh-CN"/>
        </w:rPr>
        <w:t>月1日起</w:t>
      </w:r>
      <w:r>
        <w:rPr>
          <w:rFonts w:hint="eastAsia" w:ascii="Times New Roman" w:hAnsi="Times New Roman" w:cs="Times New Roman"/>
          <w:b w:val="0"/>
          <w:bCs/>
          <w:color w:val="auto"/>
          <w:sz w:val="32"/>
          <w:szCs w:val="32"/>
          <w:highlight w:val="none"/>
          <w:shd w:val="clear" w:color="auto" w:fill="auto"/>
          <w:lang w:val="en-US" w:eastAsia="zh-CN"/>
        </w:rPr>
        <w:t>试行</w:t>
      </w:r>
      <w:r>
        <w:rPr>
          <w:rFonts w:hint="eastAsia" w:ascii="Times New Roman" w:hAnsi="Times New Roman" w:eastAsia="仿宋_GB2312" w:cs="Times New Roman"/>
          <w:b w:val="0"/>
          <w:bCs/>
          <w:color w:val="auto"/>
          <w:sz w:val="32"/>
          <w:szCs w:val="32"/>
          <w:highlight w:val="none"/>
          <w:shd w:val="clear" w:color="auto" w:fill="auto"/>
          <w:lang w:val="en-US" w:eastAsia="zh-CN"/>
        </w:rPr>
        <w:t>，有效期至202</w:t>
      </w:r>
      <w:r>
        <w:rPr>
          <w:rFonts w:hint="eastAsia" w:ascii="Times New Roman" w:hAnsi="Times New Roman" w:cs="Times New Roman"/>
          <w:b w:val="0"/>
          <w:bCs/>
          <w:color w:val="auto"/>
          <w:sz w:val="32"/>
          <w:szCs w:val="32"/>
          <w:highlight w:val="none"/>
          <w:shd w:val="clear" w:color="auto" w:fill="auto"/>
          <w:lang w:val="en-US" w:eastAsia="zh-CN"/>
        </w:rPr>
        <w:t>3</w:t>
      </w:r>
      <w:r>
        <w:rPr>
          <w:rFonts w:hint="eastAsia" w:ascii="Times New Roman" w:hAnsi="Times New Roman" w:eastAsia="仿宋_GB2312" w:cs="Times New Roman"/>
          <w:b w:val="0"/>
          <w:bCs/>
          <w:color w:val="auto"/>
          <w:sz w:val="32"/>
          <w:szCs w:val="32"/>
          <w:highlight w:val="none"/>
          <w:shd w:val="clear" w:color="auto" w:fill="auto"/>
          <w:lang w:val="en-US" w:eastAsia="zh-CN"/>
        </w:rPr>
        <w:t>年</w:t>
      </w:r>
      <w:r>
        <w:rPr>
          <w:rFonts w:hint="eastAsia" w:ascii="Times New Roman" w:hAnsi="Times New Roman" w:cs="Times New Roman"/>
          <w:b w:val="0"/>
          <w:bCs/>
          <w:color w:val="auto"/>
          <w:sz w:val="32"/>
          <w:szCs w:val="32"/>
          <w:highlight w:val="none"/>
          <w:shd w:val="clear" w:color="auto" w:fill="auto"/>
          <w:lang w:val="en-US" w:eastAsia="zh-CN"/>
        </w:rPr>
        <w:t>2</w:t>
      </w:r>
      <w:r>
        <w:rPr>
          <w:rFonts w:hint="eastAsia" w:ascii="Times New Roman" w:hAnsi="Times New Roman" w:eastAsia="仿宋_GB2312" w:cs="Times New Roman"/>
          <w:b w:val="0"/>
          <w:bCs/>
          <w:color w:val="auto"/>
          <w:sz w:val="32"/>
          <w:szCs w:val="32"/>
          <w:highlight w:val="none"/>
          <w:shd w:val="clear" w:color="auto" w:fill="auto"/>
          <w:lang w:val="en-US" w:eastAsia="zh-CN"/>
        </w:rPr>
        <w:t>月1日。</w:t>
      </w:r>
    </w:p>
    <w:p>
      <w:pPr>
        <w:pStyle w:val="2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仿宋_GB2312"/>
          <w:sz w:val="32"/>
          <w:szCs w:val="32"/>
        </w:rPr>
      </w:pPr>
    </w:p>
    <w:p>
      <w:pPr>
        <w:pStyle w:val="2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张店区社会信用体系建设工作重点及责任分工表</w:t>
      </w:r>
    </w:p>
    <w:p>
      <w:pPr>
        <w:pStyle w:val="24"/>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
          <w:sz w:val="32"/>
          <w:szCs w:val="32"/>
        </w:rPr>
      </w:pPr>
    </w:p>
    <w:p>
      <w:pPr>
        <w:pStyle w:val="24"/>
        <w:spacing w:line="560" w:lineRule="exact"/>
        <w:ind w:firstLine="640"/>
        <w:rPr>
          <w:rFonts w:ascii="Times New Roman" w:hAnsi="Times New Roman" w:eastAsia="仿宋"/>
          <w:sz w:val="32"/>
          <w:szCs w:val="32"/>
        </w:rPr>
        <w:sectPr>
          <w:pgSz w:w="11906" w:h="16838"/>
          <w:pgMar w:top="2098" w:right="1474" w:bottom="1984" w:left="1587" w:header="851" w:footer="1531" w:gutter="0"/>
          <w:pgNumType w:fmt="decimal"/>
          <w:cols w:space="720" w:num="1"/>
          <w:docGrid w:type="lines" w:linePitch="312" w:charSpace="0"/>
        </w:sectPr>
      </w:pPr>
    </w:p>
    <w:p>
      <w:pPr>
        <w:pStyle w:val="3"/>
        <w:spacing w:after="156" w:afterLines="50" w:line="360" w:lineRule="auto"/>
        <w:ind w:firstLine="0" w:firstLineChars="0"/>
        <w:jc w:val="left"/>
        <w:rPr>
          <w:rFonts w:hint="eastAsia" w:ascii="Times New Roman" w:hAnsi="Times New Roman" w:eastAsia="仿宋_GB2312" w:cs="仿宋_GB2312"/>
          <w:b w:val="0"/>
          <w:bCs w:val="0"/>
          <w:szCs w:val="32"/>
        </w:rPr>
      </w:pPr>
      <w:bookmarkStart w:id="94" w:name="_Toc26060"/>
      <w:bookmarkStart w:id="95" w:name="_Toc79422530"/>
      <w:bookmarkStart w:id="96" w:name="_Toc27859"/>
      <w:bookmarkStart w:id="97" w:name="_Toc18194"/>
      <w:r>
        <w:rPr>
          <w:rFonts w:hint="eastAsia" w:ascii="Times New Roman" w:hAnsi="Times New Roman" w:eastAsia="仿宋_GB2312" w:cs="仿宋_GB2312"/>
          <w:b w:val="0"/>
          <w:bCs w:val="0"/>
          <w:szCs w:val="32"/>
        </w:rPr>
        <w:t>附件</w:t>
      </w:r>
    </w:p>
    <w:p>
      <w:pPr>
        <w:pStyle w:val="3"/>
        <w:spacing w:after="156" w:afterLines="50" w:line="360" w:lineRule="auto"/>
        <w:ind w:firstLine="0" w:firstLineChars="0"/>
        <w:jc w:val="center"/>
        <w:rPr>
          <w:rFonts w:hint="eastAsia" w:ascii="Times New Roman" w:hAnsi="Times New Roman" w:eastAsia="方正小标宋简体" w:cs="方正小标宋简体"/>
          <w:b w:val="0"/>
          <w:bCs w:val="0"/>
          <w:sz w:val="36"/>
          <w:szCs w:val="36"/>
        </w:rPr>
      </w:pPr>
      <w:r>
        <w:rPr>
          <w:rFonts w:hint="eastAsia" w:ascii="Times New Roman" w:hAnsi="Times New Roman" w:eastAsia="方正小标宋简体" w:cs="方正小标宋简体"/>
          <w:b w:val="0"/>
          <w:bCs w:val="0"/>
          <w:sz w:val="36"/>
          <w:szCs w:val="36"/>
        </w:rPr>
        <w:t>张店区社会信用体系建设工作重点及责任分工表</w:t>
      </w:r>
      <w:bookmarkEnd w:id="94"/>
      <w:bookmarkEnd w:id="95"/>
      <w:bookmarkEnd w:id="96"/>
      <w:bookmarkEnd w:id="97"/>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1620"/>
        <w:gridCol w:w="5685"/>
        <w:gridCol w:w="1560"/>
        <w:gridCol w:w="3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5" w:hRule="atLeast"/>
          <w:tblHeader/>
          <w:jc w:val="center"/>
        </w:trPr>
        <w:tc>
          <w:tcPr>
            <w:tcW w:w="841" w:type="dxa"/>
            <w:noWrap w:val="0"/>
            <w:vAlign w:val="center"/>
          </w:tcPr>
          <w:p>
            <w:pPr>
              <w:widowControl/>
              <w:ind w:left="0" w:leftChars="0" w:firstLine="0" w:firstLineChars="0"/>
              <w:jc w:val="center"/>
              <w:textAlignment w:val="center"/>
              <w:rPr>
                <w:rFonts w:hint="eastAsia" w:ascii="Times New Roman" w:hAnsi="Times New Roman" w:eastAsia="仿宋" w:cs="仿宋"/>
                <w:b/>
                <w:bCs/>
                <w:sz w:val="28"/>
                <w:szCs w:val="28"/>
              </w:rPr>
            </w:pPr>
            <w:r>
              <w:rPr>
                <w:rFonts w:hint="eastAsia" w:ascii="Times New Roman" w:hAnsi="Times New Roman" w:eastAsia="仿宋" w:cs="仿宋"/>
                <w:b/>
                <w:bCs/>
                <w:kern w:val="0"/>
                <w:sz w:val="28"/>
                <w:szCs w:val="28"/>
                <w:lang w:bidi="ar"/>
              </w:rPr>
              <w:t>序号</w:t>
            </w:r>
          </w:p>
        </w:tc>
        <w:tc>
          <w:tcPr>
            <w:tcW w:w="1620" w:type="dxa"/>
            <w:noWrap w:val="0"/>
            <w:vAlign w:val="center"/>
          </w:tcPr>
          <w:p>
            <w:pPr>
              <w:widowControl/>
              <w:ind w:left="0" w:leftChars="0" w:firstLine="0" w:firstLineChars="0"/>
              <w:jc w:val="center"/>
              <w:textAlignment w:val="center"/>
              <w:rPr>
                <w:rFonts w:hint="eastAsia" w:ascii="Times New Roman" w:hAnsi="Times New Roman" w:eastAsia="仿宋" w:cs="仿宋"/>
                <w:b/>
                <w:bCs/>
                <w:sz w:val="28"/>
                <w:szCs w:val="28"/>
              </w:rPr>
            </w:pPr>
            <w:r>
              <w:rPr>
                <w:rFonts w:hint="eastAsia" w:ascii="Times New Roman" w:hAnsi="Times New Roman" w:eastAsia="仿宋" w:cs="仿宋"/>
                <w:b/>
                <w:bCs/>
                <w:kern w:val="0"/>
                <w:sz w:val="28"/>
                <w:szCs w:val="28"/>
                <w:lang w:bidi="ar"/>
              </w:rPr>
              <w:t>任务说明</w:t>
            </w:r>
          </w:p>
        </w:tc>
        <w:tc>
          <w:tcPr>
            <w:tcW w:w="5685" w:type="dxa"/>
            <w:noWrap w:val="0"/>
            <w:vAlign w:val="center"/>
          </w:tcPr>
          <w:p>
            <w:pPr>
              <w:widowControl/>
              <w:jc w:val="center"/>
              <w:textAlignment w:val="center"/>
              <w:rPr>
                <w:rFonts w:hint="eastAsia" w:ascii="Times New Roman" w:hAnsi="Times New Roman" w:eastAsia="仿宋" w:cs="仿宋"/>
                <w:b/>
                <w:bCs/>
                <w:sz w:val="28"/>
                <w:szCs w:val="28"/>
              </w:rPr>
            </w:pPr>
            <w:r>
              <w:rPr>
                <w:rFonts w:hint="eastAsia" w:ascii="Times New Roman" w:hAnsi="Times New Roman" w:eastAsia="仿宋" w:cs="仿宋"/>
                <w:b/>
                <w:bCs/>
                <w:kern w:val="0"/>
                <w:sz w:val="28"/>
                <w:szCs w:val="28"/>
                <w:lang w:bidi="ar"/>
              </w:rPr>
              <w:t>任务细化</w:t>
            </w:r>
          </w:p>
        </w:tc>
        <w:tc>
          <w:tcPr>
            <w:tcW w:w="1560" w:type="dxa"/>
            <w:noWrap w:val="0"/>
            <w:vAlign w:val="center"/>
          </w:tcPr>
          <w:p>
            <w:pPr>
              <w:widowControl/>
              <w:ind w:left="0" w:leftChars="0" w:firstLine="0" w:firstLineChars="0"/>
              <w:jc w:val="center"/>
              <w:textAlignment w:val="center"/>
              <w:rPr>
                <w:rFonts w:hint="eastAsia" w:ascii="Times New Roman" w:hAnsi="Times New Roman" w:eastAsia="仿宋" w:cs="仿宋"/>
                <w:b/>
                <w:bCs/>
                <w:sz w:val="28"/>
                <w:szCs w:val="28"/>
              </w:rPr>
            </w:pPr>
            <w:r>
              <w:rPr>
                <w:rFonts w:hint="eastAsia" w:ascii="Times New Roman" w:hAnsi="Times New Roman" w:eastAsia="仿宋" w:cs="仿宋"/>
                <w:b/>
                <w:bCs/>
                <w:kern w:val="0"/>
                <w:sz w:val="28"/>
                <w:szCs w:val="28"/>
                <w:lang w:bidi="ar"/>
              </w:rPr>
              <w:t>完成时限</w:t>
            </w:r>
          </w:p>
        </w:tc>
        <w:tc>
          <w:tcPr>
            <w:tcW w:w="3660" w:type="dxa"/>
            <w:noWrap w:val="0"/>
            <w:vAlign w:val="center"/>
          </w:tcPr>
          <w:p>
            <w:pPr>
              <w:widowControl/>
              <w:ind w:left="0" w:leftChars="0" w:firstLine="0" w:firstLineChars="0"/>
              <w:jc w:val="center"/>
              <w:textAlignment w:val="center"/>
              <w:rPr>
                <w:rFonts w:hint="eastAsia" w:ascii="Times New Roman" w:hAnsi="Times New Roman" w:eastAsia="仿宋" w:cs="仿宋"/>
                <w:b/>
                <w:bCs/>
                <w:sz w:val="28"/>
                <w:szCs w:val="28"/>
              </w:rPr>
            </w:pPr>
            <w:r>
              <w:rPr>
                <w:rFonts w:hint="eastAsia" w:ascii="Times New Roman" w:hAnsi="Times New Roman" w:eastAsia="仿宋" w:cs="仿宋"/>
                <w:b/>
                <w:bCs/>
                <w:kern w:val="0"/>
                <w:sz w:val="28"/>
                <w:szCs w:val="28"/>
                <w:lang w:bidi="ar"/>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841"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Times New Roman" w:hAnsi="Times New Roman" w:eastAsia="仿宋" w:cs="仿宋"/>
                <w:sz w:val="28"/>
                <w:szCs w:val="28"/>
              </w:rPr>
            </w:pPr>
            <w:r>
              <w:rPr>
                <w:rFonts w:hint="eastAsia" w:ascii="Times New Roman" w:hAnsi="Times New Roman" w:eastAsia="仿宋" w:cs="仿宋"/>
                <w:sz w:val="28"/>
                <w:szCs w:val="28"/>
                <w:lang w:val="en-US" w:eastAsia="zh-CN"/>
              </w:rPr>
              <w:t>1</w:t>
            </w:r>
          </w:p>
        </w:tc>
        <w:tc>
          <w:tcPr>
            <w:tcW w:w="1620"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Times New Roman" w:hAnsi="Times New Roman" w:eastAsia="仿宋" w:cs="仿宋"/>
                <w:sz w:val="28"/>
                <w:szCs w:val="28"/>
              </w:rPr>
            </w:pPr>
            <w:r>
              <w:rPr>
                <w:rFonts w:hint="eastAsia" w:ascii="Times New Roman" w:hAnsi="Times New Roman" w:eastAsia="仿宋" w:cs="仿宋"/>
                <w:sz w:val="28"/>
                <w:szCs w:val="28"/>
                <w:lang w:val="en-US" w:eastAsia="zh-CN"/>
              </w:rPr>
              <w:t>搭建公共信用信息平台</w:t>
            </w: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sz w:val="28"/>
                <w:szCs w:val="28"/>
              </w:rPr>
            </w:pPr>
            <w:r>
              <w:rPr>
                <w:rFonts w:hint="eastAsia" w:ascii="Times New Roman" w:hAnsi="Times New Roman" w:eastAsia="仿宋" w:cs="仿宋"/>
                <w:sz w:val="28"/>
                <w:szCs w:val="28"/>
              </w:rPr>
              <w:t>平台建设遵循国家、省、市政策要求，以“一网三库一平台”建设为基础，实现信用信息的归集、存储、应用的全生命周期管理</w:t>
            </w:r>
            <w:r>
              <w:rPr>
                <w:rFonts w:hint="eastAsia" w:ascii="Times New Roman" w:hAnsi="Times New Roman" w:eastAsia="仿宋" w:cs="仿宋"/>
                <w:sz w:val="28"/>
                <w:szCs w:val="28"/>
                <w:lang w:val="en-US" w:eastAsia="zh-CN"/>
              </w:rPr>
              <w:t>等</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sz w:val="28"/>
                <w:szCs w:val="28"/>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sz w:val="28"/>
                <w:szCs w:val="28"/>
              </w:rPr>
            </w:pPr>
            <w:r>
              <w:rPr>
                <w:rFonts w:hint="eastAsia" w:ascii="Times New Roman" w:hAnsi="Times New Roman" w:eastAsia="仿宋" w:cs="仿宋"/>
                <w:kern w:val="0"/>
                <w:sz w:val="28"/>
                <w:szCs w:val="28"/>
                <w:lang w:bidi="ar"/>
              </w:rPr>
              <w:t>区发展改革局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3" w:hRule="atLeast"/>
          <w:jc w:val="center"/>
        </w:trPr>
        <w:tc>
          <w:tcPr>
            <w:tcW w:w="84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sz w:val="28"/>
                <w:szCs w:val="28"/>
                <w:lang w:eastAsia="zh-CN"/>
              </w:rPr>
            </w:pPr>
            <w:r>
              <w:rPr>
                <w:rFonts w:hint="eastAsia" w:ascii="Times New Roman" w:hAnsi="Times New Roman" w:eastAsia="仿宋" w:cs="仿宋"/>
                <w:sz w:val="28"/>
                <w:szCs w:val="28"/>
                <w:lang w:val="en-US" w:eastAsia="zh-CN"/>
              </w:rPr>
              <w:t>2</w:t>
            </w:r>
          </w:p>
        </w:tc>
        <w:tc>
          <w:tcPr>
            <w:tcW w:w="162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sz w:val="28"/>
                <w:szCs w:val="28"/>
              </w:rPr>
            </w:pPr>
            <w:r>
              <w:rPr>
                <w:rFonts w:hint="eastAsia" w:ascii="Times New Roman" w:hAnsi="Times New Roman" w:eastAsia="仿宋" w:cs="仿宋"/>
                <w:kern w:val="0"/>
                <w:sz w:val="28"/>
                <w:szCs w:val="28"/>
                <w:lang w:val="en-US" w:eastAsia="zh-CN" w:bidi="ar"/>
              </w:rPr>
              <w:t>做好</w:t>
            </w:r>
            <w:r>
              <w:rPr>
                <w:rFonts w:hint="eastAsia" w:ascii="Times New Roman" w:hAnsi="Times New Roman" w:eastAsia="仿宋" w:cs="仿宋"/>
                <w:kern w:val="0"/>
                <w:sz w:val="28"/>
                <w:szCs w:val="28"/>
                <w:lang w:bidi="ar"/>
              </w:rPr>
              <w:t>信用信息“双公示”工作</w:t>
            </w: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sz w:val="28"/>
                <w:szCs w:val="28"/>
              </w:rPr>
            </w:pPr>
            <w:r>
              <w:rPr>
                <w:rFonts w:hint="eastAsia" w:ascii="Times New Roman" w:hAnsi="Times New Roman" w:eastAsia="仿宋" w:cs="仿宋"/>
                <w:kern w:val="0"/>
                <w:sz w:val="28"/>
                <w:szCs w:val="28"/>
                <w:lang w:bidi="ar"/>
              </w:rPr>
              <w:t>行政许可和行政处罚发生后的</w:t>
            </w:r>
            <w:r>
              <w:rPr>
                <w:rFonts w:hint="eastAsia" w:ascii="Times New Roman" w:hAnsi="Times New Roman" w:eastAsia="仿宋" w:cs="仿宋"/>
                <w:kern w:val="0"/>
                <w:sz w:val="28"/>
                <w:szCs w:val="28"/>
                <w:lang w:val="en-US" w:eastAsia="zh-CN" w:bidi="ar"/>
              </w:rPr>
              <w:t>7</w:t>
            </w:r>
            <w:r>
              <w:rPr>
                <w:rFonts w:hint="eastAsia" w:ascii="Times New Roman" w:hAnsi="Times New Roman" w:eastAsia="仿宋" w:cs="仿宋"/>
                <w:kern w:val="0"/>
                <w:sz w:val="28"/>
                <w:szCs w:val="28"/>
                <w:lang w:bidi="ar"/>
              </w:rPr>
              <w:t>日内按照规定格式，报送至张店区公共信用信息平台</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sz w:val="28"/>
                <w:szCs w:val="28"/>
              </w:rPr>
            </w:pPr>
            <w:r>
              <w:rPr>
                <w:rFonts w:hint="eastAsia" w:ascii="Times New Roman" w:hAnsi="Times New Roman" w:eastAsia="仿宋" w:cs="仿宋"/>
                <w:kern w:val="0"/>
                <w:sz w:val="28"/>
                <w:szCs w:val="28"/>
                <w:lang w:bidi="ar"/>
              </w:rPr>
              <w:t>持续性</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全区有行政许可、行政处罚职权的单位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5" w:hRule="atLeast"/>
          <w:jc w:val="center"/>
        </w:trPr>
        <w:tc>
          <w:tcPr>
            <w:tcW w:w="841" w:type="dxa"/>
            <w:vMerge w:val="restart"/>
            <w:noWrap w:val="0"/>
            <w:vAlign w:val="center"/>
          </w:tcPr>
          <w:p>
            <w:pPr>
              <w:widowControl/>
              <w:ind w:left="0" w:leftChars="0" w:firstLine="0" w:firstLineChars="0"/>
              <w:jc w:val="center"/>
              <w:textAlignment w:val="center"/>
              <w:rPr>
                <w:rFonts w:hint="eastAsia" w:ascii="Times New Roman" w:hAnsi="Times New Roman" w:eastAsia="仿宋" w:cs="仿宋"/>
                <w:sz w:val="28"/>
                <w:szCs w:val="28"/>
                <w:lang w:eastAsia="zh-CN"/>
              </w:rPr>
            </w:pPr>
            <w:r>
              <w:rPr>
                <w:rFonts w:hint="eastAsia" w:ascii="Times New Roman" w:hAnsi="Times New Roman" w:eastAsia="仿宋" w:cs="仿宋"/>
                <w:sz w:val="28"/>
                <w:szCs w:val="28"/>
                <w:lang w:val="en-US" w:eastAsia="zh-CN"/>
              </w:rPr>
              <w:t>3</w:t>
            </w:r>
          </w:p>
        </w:tc>
        <w:tc>
          <w:tcPr>
            <w:tcW w:w="16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全面调动各单位加大信息归集力度</w:t>
            </w: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市</w:t>
            </w:r>
            <w:r>
              <w:rPr>
                <w:rFonts w:hint="eastAsia" w:ascii="Times New Roman" w:hAnsi="Times New Roman" w:eastAsia="仿宋" w:cs="仿宋"/>
                <w:kern w:val="0"/>
                <w:sz w:val="28"/>
                <w:szCs w:val="28"/>
                <w:lang w:bidi="ar"/>
              </w:rPr>
              <w:t>住房公积金</w:t>
            </w:r>
            <w:r>
              <w:rPr>
                <w:rFonts w:hint="eastAsia" w:ascii="Times New Roman" w:hAnsi="Times New Roman" w:eastAsia="仿宋" w:cs="仿宋"/>
                <w:kern w:val="0"/>
                <w:sz w:val="28"/>
                <w:szCs w:val="28"/>
                <w:lang w:val="en-US" w:eastAsia="zh-CN" w:bidi="ar"/>
              </w:rPr>
              <w:t>管理</w:t>
            </w:r>
            <w:r>
              <w:rPr>
                <w:rFonts w:hint="eastAsia" w:ascii="Times New Roman" w:hAnsi="Times New Roman" w:eastAsia="仿宋" w:cs="仿宋"/>
                <w:kern w:val="0"/>
                <w:sz w:val="28"/>
                <w:szCs w:val="28"/>
                <w:lang w:bidi="ar"/>
              </w:rPr>
              <w:t>中心</w:t>
            </w:r>
            <w:r>
              <w:rPr>
                <w:rFonts w:hint="eastAsia" w:ascii="Times New Roman" w:hAnsi="Times New Roman" w:eastAsia="仿宋" w:cs="仿宋"/>
                <w:kern w:val="0"/>
                <w:sz w:val="28"/>
                <w:szCs w:val="28"/>
                <w:lang w:val="en-US" w:eastAsia="zh-CN" w:bidi="ar"/>
              </w:rPr>
              <w:t>张店分中心：</w:t>
            </w:r>
            <w:r>
              <w:rPr>
                <w:rFonts w:hint="eastAsia" w:ascii="Times New Roman" w:hAnsi="Times New Roman" w:eastAsia="仿宋" w:cs="仿宋"/>
                <w:kern w:val="0"/>
                <w:sz w:val="28"/>
                <w:szCs w:val="28"/>
                <w:lang w:bidi="ar"/>
              </w:rPr>
              <w:t>提供公积金缴存、贷款、逾期等信息</w:t>
            </w:r>
          </w:p>
        </w:tc>
        <w:tc>
          <w:tcPr>
            <w:tcW w:w="15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sz w:val="28"/>
                <w:szCs w:val="28"/>
              </w:rPr>
            </w:pPr>
            <w:r>
              <w:rPr>
                <w:rFonts w:hint="eastAsia" w:ascii="Times New Roman" w:hAnsi="Times New Roman" w:eastAsia="仿宋" w:cs="仿宋"/>
                <w:kern w:val="0"/>
                <w:sz w:val="28"/>
                <w:szCs w:val="28"/>
                <w:lang w:val="en-US" w:eastAsia="zh-CN" w:bidi="ar"/>
              </w:rPr>
              <w:t>12月底</w:t>
            </w:r>
          </w:p>
        </w:tc>
        <w:tc>
          <w:tcPr>
            <w:tcW w:w="36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区</w:t>
            </w:r>
            <w:r>
              <w:rPr>
                <w:rFonts w:hint="eastAsia" w:ascii="Times New Roman" w:hAnsi="Times New Roman" w:eastAsia="仿宋" w:cs="仿宋"/>
                <w:kern w:val="0"/>
                <w:sz w:val="28"/>
                <w:szCs w:val="28"/>
                <w:lang w:eastAsia="zh-CN" w:bidi="ar"/>
              </w:rPr>
              <w:t>人力资源社会保障</w:t>
            </w:r>
            <w:r>
              <w:rPr>
                <w:rFonts w:hint="eastAsia" w:ascii="Times New Roman" w:hAnsi="Times New Roman" w:eastAsia="仿宋" w:cs="仿宋"/>
                <w:kern w:val="0"/>
                <w:sz w:val="28"/>
                <w:szCs w:val="28"/>
                <w:lang w:bidi="ar"/>
              </w:rPr>
              <w:t>局、市</w:t>
            </w:r>
            <w:r>
              <w:rPr>
                <w:rFonts w:hint="eastAsia" w:ascii="Times New Roman" w:hAnsi="Times New Roman" w:eastAsia="仿宋" w:cs="仿宋"/>
                <w:kern w:val="0"/>
                <w:sz w:val="28"/>
                <w:szCs w:val="28"/>
                <w:lang w:val="en-US" w:eastAsia="zh-CN" w:bidi="ar"/>
              </w:rPr>
              <w:t>医疗保障局</w:t>
            </w:r>
            <w:r>
              <w:rPr>
                <w:rFonts w:hint="eastAsia" w:ascii="Times New Roman" w:hAnsi="Times New Roman" w:eastAsia="仿宋" w:cs="仿宋"/>
                <w:kern w:val="0"/>
                <w:sz w:val="28"/>
                <w:szCs w:val="28"/>
                <w:lang w:bidi="ar"/>
              </w:rPr>
              <w:t>张店分局、</w:t>
            </w:r>
            <w:r>
              <w:rPr>
                <w:rFonts w:hint="eastAsia" w:ascii="Times New Roman" w:hAnsi="Times New Roman" w:eastAsia="仿宋" w:cs="仿宋"/>
                <w:kern w:val="0"/>
                <w:sz w:val="28"/>
                <w:szCs w:val="28"/>
                <w:lang w:val="en-US" w:eastAsia="zh-CN" w:bidi="ar"/>
              </w:rPr>
              <w:t>区行政审批服务局</w:t>
            </w:r>
            <w:r>
              <w:rPr>
                <w:rFonts w:hint="eastAsia" w:ascii="Times New Roman" w:hAnsi="Times New Roman" w:eastAsia="仿宋" w:cs="仿宋"/>
                <w:kern w:val="0"/>
                <w:sz w:val="28"/>
                <w:szCs w:val="28"/>
                <w:lang w:bidi="ar"/>
              </w:rPr>
              <w:t>、</w:t>
            </w:r>
            <w:r>
              <w:rPr>
                <w:rFonts w:hint="eastAsia" w:ascii="Times New Roman" w:hAnsi="Times New Roman" w:eastAsia="仿宋" w:cs="仿宋"/>
                <w:kern w:val="0"/>
                <w:sz w:val="28"/>
                <w:szCs w:val="28"/>
                <w:lang w:val="en-US" w:eastAsia="zh-CN" w:bidi="ar"/>
              </w:rPr>
              <w:t>市</w:t>
            </w:r>
            <w:r>
              <w:rPr>
                <w:rFonts w:hint="eastAsia" w:ascii="Times New Roman" w:hAnsi="Times New Roman" w:eastAsia="仿宋" w:cs="仿宋"/>
                <w:kern w:val="0"/>
                <w:sz w:val="28"/>
                <w:szCs w:val="28"/>
                <w:lang w:bidi="ar"/>
              </w:rPr>
              <w:t>住房公积金</w:t>
            </w:r>
            <w:r>
              <w:rPr>
                <w:rFonts w:hint="eastAsia" w:ascii="Times New Roman" w:hAnsi="Times New Roman" w:eastAsia="仿宋" w:cs="仿宋"/>
                <w:kern w:val="0"/>
                <w:sz w:val="28"/>
                <w:szCs w:val="28"/>
                <w:lang w:val="en-US" w:eastAsia="zh-CN" w:bidi="ar"/>
              </w:rPr>
              <w:t>管理</w:t>
            </w:r>
            <w:r>
              <w:rPr>
                <w:rFonts w:hint="eastAsia" w:ascii="Times New Roman" w:hAnsi="Times New Roman" w:eastAsia="仿宋" w:cs="仿宋"/>
                <w:kern w:val="0"/>
                <w:sz w:val="28"/>
                <w:szCs w:val="28"/>
                <w:lang w:bidi="ar"/>
              </w:rPr>
              <w:t>中心</w:t>
            </w:r>
            <w:r>
              <w:rPr>
                <w:rFonts w:hint="eastAsia" w:ascii="Times New Roman" w:hAnsi="Times New Roman" w:eastAsia="仿宋" w:cs="仿宋"/>
                <w:kern w:val="0"/>
                <w:sz w:val="28"/>
                <w:szCs w:val="28"/>
                <w:lang w:val="en-US" w:eastAsia="zh-CN" w:bidi="ar"/>
              </w:rPr>
              <w:t>张店分中心</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imes New Roman" w:hAnsi="Times New Roman"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5" w:hRule="atLeast"/>
          <w:jc w:val="center"/>
        </w:trPr>
        <w:tc>
          <w:tcPr>
            <w:tcW w:w="841" w:type="dxa"/>
            <w:vMerge w:val="continue"/>
            <w:noWrap w:val="0"/>
            <w:vAlign w:val="center"/>
          </w:tcPr>
          <w:p>
            <w:pPr>
              <w:widowControl/>
              <w:ind w:left="0" w:leftChars="0" w:firstLine="0" w:firstLineChars="0"/>
              <w:jc w:val="center"/>
              <w:textAlignment w:val="center"/>
              <w:rPr>
                <w:rFonts w:hint="eastAsia" w:ascii="Times New Roman" w:hAnsi="Times New Roman" w:eastAsia="仿宋" w:cs="仿宋"/>
                <w:sz w:val="28"/>
                <w:szCs w:val="28"/>
              </w:rPr>
            </w:pP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区</w:t>
            </w:r>
            <w:r>
              <w:rPr>
                <w:rFonts w:hint="eastAsia" w:ascii="Times New Roman" w:hAnsi="Times New Roman" w:eastAsia="仿宋" w:cs="仿宋"/>
                <w:kern w:val="0"/>
                <w:sz w:val="28"/>
                <w:szCs w:val="28"/>
                <w:lang w:eastAsia="zh-CN" w:bidi="ar"/>
              </w:rPr>
              <w:t>人力资源社会保障</w:t>
            </w:r>
            <w:r>
              <w:rPr>
                <w:rFonts w:hint="eastAsia" w:ascii="Times New Roman" w:hAnsi="Times New Roman" w:eastAsia="仿宋" w:cs="仿宋"/>
                <w:kern w:val="0"/>
                <w:sz w:val="28"/>
                <w:szCs w:val="28"/>
                <w:lang w:bidi="ar"/>
              </w:rPr>
              <w:t>局：提供社会保险费缴纳信息</w:t>
            </w:r>
          </w:p>
        </w:tc>
        <w:tc>
          <w:tcPr>
            <w:tcW w:w="15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imes New Roman" w:hAnsi="Times New Roman" w:eastAsia="仿宋" w:cs="仿宋"/>
                <w:sz w:val="28"/>
                <w:szCs w:val="28"/>
              </w:rPr>
            </w:pPr>
          </w:p>
        </w:tc>
        <w:tc>
          <w:tcPr>
            <w:tcW w:w="36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imes New Roman" w:hAnsi="Times New Roman"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5" w:hRule="atLeast"/>
          <w:jc w:val="center"/>
        </w:trPr>
        <w:tc>
          <w:tcPr>
            <w:tcW w:w="841" w:type="dxa"/>
            <w:vMerge w:val="continue"/>
            <w:noWrap w:val="0"/>
            <w:vAlign w:val="center"/>
          </w:tcPr>
          <w:p>
            <w:pPr>
              <w:widowControl/>
              <w:ind w:left="0" w:leftChars="0" w:firstLine="0" w:firstLineChars="0"/>
              <w:jc w:val="center"/>
              <w:textAlignment w:val="center"/>
              <w:rPr>
                <w:rFonts w:hint="eastAsia" w:ascii="Times New Roman" w:hAnsi="Times New Roman" w:eastAsia="仿宋" w:cs="仿宋"/>
                <w:sz w:val="28"/>
                <w:szCs w:val="28"/>
              </w:rPr>
            </w:pP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市</w:t>
            </w:r>
            <w:r>
              <w:rPr>
                <w:rFonts w:hint="eastAsia" w:ascii="Times New Roman" w:hAnsi="Times New Roman" w:eastAsia="仿宋" w:cs="仿宋"/>
                <w:kern w:val="0"/>
                <w:sz w:val="28"/>
                <w:szCs w:val="28"/>
                <w:lang w:val="en-US" w:eastAsia="zh-CN" w:bidi="ar"/>
              </w:rPr>
              <w:t>医疗保障局</w:t>
            </w:r>
            <w:r>
              <w:rPr>
                <w:rFonts w:hint="eastAsia" w:ascii="Times New Roman" w:hAnsi="Times New Roman" w:eastAsia="仿宋" w:cs="仿宋"/>
                <w:kern w:val="0"/>
                <w:sz w:val="28"/>
                <w:szCs w:val="28"/>
                <w:lang w:bidi="ar"/>
              </w:rPr>
              <w:t>张店分局：提供医疗保险参保缴费信息</w:t>
            </w:r>
          </w:p>
        </w:tc>
        <w:tc>
          <w:tcPr>
            <w:tcW w:w="15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仿宋" w:cs="仿宋"/>
                <w:sz w:val="28"/>
                <w:szCs w:val="28"/>
              </w:rPr>
            </w:pPr>
          </w:p>
        </w:tc>
        <w:tc>
          <w:tcPr>
            <w:tcW w:w="36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5" w:hRule="atLeast"/>
          <w:jc w:val="center"/>
        </w:trPr>
        <w:tc>
          <w:tcPr>
            <w:tcW w:w="841" w:type="dxa"/>
            <w:vMerge w:val="continue"/>
            <w:noWrap w:val="0"/>
            <w:vAlign w:val="center"/>
          </w:tcPr>
          <w:p>
            <w:pPr>
              <w:widowControl/>
              <w:ind w:left="0" w:leftChars="0" w:firstLine="0" w:firstLineChars="0"/>
              <w:jc w:val="center"/>
              <w:textAlignment w:val="center"/>
              <w:rPr>
                <w:rFonts w:hint="eastAsia" w:ascii="Times New Roman" w:hAnsi="Times New Roman" w:eastAsia="仿宋" w:cs="仿宋"/>
                <w:sz w:val="28"/>
                <w:szCs w:val="28"/>
              </w:rPr>
            </w:pP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区行政审批服务局</w:t>
            </w:r>
            <w:r>
              <w:rPr>
                <w:rFonts w:hint="eastAsia" w:ascii="Times New Roman" w:hAnsi="Times New Roman" w:eastAsia="仿宋" w:cs="仿宋"/>
                <w:kern w:val="0"/>
                <w:sz w:val="28"/>
                <w:szCs w:val="28"/>
                <w:lang w:bidi="ar"/>
              </w:rPr>
              <w:t>：提供执业医师资格证、护士执业资格证等信息</w:t>
            </w:r>
          </w:p>
        </w:tc>
        <w:tc>
          <w:tcPr>
            <w:tcW w:w="15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仿宋" w:cs="仿宋"/>
                <w:sz w:val="28"/>
                <w:szCs w:val="28"/>
              </w:rPr>
            </w:pPr>
          </w:p>
        </w:tc>
        <w:tc>
          <w:tcPr>
            <w:tcW w:w="36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5" w:hRule="atLeast"/>
          <w:jc w:val="center"/>
        </w:trPr>
        <w:tc>
          <w:tcPr>
            <w:tcW w:w="841" w:type="dxa"/>
            <w:vMerge w:val="restart"/>
            <w:noWrap w:val="0"/>
            <w:vAlign w:val="center"/>
          </w:tcPr>
          <w:p>
            <w:pPr>
              <w:widowControl/>
              <w:ind w:left="0" w:leftChars="0" w:firstLine="0" w:firstLineChars="0"/>
              <w:jc w:val="center"/>
              <w:textAlignment w:val="center"/>
              <w:rPr>
                <w:rFonts w:hint="eastAsia" w:ascii="Times New Roman" w:hAnsi="Times New Roman" w:eastAsia="仿宋" w:cs="仿宋"/>
                <w:sz w:val="28"/>
                <w:szCs w:val="28"/>
                <w:lang w:eastAsia="zh-CN"/>
              </w:rPr>
            </w:pPr>
            <w:r>
              <w:rPr>
                <w:rFonts w:hint="eastAsia" w:ascii="Times New Roman" w:hAnsi="Times New Roman" w:eastAsia="仿宋" w:cs="仿宋"/>
                <w:sz w:val="28"/>
                <w:szCs w:val="28"/>
                <w:lang w:val="en-US" w:eastAsia="zh-CN"/>
              </w:rPr>
              <w:t>4</w:t>
            </w:r>
          </w:p>
        </w:tc>
        <w:tc>
          <w:tcPr>
            <w:tcW w:w="16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信用信息归集保障工作</w:t>
            </w: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组建信息归集工作专班</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sz w:val="28"/>
                <w:szCs w:val="28"/>
              </w:rPr>
            </w:pPr>
            <w:r>
              <w:rPr>
                <w:rFonts w:hint="eastAsia" w:ascii="Times New Roman" w:hAnsi="Times New Roman" w:eastAsia="仿宋" w:cs="仿宋"/>
                <w:kern w:val="0"/>
                <w:sz w:val="28"/>
                <w:szCs w:val="28"/>
                <w:lang w:val="en-US" w:eastAsia="zh-CN" w:bidi="ar"/>
              </w:rPr>
              <w:t>12</w:t>
            </w:r>
            <w:r>
              <w:rPr>
                <w:rFonts w:hint="eastAsia" w:ascii="Times New Roman" w:hAnsi="Times New Roman" w:eastAsia="仿宋" w:cs="仿宋"/>
                <w:kern w:val="0"/>
                <w:sz w:val="28"/>
                <w:szCs w:val="28"/>
                <w:lang w:bidi="ar"/>
              </w:rPr>
              <w:t>月</w:t>
            </w:r>
            <w:r>
              <w:rPr>
                <w:rFonts w:hint="eastAsia" w:ascii="Times New Roman" w:hAnsi="Times New Roman" w:eastAsia="仿宋" w:cs="仿宋"/>
                <w:kern w:val="0"/>
                <w:sz w:val="28"/>
                <w:szCs w:val="28"/>
                <w:lang w:val="en-US" w:eastAsia="zh-CN" w:bidi="ar"/>
              </w:rPr>
              <w:t>15</w:t>
            </w:r>
            <w:r>
              <w:rPr>
                <w:rFonts w:hint="eastAsia" w:ascii="Times New Roman" w:hAnsi="Times New Roman" w:eastAsia="仿宋" w:cs="仿宋"/>
                <w:kern w:val="0"/>
                <w:sz w:val="28"/>
                <w:szCs w:val="28"/>
                <w:lang w:bidi="ar"/>
              </w:rPr>
              <w:t>日</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区发展改革局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0" w:hRule="atLeast"/>
          <w:jc w:val="center"/>
        </w:trPr>
        <w:tc>
          <w:tcPr>
            <w:tcW w:w="841" w:type="dxa"/>
            <w:vMerge w:val="continue"/>
            <w:noWrap w:val="0"/>
            <w:vAlign w:val="center"/>
          </w:tcPr>
          <w:p>
            <w:pPr>
              <w:widowControl/>
              <w:ind w:left="0" w:leftChars="0" w:firstLine="0" w:firstLineChars="0"/>
              <w:jc w:val="center"/>
              <w:textAlignment w:val="center"/>
              <w:rPr>
                <w:rFonts w:hint="eastAsia" w:ascii="Times New Roman" w:hAnsi="Times New Roman" w:eastAsia="仿宋" w:cs="仿宋"/>
                <w:sz w:val="28"/>
                <w:szCs w:val="28"/>
              </w:rPr>
            </w:pP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建立信息资源、信息共享、信息安全、工作督查四类保障制度</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sz w:val="28"/>
                <w:szCs w:val="28"/>
              </w:rPr>
            </w:pPr>
            <w:r>
              <w:rPr>
                <w:rFonts w:hint="eastAsia" w:ascii="Times New Roman" w:hAnsi="Times New Roman" w:eastAsia="仿宋" w:cs="仿宋"/>
                <w:kern w:val="0"/>
                <w:sz w:val="28"/>
                <w:szCs w:val="28"/>
                <w:lang w:val="en-US" w:eastAsia="zh-CN" w:bidi="ar"/>
              </w:rPr>
              <w:t>12</w:t>
            </w:r>
            <w:r>
              <w:rPr>
                <w:rFonts w:hint="eastAsia" w:ascii="Times New Roman" w:hAnsi="Times New Roman" w:eastAsia="仿宋" w:cs="仿宋"/>
                <w:kern w:val="0"/>
                <w:sz w:val="28"/>
                <w:szCs w:val="28"/>
                <w:lang w:bidi="ar"/>
              </w:rPr>
              <w:t>月</w:t>
            </w:r>
            <w:r>
              <w:rPr>
                <w:rFonts w:hint="eastAsia" w:ascii="Times New Roman" w:hAnsi="Times New Roman" w:eastAsia="仿宋" w:cs="仿宋"/>
                <w:kern w:val="0"/>
                <w:sz w:val="28"/>
                <w:szCs w:val="28"/>
                <w:lang w:val="en-US" w:eastAsia="zh-CN" w:bidi="ar"/>
              </w:rPr>
              <w:t>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区发展改革局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55" w:hRule="atLeast"/>
          <w:jc w:val="center"/>
        </w:trPr>
        <w:tc>
          <w:tcPr>
            <w:tcW w:w="84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sz w:val="28"/>
                <w:szCs w:val="28"/>
                <w:lang w:eastAsia="zh-CN"/>
              </w:rPr>
            </w:pPr>
            <w:r>
              <w:rPr>
                <w:rFonts w:hint="eastAsia" w:ascii="Times New Roman" w:hAnsi="Times New Roman" w:eastAsia="仿宋" w:cs="仿宋"/>
                <w:sz w:val="28"/>
                <w:szCs w:val="28"/>
                <w:lang w:val="en-US" w:eastAsia="zh-CN"/>
              </w:rPr>
              <w:t>5</w:t>
            </w:r>
          </w:p>
        </w:tc>
        <w:tc>
          <w:tcPr>
            <w:tcW w:w="162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联合奖惩</w:t>
            </w: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对守信主体实施联合激励</w:t>
            </w:r>
            <w:r>
              <w:rPr>
                <w:rFonts w:hint="eastAsia" w:ascii="Times New Roman" w:hAnsi="Times New Roman" w:eastAsia="仿宋" w:cs="仿宋"/>
                <w:kern w:val="0"/>
                <w:sz w:val="28"/>
                <w:szCs w:val="28"/>
                <w:lang w:eastAsia="zh-CN" w:bidi="ar"/>
              </w:rPr>
              <w:t>，</w:t>
            </w:r>
            <w:r>
              <w:rPr>
                <w:rFonts w:hint="eastAsia" w:ascii="Times New Roman" w:hAnsi="Times New Roman" w:eastAsia="仿宋" w:cs="仿宋"/>
                <w:kern w:val="0"/>
                <w:sz w:val="28"/>
                <w:szCs w:val="28"/>
                <w:lang w:bidi="ar"/>
              </w:rPr>
              <w:t>对失信主体实施联合惩戒，形成案例及时反馈至区发展改革局</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sz w:val="28"/>
                <w:szCs w:val="28"/>
                <w:highlight w:val="yellow"/>
              </w:rPr>
            </w:pPr>
            <w:r>
              <w:rPr>
                <w:rFonts w:hint="eastAsia" w:ascii="Times New Roman" w:hAnsi="Times New Roman" w:eastAsia="仿宋" w:cs="仿宋"/>
                <w:kern w:val="0"/>
                <w:sz w:val="28"/>
                <w:szCs w:val="28"/>
                <w:lang w:val="en-US" w:eastAsia="zh-CN" w:bidi="ar"/>
              </w:rPr>
              <w:t>持续性</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仿宋"/>
                <w:kern w:val="0"/>
                <w:sz w:val="28"/>
                <w:szCs w:val="28"/>
                <w:lang w:val="en-US" w:eastAsia="zh-CN" w:bidi="ar"/>
              </w:rPr>
            </w:pPr>
            <w:r>
              <w:rPr>
                <w:rFonts w:hint="eastAsia" w:ascii="Times New Roman" w:hAnsi="Times New Roman" w:eastAsia="仿宋" w:cs="仿宋"/>
                <w:kern w:val="0"/>
                <w:sz w:val="28"/>
                <w:szCs w:val="28"/>
                <w:lang w:bidi="ar"/>
              </w:rPr>
              <w:t>区发展改革局、</w:t>
            </w:r>
            <w:r>
              <w:rPr>
                <w:rFonts w:hint="eastAsia" w:ascii="Times New Roman" w:hAnsi="Times New Roman" w:eastAsia="仿宋" w:cs="仿宋"/>
                <w:kern w:val="0"/>
                <w:sz w:val="28"/>
                <w:szCs w:val="28"/>
                <w:lang w:val="en-US" w:eastAsia="zh-CN" w:bidi="ar"/>
              </w:rPr>
              <w:t>区教育体育局、区科技局、区工业和信息化局、</w:t>
            </w:r>
            <w:r>
              <w:rPr>
                <w:rFonts w:hint="eastAsia" w:ascii="Times New Roman" w:hAnsi="Times New Roman" w:eastAsia="仿宋" w:cs="仿宋"/>
                <w:kern w:val="0"/>
                <w:sz w:val="28"/>
                <w:szCs w:val="28"/>
                <w:lang w:bidi="ar"/>
              </w:rPr>
              <w:t>区财政局、区</w:t>
            </w:r>
            <w:r>
              <w:rPr>
                <w:rFonts w:hint="eastAsia" w:ascii="Times New Roman" w:hAnsi="Times New Roman" w:eastAsia="仿宋" w:cs="仿宋"/>
                <w:kern w:val="0"/>
                <w:sz w:val="28"/>
                <w:szCs w:val="28"/>
                <w:lang w:eastAsia="zh-CN" w:bidi="ar"/>
              </w:rPr>
              <w:t>人力资源社会保障</w:t>
            </w:r>
            <w:r>
              <w:rPr>
                <w:rFonts w:hint="eastAsia" w:ascii="Times New Roman" w:hAnsi="Times New Roman" w:eastAsia="仿宋" w:cs="仿宋"/>
                <w:kern w:val="0"/>
                <w:sz w:val="28"/>
                <w:szCs w:val="28"/>
                <w:lang w:bidi="ar"/>
              </w:rPr>
              <w:t>局、区</w:t>
            </w:r>
            <w:r>
              <w:rPr>
                <w:rFonts w:hint="eastAsia" w:ascii="Times New Roman" w:hAnsi="Times New Roman" w:eastAsia="仿宋" w:cs="仿宋"/>
                <w:kern w:val="0"/>
                <w:sz w:val="28"/>
                <w:szCs w:val="28"/>
                <w:lang w:eastAsia="zh-CN" w:bidi="ar"/>
              </w:rPr>
              <w:t>住房城乡建设</w:t>
            </w:r>
            <w:r>
              <w:rPr>
                <w:rFonts w:hint="eastAsia" w:ascii="Times New Roman" w:hAnsi="Times New Roman" w:eastAsia="仿宋" w:cs="仿宋"/>
                <w:kern w:val="0"/>
                <w:sz w:val="28"/>
                <w:szCs w:val="28"/>
                <w:lang w:bidi="ar"/>
              </w:rPr>
              <w:t>局、区交通运输局</w:t>
            </w:r>
            <w:r>
              <w:rPr>
                <w:rFonts w:hint="eastAsia" w:ascii="Times New Roman" w:hAnsi="Times New Roman" w:eastAsia="仿宋" w:cs="仿宋"/>
                <w:kern w:val="0"/>
                <w:sz w:val="28"/>
                <w:szCs w:val="28"/>
                <w:lang w:eastAsia="zh-CN" w:bidi="ar"/>
              </w:rPr>
              <w:t>、</w:t>
            </w:r>
            <w:r>
              <w:rPr>
                <w:rFonts w:hint="eastAsia" w:ascii="Times New Roman" w:hAnsi="Times New Roman" w:eastAsia="仿宋" w:cs="仿宋"/>
                <w:kern w:val="0"/>
                <w:sz w:val="28"/>
                <w:szCs w:val="28"/>
                <w:lang w:val="en-US" w:eastAsia="zh-CN" w:bidi="ar"/>
              </w:rPr>
              <w:t>区商务局、区文化和旅游局、</w:t>
            </w:r>
            <w:r>
              <w:rPr>
                <w:rFonts w:hint="eastAsia" w:ascii="Times New Roman" w:hAnsi="Times New Roman" w:eastAsia="仿宋" w:cs="仿宋"/>
                <w:kern w:val="0"/>
                <w:sz w:val="28"/>
                <w:szCs w:val="28"/>
                <w:lang w:eastAsia="zh-CN" w:bidi="ar"/>
              </w:rPr>
              <w:t>区行政审批服务局</w:t>
            </w:r>
            <w:r>
              <w:rPr>
                <w:rFonts w:hint="eastAsia" w:ascii="Times New Roman" w:hAnsi="Times New Roman" w:eastAsia="仿宋" w:cs="仿宋"/>
                <w:kern w:val="0"/>
                <w:sz w:val="28"/>
                <w:szCs w:val="28"/>
                <w:lang w:bidi="ar"/>
              </w:rPr>
              <w:t>、市自然资源</w:t>
            </w:r>
            <w:r>
              <w:rPr>
                <w:rFonts w:hint="eastAsia" w:ascii="Times New Roman" w:hAnsi="Times New Roman" w:eastAsia="仿宋" w:cs="仿宋"/>
                <w:kern w:val="0"/>
                <w:sz w:val="28"/>
                <w:szCs w:val="28"/>
                <w:lang w:val="en-US" w:eastAsia="zh-CN" w:bidi="ar"/>
              </w:rPr>
              <w:t>和规划局</w:t>
            </w:r>
            <w:r>
              <w:rPr>
                <w:rFonts w:hint="eastAsia" w:ascii="Times New Roman" w:hAnsi="Times New Roman" w:eastAsia="仿宋" w:cs="仿宋"/>
                <w:kern w:val="0"/>
                <w:sz w:val="28"/>
                <w:szCs w:val="28"/>
                <w:lang w:bidi="ar"/>
              </w:rPr>
              <w:t>张店分局、市生态环境</w:t>
            </w:r>
            <w:r>
              <w:rPr>
                <w:rFonts w:hint="eastAsia" w:ascii="Times New Roman" w:hAnsi="Times New Roman" w:eastAsia="仿宋" w:cs="仿宋"/>
                <w:kern w:val="0"/>
                <w:sz w:val="28"/>
                <w:szCs w:val="28"/>
                <w:lang w:val="en-US" w:eastAsia="zh-CN" w:bidi="ar"/>
              </w:rPr>
              <w:t>局</w:t>
            </w:r>
            <w:r>
              <w:rPr>
                <w:rFonts w:hint="eastAsia" w:ascii="Times New Roman" w:hAnsi="Times New Roman" w:eastAsia="仿宋" w:cs="仿宋"/>
                <w:kern w:val="0"/>
                <w:sz w:val="28"/>
                <w:szCs w:val="28"/>
                <w:lang w:bidi="ar"/>
              </w:rPr>
              <w:t>张店分局、区市场监管局、区法院</w:t>
            </w:r>
            <w:r>
              <w:rPr>
                <w:rFonts w:hint="eastAsia" w:ascii="Times New Roman" w:hAnsi="Times New Roman" w:eastAsia="仿宋" w:cs="仿宋"/>
                <w:kern w:val="0"/>
                <w:sz w:val="28"/>
                <w:szCs w:val="28"/>
                <w:lang w:eastAsia="zh-CN" w:bidi="ar"/>
              </w:rPr>
              <w:t>、</w:t>
            </w:r>
            <w:r>
              <w:rPr>
                <w:rFonts w:hint="eastAsia" w:ascii="Times New Roman" w:hAnsi="Times New Roman" w:eastAsia="仿宋" w:cs="仿宋"/>
                <w:kern w:val="0"/>
                <w:sz w:val="28"/>
                <w:szCs w:val="28"/>
                <w:lang w:bidi="ar"/>
              </w:rPr>
              <w:t>区税务局、</w:t>
            </w:r>
            <w:r>
              <w:rPr>
                <w:rFonts w:hint="eastAsia" w:ascii="Times New Roman" w:hAnsi="Times New Roman" w:eastAsia="仿宋" w:cs="仿宋"/>
                <w:kern w:val="0"/>
                <w:sz w:val="28"/>
                <w:szCs w:val="28"/>
                <w:lang w:val="en-US" w:eastAsia="zh-CN" w:bidi="ar"/>
              </w:rPr>
              <w:t>区应急局、区综合行政执法局、区地方金融监管局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3" w:hRule="atLeast"/>
          <w:jc w:val="center"/>
        </w:trPr>
        <w:tc>
          <w:tcPr>
            <w:tcW w:w="84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6</w:t>
            </w:r>
          </w:p>
        </w:tc>
        <w:tc>
          <w:tcPr>
            <w:tcW w:w="162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信用修复</w:t>
            </w: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建立</w:t>
            </w:r>
            <w:r>
              <w:rPr>
                <w:rFonts w:hint="eastAsia" w:ascii="Times New Roman" w:hAnsi="Times New Roman" w:eastAsia="仿宋" w:cs="仿宋"/>
                <w:kern w:val="0"/>
                <w:sz w:val="28"/>
                <w:szCs w:val="28"/>
                <w:lang w:val="en-US" w:eastAsia="zh-CN" w:bidi="ar"/>
              </w:rPr>
              <w:t>健全</w:t>
            </w:r>
            <w:r>
              <w:rPr>
                <w:rFonts w:hint="eastAsia" w:ascii="Times New Roman" w:hAnsi="Times New Roman" w:eastAsia="仿宋" w:cs="仿宋"/>
                <w:kern w:val="0"/>
                <w:sz w:val="28"/>
                <w:szCs w:val="28"/>
                <w:lang w:bidi="ar"/>
              </w:rPr>
              <w:t>信用修复机制</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sz w:val="28"/>
                <w:szCs w:val="28"/>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区发展改革局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5" w:hRule="atLeast"/>
          <w:jc w:val="center"/>
        </w:trPr>
        <w:tc>
          <w:tcPr>
            <w:tcW w:w="84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imes New Roman" w:hAnsi="Times New Roman" w:eastAsia="仿宋" w:cs="仿宋"/>
                <w:sz w:val="28"/>
                <w:szCs w:val="28"/>
                <w:lang w:eastAsia="zh-CN"/>
              </w:rPr>
            </w:pPr>
            <w:r>
              <w:rPr>
                <w:rFonts w:hint="eastAsia" w:ascii="Times New Roman" w:hAnsi="Times New Roman" w:eastAsia="仿宋" w:cs="仿宋"/>
                <w:sz w:val="28"/>
                <w:szCs w:val="28"/>
                <w:lang w:val="en-US" w:eastAsia="zh-CN"/>
              </w:rPr>
              <w:t>7</w:t>
            </w:r>
          </w:p>
        </w:tc>
        <w:tc>
          <w:tcPr>
            <w:tcW w:w="16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企业信用管理建设工作</w:t>
            </w: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制定并发布企业信用信息采集与管理办法，制定企业与企业职工信用管理评价标准</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imes New Roman" w:hAnsi="Times New Roman" w:eastAsia="仿宋" w:cs="仿宋"/>
                <w:sz w:val="28"/>
                <w:szCs w:val="28"/>
              </w:rPr>
            </w:pPr>
            <w:r>
              <w:rPr>
                <w:rFonts w:hint="eastAsia" w:ascii="Times New Roman" w:hAnsi="Times New Roman" w:eastAsia="仿宋" w:cs="仿宋"/>
                <w:sz w:val="28"/>
                <w:szCs w:val="28"/>
                <w:lang w:val="en-US" w:eastAsia="zh-CN"/>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区发展改革局、区市场监管局</w:t>
            </w:r>
            <w:r>
              <w:rPr>
                <w:rFonts w:hint="eastAsia" w:ascii="Times New Roman" w:hAnsi="Times New Roman" w:eastAsia="仿宋" w:cs="仿宋"/>
                <w:kern w:val="0"/>
                <w:sz w:val="28"/>
                <w:szCs w:val="28"/>
                <w:lang w:eastAsia="zh-CN" w:bidi="ar"/>
              </w:rPr>
              <w:t>、</w:t>
            </w:r>
            <w:r>
              <w:rPr>
                <w:rFonts w:hint="eastAsia" w:ascii="Times New Roman" w:hAnsi="Times New Roman" w:eastAsia="仿宋" w:cs="仿宋"/>
                <w:kern w:val="0"/>
                <w:sz w:val="28"/>
                <w:szCs w:val="28"/>
                <w:lang w:bidi="ar"/>
              </w:rPr>
              <w:t>区司法局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5" w:hRule="atLeast"/>
          <w:jc w:val="center"/>
        </w:trPr>
        <w:tc>
          <w:tcPr>
            <w:tcW w:w="8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imes New Roman" w:hAnsi="Times New Roman" w:eastAsia="仿宋" w:cs="仿宋"/>
                <w:sz w:val="28"/>
                <w:szCs w:val="28"/>
              </w:rPr>
            </w:pP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imes New Roman" w:hAnsi="Times New Roman" w:eastAsia="仿宋" w:cs="仿宋"/>
                <w:kern w:val="0"/>
                <w:sz w:val="28"/>
                <w:szCs w:val="28"/>
                <w:lang w:bidi="ar"/>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根据企业信用信息采集要求，采集、报送企业和企业职工的信用信息</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区发展改革局牵头，</w:t>
            </w:r>
            <w:r>
              <w:rPr>
                <w:rFonts w:hint="eastAsia" w:ascii="Times New Roman" w:hAnsi="Times New Roman" w:eastAsia="仿宋" w:cs="仿宋"/>
                <w:kern w:val="0"/>
                <w:sz w:val="28"/>
                <w:szCs w:val="28"/>
                <w:lang w:val="en-US" w:eastAsia="zh-CN" w:bidi="ar"/>
              </w:rPr>
              <w:t>区有关部门、</w:t>
            </w:r>
            <w:r>
              <w:rPr>
                <w:rFonts w:hint="eastAsia" w:ascii="Times New Roman" w:hAnsi="Times New Roman" w:eastAsia="仿宋" w:cs="仿宋"/>
                <w:kern w:val="0"/>
                <w:sz w:val="28"/>
                <w:szCs w:val="28"/>
                <w:lang w:eastAsia="zh-CN" w:bidi="ar"/>
              </w:rPr>
              <w:t>各镇办</w:t>
            </w:r>
            <w:r>
              <w:rPr>
                <w:rFonts w:hint="eastAsia" w:ascii="Times New Roman" w:hAnsi="Times New Roman" w:eastAsia="仿宋" w:cs="仿宋"/>
                <w:kern w:val="0"/>
                <w:sz w:val="28"/>
                <w:szCs w:val="28"/>
                <w:lang w:bidi="ar"/>
              </w:rPr>
              <w:t>、张店经济开发区配合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20" w:hRule="atLeast"/>
          <w:jc w:val="center"/>
        </w:trPr>
        <w:tc>
          <w:tcPr>
            <w:tcW w:w="8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imes New Roman" w:hAnsi="Times New Roman" w:eastAsia="仿宋" w:cs="仿宋"/>
                <w:sz w:val="28"/>
                <w:szCs w:val="28"/>
              </w:rPr>
            </w:pP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imes New Roman" w:hAnsi="Times New Roman" w:eastAsia="仿宋" w:cs="仿宋"/>
                <w:kern w:val="0"/>
                <w:sz w:val="28"/>
                <w:szCs w:val="28"/>
                <w:lang w:bidi="ar"/>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组织开展企业诚信承诺活动，</w:t>
            </w:r>
            <w:r>
              <w:rPr>
                <w:rFonts w:hint="eastAsia" w:ascii="Times New Roman" w:hAnsi="Times New Roman" w:eastAsia="仿宋" w:cs="仿宋"/>
                <w:kern w:val="0"/>
                <w:sz w:val="28"/>
                <w:szCs w:val="28"/>
                <w:lang w:val="en-US" w:eastAsia="zh-CN" w:bidi="ar"/>
              </w:rPr>
              <w:t>督促</w:t>
            </w:r>
            <w:r>
              <w:rPr>
                <w:rFonts w:hint="eastAsia" w:ascii="Times New Roman" w:hAnsi="Times New Roman" w:eastAsia="仿宋" w:cs="仿宋"/>
                <w:kern w:val="0"/>
                <w:sz w:val="28"/>
                <w:szCs w:val="28"/>
                <w:lang w:bidi="ar"/>
              </w:rPr>
              <w:t>企业建立现代信用管理制度</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区发展改革局、区市场监管局、区</w:t>
            </w:r>
            <w:r>
              <w:rPr>
                <w:rFonts w:hint="eastAsia" w:ascii="Times New Roman" w:hAnsi="Times New Roman" w:eastAsia="仿宋" w:cs="仿宋"/>
                <w:kern w:val="0"/>
                <w:sz w:val="28"/>
                <w:szCs w:val="28"/>
                <w:lang w:val="en-US" w:eastAsia="zh-CN" w:bidi="ar"/>
              </w:rPr>
              <w:t>工业和信息化局</w:t>
            </w:r>
            <w:r>
              <w:rPr>
                <w:rFonts w:hint="eastAsia" w:ascii="Times New Roman" w:hAnsi="Times New Roman" w:eastAsia="仿宋" w:cs="仿宋"/>
                <w:kern w:val="0"/>
                <w:sz w:val="28"/>
                <w:szCs w:val="28"/>
                <w:lang w:bidi="ar"/>
              </w:rPr>
              <w:t>牵头，</w:t>
            </w:r>
            <w:r>
              <w:rPr>
                <w:rFonts w:hint="eastAsia" w:ascii="Times New Roman" w:hAnsi="Times New Roman" w:eastAsia="仿宋" w:cs="仿宋"/>
                <w:kern w:val="0"/>
                <w:sz w:val="28"/>
                <w:szCs w:val="28"/>
                <w:lang w:val="en-US" w:eastAsia="zh-CN" w:bidi="ar"/>
              </w:rPr>
              <w:t>区有关部门、</w:t>
            </w:r>
            <w:r>
              <w:rPr>
                <w:rFonts w:hint="eastAsia" w:ascii="Times New Roman" w:hAnsi="Times New Roman" w:eastAsia="仿宋" w:cs="仿宋"/>
                <w:kern w:val="0"/>
                <w:sz w:val="28"/>
                <w:szCs w:val="28"/>
                <w:lang w:eastAsia="zh-CN" w:bidi="ar"/>
              </w:rPr>
              <w:t>各镇办</w:t>
            </w:r>
            <w:r>
              <w:rPr>
                <w:rFonts w:hint="eastAsia" w:ascii="Times New Roman" w:hAnsi="Times New Roman" w:eastAsia="仿宋" w:cs="仿宋"/>
                <w:kern w:val="0"/>
                <w:sz w:val="28"/>
                <w:szCs w:val="28"/>
                <w:lang w:bidi="ar"/>
              </w:rPr>
              <w:t>、张店经济开发区配合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60" w:hRule="atLeast"/>
          <w:jc w:val="center"/>
        </w:trPr>
        <w:tc>
          <w:tcPr>
            <w:tcW w:w="8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imes New Roman" w:hAnsi="Times New Roman" w:eastAsia="仿宋" w:cs="仿宋"/>
                <w:sz w:val="28"/>
                <w:szCs w:val="28"/>
              </w:rPr>
            </w:pP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imes New Roman" w:hAnsi="Times New Roman" w:eastAsia="仿宋" w:cs="仿宋"/>
                <w:kern w:val="0"/>
                <w:sz w:val="28"/>
                <w:szCs w:val="28"/>
                <w:lang w:bidi="ar"/>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对相关部门认定的诚信市场主体</w:t>
            </w:r>
            <w:r>
              <w:rPr>
                <w:rFonts w:hint="eastAsia" w:ascii="Times New Roman" w:hAnsi="Times New Roman" w:eastAsia="仿宋" w:cs="仿宋"/>
                <w:kern w:val="0"/>
                <w:sz w:val="28"/>
                <w:szCs w:val="28"/>
                <w:lang w:bidi="ar"/>
              </w:rPr>
              <w:t>提供绿色通道、容缺办理、政策扶持等激励措施</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imes New Roman" w:hAnsi="Times New Roman" w:eastAsia="仿宋" w:cs="仿宋"/>
                <w:kern w:val="0"/>
                <w:sz w:val="28"/>
                <w:szCs w:val="28"/>
                <w:lang w:eastAsia="zh-CN" w:bidi="ar"/>
              </w:rPr>
            </w:pPr>
            <w:r>
              <w:rPr>
                <w:rFonts w:hint="eastAsia" w:ascii="Times New Roman" w:hAnsi="Times New Roman" w:eastAsia="仿宋" w:cs="仿宋"/>
                <w:kern w:val="0"/>
                <w:sz w:val="28"/>
                <w:szCs w:val="28"/>
                <w:lang w:bidi="ar"/>
              </w:rPr>
              <w:t>区发展改革局牵头，</w:t>
            </w:r>
            <w:r>
              <w:rPr>
                <w:rFonts w:hint="eastAsia" w:ascii="Times New Roman" w:hAnsi="Times New Roman" w:eastAsia="仿宋" w:cs="仿宋"/>
                <w:kern w:val="0"/>
                <w:sz w:val="28"/>
                <w:szCs w:val="28"/>
                <w:lang w:eastAsia="zh-CN" w:bidi="ar"/>
              </w:rPr>
              <w:t>区行政审批服务局</w:t>
            </w:r>
            <w:r>
              <w:rPr>
                <w:rFonts w:hint="eastAsia" w:ascii="Times New Roman" w:hAnsi="Times New Roman" w:eastAsia="仿宋" w:cs="仿宋"/>
                <w:kern w:val="0"/>
                <w:sz w:val="28"/>
                <w:szCs w:val="28"/>
                <w:lang w:bidi="ar"/>
              </w:rPr>
              <w:t>、区财政局等有关部门</w:t>
            </w:r>
            <w:r>
              <w:rPr>
                <w:rFonts w:hint="eastAsia" w:ascii="Times New Roman" w:hAnsi="Times New Roman" w:eastAsia="仿宋" w:cs="仿宋"/>
                <w:kern w:val="0"/>
                <w:sz w:val="28"/>
                <w:szCs w:val="28"/>
                <w:lang w:val="en-US" w:eastAsia="zh-CN" w:bidi="ar"/>
              </w:rPr>
              <w:t>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841" w:type="dxa"/>
            <w:vMerge w:val="continue"/>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rPr>
                <w:rFonts w:hint="eastAsia" w:ascii="Times New Roman" w:hAnsi="Times New Roman" w:eastAsia="仿宋_GB2312" w:cs="仿宋_GB2312"/>
                <w:sz w:val="28"/>
                <w:szCs w:val="28"/>
              </w:rPr>
            </w:pP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rPr>
                <w:rFonts w:hint="eastAsia" w:ascii="Times New Roman" w:hAnsi="Times New Roman" w:eastAsia="仿宋_GB2312" w:cs="仿宋_GB2312"/>
                <w:kern w:val="0"/>
                <w:sz w:val="28"/>
                <w:szCs w:val="28"/>
                <w:lang w:bidi="ar"/>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研究制定本行业信用监管办法，建立相关主体信用档案、信用评价制度，形成评价结果并对管理对象实施分级分类监管</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区市场监管局、区交通运输局、区综合行政执法局、区住</w:t>
            </w:r>
            <w:r>
              <w:rPr>
                <w:rFonts w:hint="eastAsia" w:ascii="Times New Roman" w:hAnsi="Times New Roman" w:eastAsia="仿宋" w:cs="仿宋"/>
                <w:kern w:val="0"/>
                <w:sz w:val="28"/>
                <w:szCs w:val="28"/>
                <w:lang w:eastAsia="zh-CN" w:bidi="ar"/>
              </w:rPr>
              <w:t>房城乡建设</w:t>
            </w:r>
            <w:r>
              <w:rPr>
                <w:rFonts w:hint="eastAsia" w:ascii="Times New Roman" w:hAnsi="Times New Roman" w:eastAsia="仿宋" w:cs="仿宋"/>
                <w:kern w:val="0"/>
                <w:sz w:val="28"/>
                <w:szCs w:val="28"/>
                <w:lang w:bidi="ar"/>
              </w:rPr>
              <w:t>局、市生态环境</w:t>
            </w:r>
            <w:r>
              <w:rPr>
                <w:rFonts w:hint="eastAsia" w:ascii="Times New Roman" w:hAnsi="Times New Roman" w:eastAsia="仿宋" w:cs="仿宋"/>
                <w:kern w:val="0"/>
                <w:sz w:val="28"/>
                <w:szCs w:val="28"/>
                <w:lang w:val="en-US" w:eastAsia="zh-CN" w:bidi="ar"/>
              </w:rPr>
              <w:t>局</w:t>
            </w:r>
            <w:r>
              <w:rPr>
                <w:rFonts w:hint="eastAsia" w:ascii="Times New Roman" w:hAnsi="Times New Roman" w:eastAsia="仿宋" w:cs="仿宋"/>
                <w:kern w:val="0"/>
                <w:sz w:val="28"/>
                <w:szCs w:val="28"/>
                <w:lang w:bidi="ar"/>
              </w:rPr>
              <w:t>张店分局、区应急局、市自然资源</w:t>
            </w:r>
            <w:r>
              <w:rPr>
                <w:rFonts w:hint="eastAsia" w:ascii="Times New Roman" w:hAnsi="Times New Roman" w:eastAsia="仿宋" w:cs="仿宋"/>
                <w:kern w:val="0"/>
                <w:sz w:val="28"/>
                <w:szCs w:val="28"/>
                <w:lang w:val="en-US" w:eastAsia="zh-CN" w:bidi="ar"/>
              </w:rPr>
              <w:t>和规划局</w:t>
            </w:r>
            <w:r>
              <w:rPr>
                <w:rFonts w:hint="eastAsia" w:ascii="Times New Roman" w:hAnsi="Times New Roman" w:eastAsia="仿宋" w:cs="仿宋"/>
                <w:kern w:val="0"/>
                <w:sz w:val="28"/>
                <w:szCs w:val="28"/>
                <w:lang w:bidi="ar"/>
              </w:rPr>
              <w:t>张店分局、区农业农村局、区</w:t>
            </w:r>
            <w:r>
              <w:rPr>
                <w:rFonts w:hint="eastAsia" w:ascii="Times New Roman" w:hAnsi="Times New Roman" w:eastAsia="仿宋" w:cs="仿宋"/>
                <w:kern w:val="0"/>
                <w:sz w:val="28"/>
                <w:szCs w:val="28"/>
                <w:lang w:eastAsia="zh-CN" w:bidi="ar"/>
              </w:rPr>
              <w:t>卫生健康</w:t>
            </w:r>
            <w:r>
              <w:rPr>
                <w:rFonts w:hint="eastAsia" w:ascii="Times New Roman" w:hAnsi="Times New Roman" w:eastAsia="仿宋" w:cs="仿宋"/>
                <w:kern w:val="0"/>
                <w:sz w:val="28"/>
                <w:szCs w:val="28"/>
                <w:lang w:bidi="ar"/>
              </w:rPr>
              <w:t>局等行业主管部门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63" w:hRule="atLeast"/>
          <w:jc w:val="center"/>
        </w:trPr>
        <w:tc>
          <w:tcPr>
            <w:tcW w:w="841"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8</w:t>
            </w:r>
          </w:p>
        </w:tc>
        <w:tc>
          <w:tcPr>
            <w:tcW w:w="1620"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市场主体信用建设工作</w:t>
            </w: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对相关部门认定的诚信市场主体</w:t>
            </w:r>
            <w:r>
              <w:rPr>
                <w:rFonts w:hint="eastAsia" w:ascii="Times New Roman" w:hAnsi="Times New Roman" w:eastAsia="仿宋" w:cs="仿宋"/>
                <w:kern w:val="0"/>
                <w:sz w:val="28"/>
                <w:szCs w:val="28"/>
                <w:lang w:bidi="ar"/>
              </w:rPr>
              <w:t>提供绿色通道、容缺办理、政策扶持等激励措施</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val="en-US" w:eastAsia="zh-CN" w:bidi="ar"/>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区发展改革局、区市场监管局、</w:t>
            </w:r>
            <w:r>
              <w:rPr>
                <w:rFonts w:hint="eastAsia" w:ascii="Times New Roman" w:hAnsi="Times New Roman" w:eastAsia="仿宋" w:cs="仿宋"/>
                <w:kern w:val="0"/>
                <w:sz w:val="28"/>
                <w:szCs w:val="28"/>
                <w:lang w:val="en-US" w:eastAsia="zh-CN" w:bidi="ar"/>
              </w:rPr>
              <w:t>区行政审批服务局、</w:t>
            </w:r>
            <w:r>
              <w:rPr>
                <w:rFonts w:hint="eastAsia" w:ascii="Times New Roman" w:hAnsi="Times New Roman" w:eastAsia="仿宋" w:cs="仿宋"/>
                <w:kern w:val="0"/>
                <w:sz w:val="28"/>
                <w:szCs w:val="28"/>
                <w:lang w:bidi="ar"/>
              </w:rPr>
              <w:t>区司法局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8" w:hRule="atLeast"/>
          <w:jc w:val="center"/>
        </w:trPr>
        <w:tc>
          <w:tcPr>
            <w:tcW w:w="841"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Times New Roman" w:hAnsi="Times New Roman" w:eastAsia="仿宋" w:cs="仿宋"/>
                <w:sz w:val="28"/>
                <w:szCs w:val="28"/>
                <w:lang w:val="en-US" w:eastAsia="zh-CN"/>
              </w:rPr>
            </w:pPr>
          </w:p>
        </w:tc>
        <w:tc>
          <w:tcPr>
            <w:tcW w:w="162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Times New Roman" w:hAnsi="Times New Roman" w:eastAsia="仿宋" w:cs="仿宋"/>
                <w:sz w:val="28"/>
                <w:szCs w:val="28"/>
                <w:lang w:val="en-US" w:eastAsia="zh-CN"/>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根据</w:t>
            </w:r>
            <w:r>
              <w:rPr>
                <w:rFonts w:hint="eastAsia" w:ascii="Times New Roman" w:hAnsi="Times New Roman" w:eastAsia="仿宋" w:cs="仿宋"/>
                <w:kern w:val="0"/>
                <w:sz w:val="28"/>
                <w:szCs w:val="28"/>
                <w:lang w:val="en-US" w:eastAsia="zh-CN" w:bidi="ar"/>
              </w:rPr>
              <w:t>市场主体</w:t>
            </w:r>
            <w:r>
              <w:rPr>
                <w:rFonts w:hint="eastAsia" w:ascii="Times New Roman" w:hAnsi="Times New Roman" w:eastAsia="仿宋" w:cs="仿宋"/>
                <w:kern w:val="0"/>
                <w:sz w:val="28"/>
                <w:szCs w:val="28"/>
                <w:lang w:bidi="ar"/>
              </w:rPr>
              <w:t>信用信息采集要求，报送</w:t>
            </w:r>
            <w:r>
              <w:rPr>
                <w:rFonts w:hint="eastAsia" w:ascii="Times New Roman" w:hAnsi="Times New Roman" w:eastAsia="仿宋" w:cs="仿宋"/>
                <w:kern w:val="0"/>
                <w:sz w:val="28"/>
                <w:szCs w:val="28"/>
                <w:lang w:val="en-US" w:eastAsia="zh-CN" w:bidi="ar"/>
              </w:rPr>
              <w:t>市场主体</w:t>
            </w:r>
            <w:r>
              <w:rPr>
                <w:rFonts w:hint="eastAsia" w:ascii="Times New Roman" w:hAnsi="Times New Roman" w:eastAsia="仿宋" w:cs="仿宋"/>
                <w:kern w:val="0"/>
                <w:sz w:val="28"/>
                <w:szCs w:val="28"/>
                <w:lang w:bidi="ar"/>
              </w:rPr>
              <w:t>信用信息</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val="en-US" w:eastAsia="zh-CN" w:bidi="ar"/>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仿宋"/>
                <w:kern w:val="0"/>
                <w:sz w:val="28"/>
                <w:szCs w:val="28"/>
                <w:lang w:val="en-US" w:eastAsia="zh-CN" w:bidi="ar"/>
              </w:rPr>
            </w:pPr>
            <w:r>
              <w:rPr>
                <w:rFonts w:hint="eastAsia" w:ascii="Times New Roman" w:hAnsi="Times New Roman" w:eastAsia="仿宋" w:cs="仿宋"/>
                <w:kern w:val="0"/>
                <w:sz w:val="28"/>
                <w:szCs w:val="28"/>
                <w:lang w:val="en-US" w:eastAsia="zh-CN" w:bidi="ar"/>
              </w:rPr>
              <w:t>全区各相关单位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3" w:hRule="atLeast"/>
          <w:jc w:val="center"/>
        </w:trPr>
        <w:tc>
          <w:tcPr>
            <w:tcW w:w="841"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Times New Roman" w:hAnsi="Times New Roman" w:eastAsia="仿宋" w:cs="仿宋"/>
                <w:sz w:val="28"/>
                <w:szCs w:val="28"/>
                <w:lang w:val="en-US" w:eastAsia="zh-CN"/>
              </w:rPr>
            </w:pPr>
          </w:p>
        </w:tc>
        <w:tc>
          <w:tcPr>
            <w:tcW w:w="162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Times New Roman" w:hAnsi="Times New Roman" w:eastAsia="仿宋" w:cs="仿宋"/>
                <w:sz w:val="28"/>
                <w:szCs w:val="28"/>
                <w:lang w:val="en-US" w:eastAsia="zh-CN"/>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开展</w:t>
            </w:r>
            <w:r>
              <w:rPr>
                <w:rFonts w:hint="eastAsia" w:ascii="Times New Roman" w:hAnsi="Times New Roman" w:eastAsia="仿宋" w:cs="仿宋"/>
                <w:kern w:val="0"/>
                <w:sz w:val="28"/>
                <w:szCs w:val="28"/>
                <w:lang w:val="en-US" w:eastAsia="zh-CN" w:bidi="ar"/>
              </w:rPr>
              <w:t>市场主体</w:t>
            </w:r>
            <w:r>
              <w:rPr>
                <w:rFonts w:hint="eastAsia" w:ascii="Times New Roman" w:hAnsi="Times New Roman" w:eastAsia="仿宋" w:cs="仿宋"/>
                <w:kern w:val="0"/>
                <w:sz w:val="28"/>
                <w:szCs w:val="28"/>
                <w:lang w:bidi="ar"/>
              </w:rPr>
              <w:t>信用综合评价，</w:t>
            </w:r>
            <w:r>
              <w:rPr>
                <w:rFonts w:hint="eastAsia" w:ascii="Times New Roman" w:hAnsi="Times New Roman" w:eastAsia="仿宋" w:cs="仿宋"/>
                <w:kern w:val="0"/>
                <w:sz w:val="28"/>
                <w:szCs w:val="28"/>
                <w:lang w:val="en-US" w:eastAsia="zh-CN" w:bidi="ar"/>
              </w:rPr>
              <w:t>对相关部门认定的诚信市场主体</w:t>
            </w:r>
            <w:r>
              <w:rPr>
                <w:rFonts w:hint="eastAsia" w:ascii="Times New Roman" w:hAnsi="Times New Roman" w:eastAsia="仿宋" w:cs="仿宋"/>
                <w:kern w:val="0"/>
                <w:sz w:val="28"/>
                <w:szCs w:val="28"/>
                <w:lang w:bidi="ar"/>
              </w:rPr>
              <w:t>提供绿色通道、容缺办理、政策扶持等激励措施</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val="en-US" w:eastAsia="zh-CN" w:bidi="ar"/>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eastAsia="zh-CN" w:bidi="ar"/>
              </w:rPr>
            </w:pPr>
            <w:r>
              <w:rPr>
                <w:rFonts w:hint="eastAsia" w:ascii="Times New Roman" w:hAnsi="Times New Roman" w:eastAsia="仿宋" w:cs="仿宋"/>
                <w:kern w:val="0"/>
                <w:sz w:val="28"/>
                <w:szCs w:val="28"/>
                <w:lang w:bidi="ar"/>
              </w:rPr>
              <w:t>区发展改革局牵头，</w:t>
            </w:r>
            <w:r>
              <w:rPr>
                <w:rFonts w:hint="eastAsia" w:ascii="Times New Roman" w:hAnsi="Times New Roman" w:eastAsia="仿宋" w:cs="仿宋"/>
                <w:kern w:val="0"/>
                <w:sz w:val="28"/>
                <w:szCs w:val="28"/>
                <w:lang w:eastAsia="zh-CN" w:bidi="ar"/>
              </w:rPr>
              <w:t>区行政审批服务局</w:t>
            </w:r>
            <w:r>
              <w:rPr>
                <w:rFonts w:hint="eastAsia" w:ascii="Times New Roman" w:hAnsi="Times New Roman" w:eastAsia="仿宋" w:cs="仿宋"/>
                <w:kern w:val="0"/>
                <w:sz w:val="28"/>
                <w:szCs w:val="28"/>
                <w:lang w:bidi="ar"/>
              </w:rPr>
              <w:t>、区财政局、区科技局等</w:t>
            </w:r>
            <w:r>
              <w:rPr>
                <w:rFonts w:hint="eastAsia" w:ascii="Times New Roman" w:hAnsi="Times New Roman" w:eastAsia="仿宋" w:cs="仿宋"/>
                <w:kern w:val="0"/>
                <w:sz w:val="28"/>
                <w:szCs w:val="28"/>
                <w:lang w:val="en-US" w:eastAsia="zh-CN" w:bidi="ar"/>
              </w:rPr>
              <w:t>相关单位配合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0" w:hRule="atLeast"/>
          <w:jc w:val="center"/>
        </w:trPr>
        <w:tc>
          <w:tcPr>
            <w:tcW w:w="84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sz w:val="28"/>
                <w:szCs w:val="28"/>
                <w:lang w:eastAsia="zh-CN"/>
              </w:rPr>
            </w:pPr>
            <w:r>
              <w:rPr>
                <w:rFonts w:hint="eastAsia" w:ascii="Times New Roman" w:hAnsi="Times New Roman" w:eastAsia="仿宋" w:cs="仿宋"/>
                <w:sz w:val="28"/>
                <w:szCs w:val="28"/>
                <w:lang w:val="en-US" w:eastAsia="zh-CN"/>
              </w:rPr>
              <w:t>9</w:t>
            </w:r>
          </w:p>
        </w:tc>
        <w:tc>
          <w:tcPr>
            <w:tcW w:w="16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诚信示范街区建设工作</w:t>
            </w: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制定“诚信经营示范街”相关的管理制度及标准规范，</w:t>
            </w:r>
            <w:r>
              <w:rPr>
                <w:rFonts w:hint="eastAsia" w:ascii="Times New Roman" w:hAnsi="Times New Roman" w:eastAsia="仿宋" w:cs="仿宋"/>
                <w:kern w:val="0"/>
                <w:sz w:val="28"/>
                <w:szCs w:val="28"/>
                <w:lang w:val="en-US" w:eastAsia="zh-CN" w:bidi="ar"/>
              </w:rPr>
              <w:t>提供</w:t>
            </w:r>
            <w:r>
              <w:rPr>
                <w:rFonts w:hint="eastAsia" w:ascii="Times New Roman" w:hAnsi="Times New Roman" w:eastAsia="仿宋" w:cs="仿宋"/>
                <w:kern w:val="0"/>
                <w:sz w:val="28"/>
                <w:szCs w:val="28"/>
                <w:lang w:bidi="ar"/>
              </w:rPr>
              <w:t>创建工作所需各类信用信息资源，</w:t>
            </w:r>
            <w:r>
              <w:rPr>
                <w:rFonts w:hint="eastAsia" w:ascii="Times New Roman" w:hAnsi="Times New Roman" w:eastAsia="仿宋" w:cs="仿宋"/>
                <w:kern w:val="0"/>
                <w:sz w:val="28"/>
                <w:szCs w:val="28"/>
                <w:lang w:val="en-US" w:eastAsia="zh-CN" w:bidi="ar"/>
              </w:rPr>
              <w:t>开展</w:t>
            </w:r>
            <w:r>
              <w:rPr>
                <w:rFonts w:hint="eastAsia" w:ascii="Times New Roman" w:hAnsi="Times New Roman" w:eastAsia="仿宋" w:cs="仿宋"/>
                <w:kern w:val="0"/>
                <w:sz w:val="28"/>
                <w:szCs w:val="28"/>
                <w:lang w:bidi="ar"/>
              </w:rPr>
              <w:t>“诚信经营示范街”</w:t>
            </w:r>
            <w:r>
              <w:rPr>
                <w:rFonts w:hint="eastAsia" w:ascii="Times New Roman" w:hAnsi="Times New Roman" w:eastAsia="仿宋" w:cs="仿宋"/>
                <w:kern w:val="0"/>
                <w:sz w:val="28"/>
                <w:szCs w:val="28"/>
                <w:lang w:val="en-US" w:eastAsia="zh-CN" w:bidi="ar"/>
              </w:rPr>
              <w:t>经验</w:t>
            </w:r>
            <w:r>
              <w:rPr>
                <w:rFonts w:hint="eastAsia" w:ascii="Times New Roman" w:hAnsi="Times New Roman" w:eastAsia="仿宋" w:cs="仿宋"/>
                <w:kern w:val="0"/>
                <w:sz w:val="28"/>
                <w:szCs w:val="28"/>
                <w:lang w:bidi="ar"/>
              </w:rPr>
              <w:t>总结和对外宣传工作</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12</w:t>
            </w:r>
            <w:r>
              <w:rPr>
                <w:rFonts w:hint="eastAsia" w:ascii="Times New Roman" w:hAnsi="Times New Roman" w:eastAsia="仿宋" w:cs="仿宋"/>
                <w:kern w:val="0"/>
                <w:sz w:val="28"/>
                <w:szCs w:val="28"/>
                <w:lang w:bidi="ar"/>
              </w:rPr>
              <w:t>月</w:t>
            </w:r>
            <w:r>
              <w:rPr>
                <w:rFonts w:hint="eastAsia" w:ascii="Times New Roman" w:hAnsi="Times New Roman" w:eastAsia="仿宋" w:cs="仿宋"/>
                <w:kern w:val="0"/>
                <w:sz w:val="28"/>
                <w:szCs w:val="28"/>
                <w:lang w:val="en-US" w:eastAsia="zh-CN" w:bidi="ar"/>
              </w:rPr>
              <w:t>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val="en-US" w:eastAsia="zh-CN" w:bidi="ar"/>
              </w:rPr>
            </w:pPr>
            <w:r>
              <w:rPr>
                <w:rFonts w:hint="eastAsia" w:ascii="Times New Roman" w:hAnsi="Times New Roman" w:eastAsia="仿宋" w:cs="仿宋"/>
                <w:kern w:val="0"/>
                <w:sz w:val="28"/>
                <w:szCs w:val="28"/>
                <w:lang w:bidi="ar"/>
              </w:rPr>
              <w:t>区发展改革局牵头</w:t>
            </w:r>
            <w:r>
              <w:rPr>
                <w:rFonts w:hint="eastAsia" w:ascii="Times New Roman" w:hAnsi="Times New Roman" w:eastAsia="仿宋" w:cs="仿宋"/>
                <w:kern w:val="0"/>
                <w:sz w:val="28"/>
                <w:szCs w:val="28"/>
                <w:lang w:eastAsia="zh-CN" w:bidi="ar"/>
              </w:rPr>
              <w:t>，</w:t>
            </w:r>
            <w:r>
              <w:rPr>
                <w:rFonts w:hint="eastAsia" w:ascii="Times New Roman" w:hAnsi="Times New Roman" w:eastAsia="仿宋" w:cs="仿宋"/>
                <w:kern w:val="0"/>
                <w:sz w:val="28"/>
                <w:szCs w:val="28"/>
                <w:lang w:bidi="ar"/>
              </w:rPr>
              <w:t>区市场监管局</w:t>
            </w:r>
            <w:r>
              <w:rPr>
                <w:rFonts w:hint="eastAsia" w:ascii="Times New Roman" w:hAnsi="Times New Roman" w:eastAsia="仿宋" w:cs="仿宋"/>
                <w:kern w:val="0"/>
                <w:sz w:val="28"/>
                <w:szCs w:val="28"/>
                <w:lang w:eastAsia="zh-CN" w:bidi="ar"/>
              </w:rPr>
              <w:t>、</w:t>
            </w:r>
            <w:r>
              <w:rPr>
                <w:rFonts w:hint="eastAsia" w:ascii="Times New Roman" w:hAnsi="Times New Roman" w:eastAsia="仿宋" w:cs="仿宋"/>
                <w:kern w:val="0"/>
                <w:sz w:val="28"/>
                <w:szCs w:val="28"/>
                <w:lang w:val="en-US" w:eastAsia="zh-CN" w:bidi="ar"/>
              </w:rPr>
              <w:t>区综合行政执法局等相关单位配合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0" w:hRule="atLeast"/>
          <w:jc w:val="center"/>
        </w:trPr>
        <w:tc>
          <w:tcPr>
            <w:tcW w:w="8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_GB2312" w:cs="仿宋_GB2312"/>
                <w:sz w:val="28"/>
                <w:szCs w:val="28"/>
              </w:rPr>
            </w:pP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_GB2312" w:cs="仿宋_GB2312"/>
                <w:kern w:val="0"/>
                <w:sz w:val="28"/>
                <w:szCs w:val="28"/>
                <w:lang w:bidi="ar"/>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负责</w:t>
            </w:r>
            <w:r>
              <w:rPr>
                <w:rFonts w:hint="eastAsia" w:ascii="Times New Roman" w:hAnsi="Times New Roman" w:eastAsia="仿宋" w:cs="仿宋"/>
                <w:kern w:val="0"/>
                <w:sz w:val="28"/>
                <w:szCs w:val="28"/>
                <w:lang w:bidi="ar"/>
              </w:rPr>
              <w:t>对</w:t>
            </w:r>
            <w:r>
              <w:rPr>
                <w:rFonts w:hint="eastAsia" w:ascii="Times New Roman" w:hAnsi="Times New Roman" w:eastAsia="仿宋" w:cs="仿宋"/>
                <w:kern w:val="0"/>
                <w:sz w:val="28"/>
                <w:szCs w:val="28"/>
                <w:lang w:val="en-US" w:eastAsia="zh-CN" w:bidi="ar"/>
              </w:rPr>
              <w:t>示范</w:t>
            </w:r>
            <w:r>
              <w:rPr>
                <w:rFonts w:hint="eastAsia" w:ascii="Times New Roman" w:hAnsi="Times New Roman" w:eastAsia="仿宋" w:cs="仿宋"/>
                <w:kern w:val="0"/>
                <w:sz w:val="28"/>
                <w:szCs w:val="28"/>
                <w:lang w:bidi="ar"/>
              </w:rPr>
              <w:t>街区各商户城市管理领域信用信息的采集</w:t>
            </w:r>
            <w:r>
              <w:rPr>
                <w:rFonts w:hint="eastAsia" w:ascii="Times New Roman" w:hAnsi="Times New Roman" w:eastAsia="仿宋" w:cs="仿宋"/>
                <w:kern w:val="0"/>
                <w:sz w:val="28"/>
                <w:szCs w:val="28"/>
                <w:lang w:eastAsia="zh-CN" w:bidi="ar"/>
              </w:rPr>
              <w:t>、</w:t>
            </w:r>
            <w:r>
              <w:rPr>
                <w:rFonts w:hint="eastAsia" w:ascii="Times New Roman" w:hAnsi="Times New Roman" w:eastAsia="仿宋" w:cs="仿宋"/>
                <w:kern w:val="0"/>
                <w:sz w:val="28"/>
                <w:szCs w:val="28"/>
                <w:lang w:val="en-US" w:eastAsia="zh-CN" w:bidi="ar"/>
              </w:rPr>
              <w:t>报送</w:t>
            </w:r>
            <w:r>
              <w:rPr>
                <w:rFonts w:hint="eastAsia" w:ascii="Times New Roman" w:hAnsi="Times New Roman" w:eastAsia="仿宋" w:cs="仿宋"/>
                <w:kern w:val="0"/>
                <w:sz w:val="28"/>
                <w:szCs w:val="28"/>
                <w:lang w:bidi="ar"/>
              </w:rPr>
              <w:t>，加大巡查力度，坚决制止占道经营、私搭乱建、违规占道等违法行为</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12</w:t>
            </w:r>
            <w:r>
              <w:rPr>
                <w:rFonts w:hint="eastAsia" w:ascii="Times New Roman" w:hAnsi="Times New Roman" w:eastAsia="仿宋" w:cs="仿宋"/>
                <w:kern w:val="0"/>
                <w:sz w:val="28"/>
                <w:szCs w:val="28"/>
                <w:lang w:bidi="ar"/>
              </w:rPr>
              <w:t>月</w:t>
            </w:r>
            <w:r>
              <w:rPr>
                <w:rFonts w:hint="eastAsia" w:ascii="Times New Roman" w:hAnsi="Times New Roman" w:eastAsia="仿宋" w:cs="仿宋"/>
                <w:kern w:val="0"/>
                <w:sz w:val="28"/>
                <w:szCs w:val="28"/>
                <w:lang w:val="en-US" w:eastAsia="zh-CN" w:bidi="ar"/>
              </w:rPr>
              <w:t>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区综合行政执法局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0" w:hRule="atLeast"/>
          <w:jc w:val="center"/>
        </w:trPr>
        <w:tc>
          <w:tcPr>
            <w:tcW w:w="8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_GB2312" w:cs="仿宋_GB2312"/>
                <w:sz w:val="28"/>
                <w:szCs w:val="28"/>
              </w:rPr>
            </w:pP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_GB2312" w:cs="仿宋_GB2312"/>
                <w:kern w:val="0"/>
                <w:sz w:val="28"/>
                <w:szCs w:val="28"/>
                <w:lang w:bidi="ar"/>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负责向</w:t>
            </w:r>
            <w:r>
              <w:rPr>
                <w:rFonts w:hint="eastAsia" w:ascii="Times New Roman" w:hAnsi="Times New Roman" w:eastAsia="仿宋" w:cs="仿宋"/>
                <w:kern w:val="0"/>
                <w:sz w:val="28"/>
                <w:szCs w:val="28"/>
                <w:lang w:val="en-US" w:eastAsia="zh-CN" w:bidi="ar"/>
              </w:rPr>
              <w:t>张店</w:t>
            </w:r>
            <w:r>
              <w:rPr>
                <w:rFonts w:hint="eastAsia" w:ascii="Times New Roman" w:hAnsi="Times New Roman" w:eastAsia="仿宋" w:cs="仿宋"/>
                <w:kern w:val="0"/>
                <w:sz w:val="28"/>
                <w:szCs w:val="28"/>
                <w:lang w:bidi="ar"/>
              </w:rPr>
              <w:t>区公共信用信息平台提供</w:t>
            </w:r>
            <w:r>
              <w:rPr>
                <w:rFonts w:hint="eastAsia" w:ascii="Times New Roman" w:hAnsi="Times New Roman" w:eastAsia="仿宋" w:cs="仿宋"/>
                <w:kern w:val="0"/>
                <w:sz w:val="28"/>
                <w:szCs w:val="28"/>
                <w:lang w:val="en-US" w:eastAsia="zh-CN" w:bidi="ar"/>
              </w:rPr>
              <w:t>示范街区偷逃税</w:t>
            </w:r>
            <w:r>
              <w:rPr>
                <w:rFonts w:hint="eastAsia" w:ascii="Times New Roman" w:hAnsi="Times New Roman" w:eastAsia="仿宋" w:cs="仿宋"/>
                <w:kern w:val="0"/>
                <w:sz w:val="28"/>
                <w:szCs w:val="28"/>
                <w:lang w:bidi="ar"/>
              </w:rPr>
              <w:t>的商户名单，引导示范街经营主体依法纳税，强化税收宣传培训，优化纳税服务</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区税务局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0" w:hRule="atLeast"/>
          <w:jc w:val="center"/>
        </w:trPr>
        <w:tc>
          <w:tcPr>
            <w:tcW w:w="8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_GB2312" w:cs="仿宋_GB2312"/>
                <w:sz w:val="28"/>
                <w:szCs w:val="28"/>
              </w:rPr>
            </w:pP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_GB2312" w:cs="仿宋_GB2312"/>
                <w:kern w:val="0"/>
                <w:sz w:val="28"/>
                <w:szCs w:val="28"/>
                <w:lang w:bidi="ar"/>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负责示范街</w:t>
            </w:r>
            <w:r>
              <w:rPr>
                <w:rFonts w:hint="eastAsia" w:ascii="Times New Roman" w:hAnsi="Times New Roman" w:eastAsia="仿宋" w:cs="仿宋"/>
                <w:kern w:val="0"/>
                <w:sz w:val="28"/>
                <w:szCs w:val="28"/>
                <w:lang w:val="en-US" w:eastAsia="zh-CN" w:bidi="ar"/>
              </w:rPr>
              <w:t>区</w:t>
            </w:r>
            <w:r>
              <w:rPr>
                <w:rFonts w:hint="eastAsia" w:ascii="Times New Roman" w:hAnsi="Times New Roman" w:eastAsia="仿宋" w:cs="仿宋"/>
                <w:kern w:val="0"/>
                <w:sz w:val="28"/>
                <w:szCs w:val="28"/>
                <w:lang w:bidi="ar"/>
              </w:rPr>
              <w:t>各商户治安处罚信息的采集、报送</w:t>
            </w:r>
            <w:r>
              <w:rPr>
                <w:rFonts w:hint="eastAsia" w:ascii="Times New Roman" w:hAnsi="Times New Roman" w:eastAsia="仿宋" w:cs="仿宋"/>
                <w:kern w:val="0"/>
                <w:sz w:val="28"/>
                <w:szCs w:val="28"/>
                <w:lang w:eastAsia="zh-CN" w:bidi="ar"/>
              </w:rPr>
              <w:t>，</w:t>
            </w:r>
            <w:r>
              <w:rPr>
                <w:rFonts w:hint="eastAsia" w:ascii="Times New Roman" w:hAnsi="Times New Roman" w:eastAsia="仿宋" w:cs="仿宋"/>
                <w:kern w:val="0"/>
                <w:sz w:val="28"/>
                <w:szCs w:val="28"/>
                <w:lang w:bidi="ar"/>
              </w:rPr>
              <w:t>维护示范街区的社会治安、查处娱乐场所违规经营行为，打击黑恶势力欺行霸市等违法行为。</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张店公安分局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0" w:hRule="atLeast"/>
          <w:jc w:val="center"/>
        </w:trPr>
        <w:tc>
          <w:tcPr>
            <w:tcW w:w="8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_GB2312" w:cs="仿宋_GB2312"/>
                <w:sz w:val="28"/>
                <w:szCs w:val="28"/>
              </w:rPr>
            </w:pP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_GB2312" w:cs="仿宋_GB2312"/>
                <w:kern w:val="0"/>
                <w:sz w:val="28"/>
                <w:szCs w:val="28"/>
                <w:lang w:bidi="ar"/>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负责对示范街</w:t>
            </w:r>
            <w:r>
              <w:rPr>
                <w:rFonts w:hint="eastAsia" w:ascii="Times New Roman" w:hAnsi="Times New Roman" w:eastAsia="仿宋" w:cs="仿宋"/>
                <w:kern w:val="0"/>
                <w:sz w:val="28"/>
                <w:szCs w:val="28"/>
                <w:lang w:val="en-US" w:eastAsia="zh-CN" w:bidi="ar"/>
              </w:rPr>
              <w:t>区</w:t>
            </w:r>
            <w:r>
              <w:rPr>
                <w:rFonts w:hint="eastAsia" w:ascii="Times New Roman" w:hAnsi="Times New Roman" w:eastAsia="仿宋" w:cs="仿宋"/>
                <w:kern w:val="0"/>
                <w:sz w:val="28"/>
                <w:szCs w:val="28"/>
                <w:lang w:bidi="ar"/>
              </w:rPr>
              <w:t>各医疗机构、公共场所卫生执法领域信息的采集</w:t>
            </w:r>
            <w:r>
              <w:rPr>
                <w:rFonts w:hint="eastAsia" w:ascii="Times New Roman" w:hAnsi="Times New Roman" w:eastAsia="仿宋" w:cs="仿宋"/>
                <w:kern w:val="0"/>
                <w:sz w:val="28"/>
                <w:szCs w:val="28"/>
                <w:lang w:eastAsia="zh-CN" w:bidi="ar"/>
              </w:rPr>
              <w:t>、</w:t>
            </w:r>
            <w:r>
              <w:rPr>
                <w:rFonts w:hint="eastAsia" w:ascii="Times New Roman" w:hAnsi="Times New Roman" w:eastAsia="仿宋" w:cs="仿宋"/>
                <w:kern w:val="0"/>
                <w:sz w:val="28"/>
                <w:szCs w:val="28"/>
                <w:lang w:bidi="ar"/>
              </w:rPr>
              <w:t>报送。对</w:t>
            </w:r>
            <w:r>
              <w:rPr>
                <w:rFonts w:hint="eastAsia" w:ascii="Times New Roman" w:hAnsi="Times New Roman" w:eastAsia="仿宋" w:cs="仿宋"/>
                <w:kern w:val="0"/>
                <w:sz w:val="28"/>
                <w:szCs w:val="28"/>
                <w:lang w:val="en-US" w:eastAsia="zh-CN" w:bidi="ar"/>
              </w:rPr>
              <w:t>示范</w:t>
            </w:r>
            <w:r>
              <w:rPr>
                <w:rFonts w:hint="eastAsia" w:ascii="Times New Roman" w:hAnsi="Times New Roman" w:eastAsia="仿宋" w:cs="仿宋"/>
                <w:kern w:val="0"/>
                <w:sz w:val="28"/>
                <w:szCs w:val="28"/>
                <w:lang w:bidi="ar"/>
              </w:rPr>
              <w:t>街区的医疗机构开展日常监督检查，严肃查处违法违规行为</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区卫</w:t>
            </w:r>
            <w:r>
              <w:rPr>
                <w:rFonts w:hint="eastAsia" w:ascii="Times New Roman" w:hAnsi="Times New Roman" w:eastAsia="仿宋" w:cs="仿宋"/>
                <w:kern w:val="0"/>
                <w:sz w:val="28"/>
                <w:szCs w:val="28"/>
                <w:lang w:eastAsia="zh-CN" w:bidi="ar"/>
              </w:rPr>
              <w:t>生健康</w:t>
            </w:r>
            <w:r>
              <w:rPr>
                <w:rFonts w:hint="eastAsia" w:ascii="Times New Roman" w:hAnsi="Times New Roman" w:eastAsia="仿宋" w:cs="仿宋"/>
                <w:kern w:val="0"/>
                <w:sz w:val="28"/>
                <w:szCs w:val="28"/>
                <w:lang w:bidi="ar"/>
              </w:rPr>
              <w:t>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0" w:hRule="atLeast"/>
          <w:jc w:val="center"/>
        </w:trPr>
        <w:tc>
          <w:tcPr>
            <w:tcW w:w="8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_GB2312" w:cs="仿宋_GB2312"/>
                <w:sz w:val="28"/>
                <w:szCs w:val="28"/>
              </w:rPr>
            </w:pP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_GB2312" w:cs="仿宋_GB2312"/>
                <w:kern w:val="0"/>
                <w:sz w:val="28"/>
                <w:szCs w:val="28"/>
                <w:lang w:bidi="ar"/>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协助区</w:t>
            </w:r>
            <w:r>
              <w:rPr>
                <w:rFonts w:hint="eastAsia" w:ascii="Times New Roman" w:hAnsi="Times New Roman" w:eastAsia="仿宋" w:cs="仿宋"/>
                <w:kern w:val="0"/>
                <w:sz w:val="28"/>
                <w:szCs w:val="28"/>
                <w:lang w:val="en-US" w:eastAsia="zh-CN" w:bidi="ar"/>
              </w:rPr>
              <w:t>发展改革局</w:t>
            </w:r>
            <w:r>
              <w:rPr>
                <w:rFonts w:hint="eastAsia" w:ascii="Times New Roman" w:hAnsi="Times New Roman" w:eastAsia="仿宋" w:cs="仿宋"/>
                <w:kern w:val="0"/>
                <w:sz w:val="28"/>
                <w:szCs w:val="28"/>
                <w:lang w:bidi="ar"/>
              </w:rPr>
              <w:t>推进数据对接和数据共享工作</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区大数据中心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0" w:hRule="atLeast"/>
          <w:jc w:val="center"/>
        </w:trPr>
        <w:tc>
          <w:tcPr>
            <w:tcW w:w="8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_GB2312" w:cs="仿宋_GB2312"/>
                <w:sz w:val="28"/>
                <w:szCs w:val="28"/>
              </w:rPr>
            </w:pP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_GB2312" w:cs="仿宋_GB2312"/>
                <w:kern w:val="0"/>
                <w:sz w:val="28"/>
                <w:szCs w:val="28"/>
                <w:lang w:bidi="ar"/>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负责对示范街</w:t>
            </w:r>
            <w:r>
              <w:rPr>
                <w:rFonts w:hint="eastAsia" w:ascii="Times New Roman" w:hAnsi="Times New Roman" w:eastAsia="仿宋" w:cs="仿宋"/>
                <w:kern w:val="0"/>
                <w:sz w:val="28"/>
                <w:szCs w:val="28"/>
                <w:lang w:val="en-US" w:eastAsia="zh-CN" w:bidi="ar"/>
              </w:rPr>
              <w:t>区</w:t>
            </w:r>
            <w:r>
              <w:rPr>
                <w:rFonts w:hint="eastAsia" w:ascii="Times New Roman" w:hAnsi="Times New Roman" w:eastAsia="仿宋" w:cs="仿宋"/>
                <w:kern w:val="0"/>
                <w:sz w:val="28"/>
                <w:szCs w:val="28"/>
                <w:lang w:bidi="ar"/>
              </w:rPr>
              <w:t>各商家消防安全行政执法信息的采集、报送。负责提供</w:t>
            </w:r>
            <w:r>
              <w:rPr>
                <w:rFonts w:hint="eastAsia" w:ascii="Times New Roman" w:hAnsi="Times New Roman" w:eastAsia="仿宋" w:cs="仿宋"/>
                <w:kern w:val="0"/>
                <w:sz w:val="28"/>
                <w:szCs w:val="28"/>
                <w:lang w:val="en-US" w:eastAsia="zh-CN" w:bidi="ar"/>
              </w:rPr>
              <w:t>示范</w:t>
            </w:r>
            <w:r>
              <w:rPr>
                <w:rFonts w:hint="eastAsia" w:ascii="Times New Roman" w:hAnsi="Times New Roman" w:eastAsia="仿宋" w:cs="仿宋"/>
                <w:kern w:val="0"/>
                <w:sz w:val="28"/>
                <w:szCs w:val="28"/>
                <w:lang w:bidi="ar"/>
              </w:rPr>
              <w:t>街区商户近</w:t>
            </w:r>
            <w:r>
              <w:rPr>
                <w:rFonts w:hint="eastAsia" w:ascii="Times New Roman" w:hAnsi="Times New Roman" w:eastAsia="仿宋" w:cs="仿宋"/>
                <w:kern w:val="0"/>
                <w:sz w:val="28"/>
                <w:szCs w:val="28"/>
                <w:lang w:val="en-US" w:eastAsia="zh-CN" w:bidi="ar"/>
              </w:rPr>
              <w:t>二</w:t>
            </w:r>
            <w:r>
              <w:rPr>
                <w:rFonts w:hint="eastAsia" w:ascii="Times New Roman" w:hAnsi="Times New Roman" w:eastAsia="仿宋" w:cs="仿宋"/>
                <w:kern w:val="0"/>
                <w:sz w:val="28"/>
                <w:szCs w:val="28"/>
                <w:lang w:bidi="ar"/>
              </w:rPr>
              <w:t>年的</w:t>
            </w:r>
            <w:r>
              <w:rPr>
                <w:rFonts w:hint="eastAsia" w:ascii="Times New Roman" w:hAnsi="Times New Roman" w:eastAsia="仿宋" w:cs="仿宋"/>
                <w:kern w:val="0"/>
                <w:sz w:val="28"/>
                <w:szCs w:val="28"/>
                <w:lang w:val="en-US" w:eastAsia="zh-CN" w:bidi="ar"/>
              </w:rPr>
              <w:t>消防安全</w:t>
            </w:r>
            <w:r>
              <w:rPr>
                <w:rFonts w:hint="eastAsia" w:ascii="Times New Roman" w:hAnsi="Times New Roman" w:eastAsia="仿宋" w:cs="仿宋"/>
                <w:kern w:val="0"/>
                <w:sz w:val="28"/>
                <w:szCs w:val="28"/>
                <w:lang w:bidi="ar"/>
              </w:rPr>
              <w:t>检查情况</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仿宋"/>
                <w:kern w:val="0"/>
                <w:sz w:val="28"/>
                <w:szCs w:val="28"/>
                <w:lang w:val="en-US" w:eastAsia="zh-CN" w:bidi="ar"/>
              </w:rPr>
            </w:pPr>
            <w:r>
              <w:rPr>
                <w:rFonts w:hint="eastAsia" w:ascii="Times New Roman" w:hAnsi="Times New Roman" w:eastAsia="仿宋" w:cs="仿宋"/>
                <w:kern w:val="0"/>
                <w:sz w:val="28"/>
                <w:szCs w:val="28"/>
                <w:lang w:val="en-US" w:eastAsia="zh-CN" w:bidi="ar"/>
              </w:rPr>
              <w:t>区消防救援大队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0" w:hRule="atLeast"/>
          <w:jc w:val="center"/>
        </w:trPr>
        <w:tc>
          <w:tcPr>
            <w:tcW w:w="8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_GB2312" w:cs="仿宋_GB2312"/>
                <w:sz w:val="28"/>
                <w:szCs w:val="28"/>
              </w:rPr>
            </w:pP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_GB2312" w:cs="仿宋_GB2312"/>
                <w:kern w:val="0"/>
                <w:sz w:val="28"/>
                <w:szCs w:val="28"/>
                <w:lang w:bidi="ar"/>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对相关部门认定的诚信经营示范户在政务服务大厅窗口办理业务时，开辟绿色通道，给与优先办理</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eastAsia="zh-CN" w:bidi="ar"/>
              </w:rPr>
            </w:pPr>
            <w:r>
              <w:rPr>
                <w:rFonts w:hint="eastAsia" w:ascii="Times New Roman" w:hAnsi="Times New Roman" w:eastAsia="仿宋" w:cs="仿宋"/>
                <w:kern w:val="0"/>
                <w:sz w:val="28"/>
                <w:szCs w:val="28"/>
                <w:lang w:eastAsia="zh-CN" w:bidi="ar"/>
              </w:rPr>
              <w:t>区行政审批服务局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0" w:hRule="atLeast"/>
          <w:jc w:val="center"/>
        </w:trPr>
        <w:tc>
          <w:tcPr>
            <w:tcW w:w="8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sz w:val="28"/>
                <w:szCs w:val="28"/>
              </w:rPr>
            </w:pP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指导街区商户开展“诚信兴商”宣传，弘扬诚信文化，树立诚信理念。</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12</w:t>
            </w:r>
            <w:r>
              <w:rPr>
                <w:rFonts w:hint="eastAsia" w:ascii="Times New Roman" w:hAnsi="Times New Roman" w:eastAsia="仿宋" w:cs="仿宋"/>
                <w:kern w:val="0"/>
                <w:sz w:val="28"/>
                <w:szCs w:val="28"/>
                <w:lang w:bidi="ar"/>
              </w:rPr>
              <w:t>月</w:t>
            </w:r>
            <w:r>
              <w:rPr>
                <w:rFonts w:hint="eastAsia" w:ascii="Times New Roman" w:hAnsi="Times New Roman" w:cs="仿宋_GB2312"/>
                <w:color w:val="auto"/>
                <w:kern w:val="0"/>
                <w:sz w:val="28"/>
                <w:szCs w:val="28"/>
                <w:lang w:val="en-US" w:eastAsia="zh-CN" w:bidi="ar"/>
              </w:rPr>
              <w:t>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区商务局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80" w:hRule="atLeast"/>
          <w:jc w:val="center"/>
        </w:trPr>
        <w:tc>
          <w:tcPr>
            <w:tcW w:w="8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sz w:val="28"/>
                <w:szCs w:val="28"/>
              </w:rPr>
            </w:pP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做好宣传诚信商户典型事迹，树立诚信榜样。通过报纸、电视等媒体，加强宣传，积极引导市民和沿街商户树立诚信守法的文明意识，营造良好的舆论氛围。配合牵头单位做好其他有关工作</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eastAsia="zh-CN" w:bidi="ar"/>
              </w:rPr>
            </w:pPr>
            <w:r>
              <w:rPr>
                <w:rFonts w:hint="eastAsia" w:ascii="Times New Roman" w:hAnsi="Times New Roman" w:eastAsia="仿宋" w:cs="仿宋"/>
                <w:kern w:val="0"/>
                <w:sz w:val="28"/>
                <w:szCs w:val="28"/>
                <w:lang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区融媒体中心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0" w:hRule="atLeast"/>
          <w:jc w:val="center"/>
        </w:trPr>
        <w:tc>
          <w:tcPr>
            <w:tcW w:w="84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color w:val="auto"/>
                <w:sz w:val="28"/>
                <w:szCs w:val="28"/>
                <w:lang w:val="en-US" w:eastAsia="zh-CN"/>
              </w:rPr>
            </w:pPr>
            <w:r>
              <w:rPr>
                <w:rFonts w:hint="eastAsia" w:ascii="Times New Roman" w:hAnsi="Times New Roman" w:eastAsia="仿宋" w:cs="仿宋"/>
                <w:color w:val="auto"/>
                <w:sz w:val="28"/>
                <w:szCs w:val="28"/>
                <w:lang w:val="en-US" w:eastAsia="zh-CN"/>
              </w:rPr>
              <w:t>10</w:t>
            </w:r>
          </w:p>
        </w:tc>
        <w:tc>
          <w:tcPr>
            <w:tcW w:w="16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color w:val="auto"/>
                <w:kern w:val="0"/>
                <w:sz w:val="28"/>
                <w:szCs w:val="28"/>
                <w:lang w:bidi="ar"/>
              </w:rPr>
            </w:pPr>
            <w:r>
              <w:rPr>
                <w:rFonts w:hint="eastAsia" w:ascii="Times New Roman" w:hAnsi="Times New Roman" w:eastAsia="仿宋_GB2312" w:cs="仿宋_GB2312"/>
                <w:color w:val="auto"/>
                <w:kern w:val="0"/>
                <w:sz w:val="28"/>
                <w:szCs w:val="28"/>
                <w:lang w:bidi="ar"/>
              </w:rPr>
              <w:t>推动机关单位信用工作</w:t>
            </w:r>
            <w:r>
              <w:rPr>
                <w:rFonts w:hint="eastAsia" w:ascii="Times New Roman" w:hAnsi="Times New Roman" w:cs="仿宋_GB2312"/>
                <w:color w:val="auto"/>
                <w:kern w:val="0"/>
                <w:sz w:val="28"/>
                <w:szCs w:val="28"/>
                <w:lang w:eastAsia="zh-CN" w:bidi="ar"/>
              </w:rPr>
              <w:t>宣传</w:t>
            </w: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color w:val="auto"/>
                <w:kern w:val="0"/>
                <w:sz w:val="28"/>
                <w:szCs w:val="28"/>
                <w:lang w:bidi="ar"/>
              </w:rPr>
            </w:pPr>
            <w:r>
              <w:rPr>
                <w:rFonts w:hint="eastAsia" w:ascii="Times New Roman" w:hAnsi="Times New Roman" w:eastAsia="仿宋_GB2312" w:cs="仿宋_GB2312"/>
                <w:color w:val="auto"/>
                <w:kern w:val="0"/>
                <w:sz w:val="28"/>
                <w:szCs w:val="28"/>
                <w:lang w:bidi="ar"/>
              </w:rPr>
              <w:t>制定宣传方案</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color w:val="auto"/>
                <w:kern w:val="0"/>
                <w:sz w:val="28"/>
                <w:szCs w:val="28"/>
                <w:lang w:bidi="ar"/>
              </w:rPr>
            </w:pPr>
            <w:r>
              <w:rPr>
                <w:rFonts w:hint="eastAsia" w:ascii="Times New Roman" w:hAnsi="Times New Roman" w:cs="仿宋_GB2312"/>
                <w:color w:val="auto"/>
                <w:kern w:val="0"/>
                <w:sz w:val="28"/>
                <w:szCs w:val="28"/>
                <w:lang w:val="en-US" w:eastAsia="zh-CN" w:bidi="ar"/>
              </w:rPr>
              <w:t>12</w:t>
            </w:r>
            <w:r>
              <w:rPr>
                <w:rFonts w:hint="eastAsia" w:ascii="Times New Roman" w:hAnsi="Times New Roman" w:eastAsia="仿宋_GB2312" w:cs="仿宋_GB2312"/>
                <w:color w:val="auto"/>
                <w:kern w:val="0"/>
                <w:sz w:val="28"/>
                <w:szCs w:val="28"/>
                <w:lang w:bidi="ar"/>
              </w:rPr>
              <w:t>月</w:t>
            </w:r>
            <w:r>
              <w:rPr>
                <w:rFonts w:hint="eastAsia" w:ascii="Times New Roman" w:hAnsi="Times New Roman" w:cs="仿宋_GB2312"/>
                <w:color w:val="auto"/>
                <w:kern w:val="0"/>
                <w:sz w:val="28"/>
                <w:szCs w:val="28"/>
                <w:lang w:val="en-US" w:eastAsia="zh-CN" w:bidi="ar"/>
              </w:rPr>
              <w:t>底</w:t>
            </w:r>
          </w:p>
        </w:tc>
        <w:tc>
          <w:tcPr>
            <w:tcW w:w="36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bidi="ar"/>
              </w:rPr>
            </w:pPr>
            <w:r>
              <w:rPr>
                <w:rFonts w:hint="eastAsia" w:ascii="Times New Roman" w:hAnsi="Times New Roman" w:eastAsia="仿宋_GB2312" w:cs="仿宋_GB2312"/>
                <w:color w:val="auto"/>
                <w:kern w:val="0"/>
                <w:sz w:val="28"/>
                <w:szCs w:val="28"/>
                <w:lang w:bidi="ar"/>
              </w:rPr>
              <w:t>区发展改革局、区委</w:t>
            </w:r>
            <w:r>
              <w:rPr>
                <w:rFonts w:hint="eastAsia" w:ascii="Times New Roman" w:hAnsi="Times New Roman" w:cs="仿宋_GB2312"/>
                <w:color w:val="auto"/>
                <w:kern w:val="0"/>
                <w:sz w:val="28"/>
                <w:szCs w:val="28"/>
                <w:lang w:eastAsia="zh-CN" w:bidi="ar"/>
              </w:rPr>
              <w:t>宣传</w:t>
            </w:r>
            <w:r>
              <w:rPr>
                <w:rFonts w:hint="eastAsia" w:ascii="Times New Roman" w:hAnsi="Times New Roman" w:eastAsia="仿宋_GB2312" w:cs="仿宋_GB2312"/>
                <w:color w:val="auto"/>
                <w:kern w:val="0"/>
                <w:sz w:val="28"/>
                <w:szCs w:val="28"/>
                <w:lang w:bidi="ar"/>
              </w:rPr>
              <w:t>部、区委政法委、区市场监管局、区司法局牵头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0" w:hRule="atLeast"/>
          <w:jc w:val="center"/>
        </w:trPr>
        <w:tc>
          <w:tcPr>
            <w:tcW w:w="8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_GB2312" w:cs="仿宋_GB2312"/>
                <w:color w:val="auto"/>
                <w:sz w:val="28"/>
                <w:szCs w:val="28"/>
              </w:rPr>
            </w:pP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_GB2312" w:cs="仿宋_GB2312"/>
                <w:color w:val="auto"/>
                <w:kern w:val="0"/>
                <w:sz w:val="28"/>
                <w:szCs w:val="28"/>
                <w:lang w:bidi="ar"/>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_GB2312" w:cs="仿宋_GB2312"/>
                <w:color w:val="auto"/>
                <w:kern w:val="0"/>
                <w:sz w:val="28"/>
                <w:szCs w:val="28"/>
                <w:lang w:bidi="ar"/>
              </w:rPr>
            </w:pPr>
            <w:r>
              <w:rPr>
                <w:rFonts w:hint="eastAsia" w:ascii="Times New Roman" w:hAnsi="Times New Roman" w:eastAsia="仿宋_GB2312" w:cs="仿宋_GB2312"/>
                <w:color w:val="auto"/>
                <w:kern w:val="0"/>
                <w:sz w:val="28"/>
                <w:szCs w:val="28"/>
                <w:lang w:bidi="ar"/>
              </w:rPr>
              <w:t>组织开展信用进机关系列活动</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ascii="Times New Roman" w:hAnsi="Times New Roman" w:eastAsia="仿宋_GB2312" w:cs="仿宋_GB2312"/>
                <w:color w:val="auto"/>
                <w:kern w:val="0"/>
                <w:sz w:val="28"/>
                <w:szCs w:val="28"/>
                <w:lang w:bidi="ar"/>
              </w:rPr>
            </w:pPr>
            <w:r>
              <w:rPr>
                <w:rFonts w:hint="eastAsia" w:ascii="Times New Roman" w:hAnsi="Times New Roman" w:cs="仿宋_GB2312"/>
                <w:color w:val="auto"/>
                <w:kern w:val="0"/>
                <w:sz w:val="28"/>
                <w:szCs w:val="28"/>
                <w:lang w:val="en-US" w:eastAsia="zh-CN" w:bidi="ar"/>
              </w:rPr>
              <w:t>实时推进</w:t>
            </w:r>
          </w:p>
        </w:tc>
        <w:tc>
          <w:tcPr>
            <w:tcW w:w="36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_GB2312" w:cs="仿宋_GB2312"/>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0" w:hRule="atLeast"/>
          <w:jc w:val="center"/>
        </w:trPr>
        <w:tc>
          <w:tcPr>
            <w:tcW w:w="8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_GB2312" w:cs="仿宋_GB2312"/>
                <w:color w:val="auto"/>
                <w:sz w:val="28"/>
                <w:szCs w:val="28"/>
              </w:rPr>
            </w:pP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_GB2312" w:cs="仿宋_GB2312"/>
                <w:color w:val="auto"/>
                <w:kern w:val="0"/>
                <w:sz w:val="28"/>
                <w:szCs w:val="28"/>
                <w:lang w:bidi="ar"/>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_GB2312" w:cs="仿宋_GB2312"/>
                <w:color w:val="auto"/>
                <w:kern w:val="0"/>
                <w:sz w:val="28"/>
                <w:szCs w:val="28"/>
                <w:lang w:bidi="ar"/>
              </w:rPr>
            </w:pPr>
            <w:r>
              <w:rPr>
                <w:rFonts w:hint="eastAsia" w:ascii="Times New Roman" w:hAnsi="Times New Roman" w:cs="仿宋_GB2312"/>
                <w:color w:val="auto"/>
                <w:kern w:val="0"/>
                <w:sz w:val="28"/>
                <w:szCs w:val="28"/>
                <w:lang w:eastAsia="zh-CN" w:bidi="ar"/>
              </w:rPr>
              <w:t>各机关单位</w:t>
            </w:r>
            <w:r>
              <w:rPr>
                <w:rFonts w:hint="eastAsia" w:ascii="Times New Roman" w:hAnsi="Times New Roman" w:eastAsia="仿宋_GB2312" w:cs="仿宋_GB2312"/>
                <w:color w:val="auto"/>
                <w:kern w:val="0"/>
                <w:sz w:val="28"/>
                <w:szCs w:val="28"/>
                <w:lang w:bidi="ar"/>
              </w:rPr>
              <w:t>将活动开展情况总结报送至区发展改革局</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ascii="Times New Roman" w:hAnsi="Times New Roman" w:eastAsia="仿宋_GB2312" w:cs="仿宋_GB2312"/>
                <w:color w:val="auto"/>
                <w:kern w:val="0"/>
                <w:sz w:val="28"/>
                <w:szCs w:val="28"/>
                <w:lang w:bidi="ar"/>
              </w:rPr>
            </w:pPr>
            <w:r>
              <w:rPr>
                <w:rFonts w:hint="eastAsia" w:ascii="Times New Roman" w:hAnsi="Times New Roman" w:cs="仿宋_GB2312"/>
                <w:color w:val="auto"/>
                <w:kern w:val="0"/>
                <w:sz w:val="28"/>
                <w:szCs w:val="28"/>
                <w:lang w:val="en-US" w:eastAsia="zh-CN" w:bidi="ar"/>
              </w:rPr>
              <w:t>实时推进</w:t>
            </w:r>
          </w:p>
        </w:tc>
        <w:tc>
          <w:tcPr>
            <w:tcW w:w="36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_GB2312" w:cs="仿宋_GB2312"/>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0" w:hRule="atLeast"/>
          <w:jc w:val="center"/>
        </w:trPr>
        <w:tc>
          <w:tcPr>
            <w:tcW w:w="84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11</w:t>
            </w:r>
          </w:p>
        </w:tc>
        <w:tc>
          <w:tcPr>
            <w:tcW w:w="16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召开红黑名单新闻发布会</w:t>
            </w: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制作发布“诚信红黑榜”评选机制并发布</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区委宣传部、</w:t>
            </w:r>
            <w:r>
              <w:rPr>
                <w:rFonts w:hint="eastAsia" w:ascii="Times New Roman" w:hAnsi="Times New Roman" w:eastAsia="仿宋" w:cs="仿宋"/>
                <w:kern w:val="0"/>
                <w:sz w:val="28"/>
                <w:szCs w:val="28"/>
                <w:lang w:bidi="ar"/>
              </w:rPr>
              <w:t>区发展改革局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5" w:hRule="atLeast"/>
          <w:jc w:val="center"/>
        </w:trPr>
        <w:tc>
          <w:tcPr>
            <w:tcW w:w="8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sz w:val="28"/>
                <w:szCs w:val="28"/>
              </w:rPr>
            </w:pP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召开信用红黑名单新闻发布会，公开失信黑名单，加大对社会影响恶劣、情节严重失信行为的曝光力度</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区委宣传部、</w:t>
            </w:r>
            <w:r>
              <w:rPr>
                <w:rFonts w:hint="eastAsia" w:ascii="Times New Roman" w:hAnsi="Times New Roman" w:eastAsia="仿宋" w:cs="仿宋"/>
                <w:kern w:val="0"/>
                <w:sz w:val="28"/>
                <w:szCs w:val="28"/>
                <w:lang w:bidi="ar"/>
              </w:rPr>
              <w:t>区发展改革局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25" w:hRule="atLeast"/>
          <w:jc w:val="center"/>
        </w:trPr>
        <w:tc>
          <w:tcPr>
            <w:tcW w:w="84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12</w:t>
            </w:r>
          </w:p>
        </w:tc>
        <w:tc>
          <w:tcPr>
            <w:tcW w:w="162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组织召开</w:t>
            </w:r>
            <w:r>
              <w:rPr>
                <w:rFonts w:hint="eastAsia" w:ascii="Times New Roman" w:hAnsi="Times New Roman" w:eastAsia="仿宋" w:cs="仿宋"/>
                <w:kern w:val="0"/>
                <w:sz w:val="28"/>
                <w:szCs w:val="28"/>
                <w:lang w:val="en-US" w:eastAsia="zh-CN" w:bidi="ar"/>
              </w:rPr>
              <w:t>全</w:t>
            </w:r>
            <w:r>
              <w:rPr>
                <w:rFonts w:hint="eastAsia" w:ascii="Times New Roman" w:hAnsi="Times New Roman" w:eastAsia="仿宋" w:cs="仿宋"/>
                <w:kern w:val="0"/>
                <w:sz w:val="28"/>
                <w:szCs w:val="28"/>
                <w:lang w:bidi="ar"/>
              </w:rPr>
              <w:t>区信用体系建设总结会</w:t>
            </w: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对信用体系建设</w:t>
            </w:r>
            <w:r>
              <w:rPr>
                <w:rFonts w:hint="eastAsia" w:ascii="Times New Roman" w:hAnsi="Times New Roman" w:eastAsia="仿宋" w:cs="仿宋"/>
                <w:kern w:val="0"/>
                <w:sz w:val="28"/>
                <w:szCs w:val="28"/>
                <w:lang w:bidi="ar"/>
              </w:rPr>
              <w:t>工作成效、优秀典型案例等进行提炼，</w:t>
            </w:r>
            <w:r>
              <w:rPr>
                <w:rFonts w:hint="eastAsia" w:ascii="Times New Roman" w:hAnsi="Times New Roman" w:eastAsia="仿宋" w:cs="仿宋"/>
                <w:kern w:val="0"/>
                <w:sz w:val="28"/>
                <w:szCs w:val="28"/>
                <w:lang w:val="en-US" w:eastAsia="zh-CN" w:bidi="ar"/>
              </w:rPr>
              <w:t>加大</w:t>
            </w:r>
            <w:r>
              <w:rPr>
                <w:rFonts w:hint="eastAsia" w:ascii="Times New Roman" w:hAnsi="Times New Roman" w:eastAsia="仿宋" w:cs="仿宋"/>
                <w:kern w:val="0"/>
                <w:sz w:val="28"/>
                <w:szCs w:val="28"/>
                <w:lang w:bidi="ar"/>
              </w:rPr>
              <w:t>“信用张店”</w:t>
            </w:r>
            <w:r>
              <w:rPr>
                <w:rFonts w:hint="eastAsia" w:ascii="Times New Roman" w:hAnsi="Times New Roman" w:eastAsia="仿宋" w:cs="仿宋"/>
                <w:kern w:val="0"/>
                <w:sz w:val="28"/>
                <w:szCs w:val="28"/>
                <w:lang w:val="en-US" w:eastAsia="zh-CN" w:bidi="ar"/>
              </w:rPr>
              <w:t>宣传力度</w:t>
            </w:r>
            <w:r>
              <w:rPr>
                <w:rFonts w:hint="eastAsia" w:ascii="Times New Roman" w:hAnsi="Times New Roman" w:eastAsia="仿宋" w:cs="仿宋"/>
                <w:kern w:val="0"/>
                <w:sz w:val="28"/>
                <w:szCs w:val="28"/>
                <w:lang w:bidi="ar"/>
              </w:rPr>
              <w:t>，力争年底前召开全区信用体系建设总结会</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区委宣传部、</w:t>
            </w:r>
            <w:r>
              <w:rPr>
                <w:rFonts w:hint="eastAsia" w:ascii="Times New Roman" w:hAnsi="Times New Roman" w:eastAsia="仿宋" w:cs="仿宋"/>
                <w:kern w:val="0"/>
                <w:sz w:val="28"/>
                <w:szCs w:val="28"/>
                <w:lang w:bidi="ar"/>
              </w:rPr>
              <w:t>区发展改革局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25" w:hRule="atLeast"/>
          <w:jc w:val="center"/>
        </w:trPr>
        <w:tc>
          <w:tcPr>
            <w:tcW w:w="84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13</w:t>
            </w:r>
          </w:p>
        </w:tc>
        <w:tc>
          <w:tcPr>
            <w:tcW w:w="16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公职人员诚信建设工作</w:t>
            </w: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加强国家公职人员诚信教育，编制公职人员诚信手册，编制公职人员诚信教育年度培训计划，组织开展诚信教育主题活动</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eastAsia="zh-CN" w:bidi="ar"/>
              </w:rPr>
            </w:pPr>
            <w:r>
              <w:rPr>
                <w:rFonts w:hint="eastAsia" w:ascii="Times New Roman" w:hAnsi="Times New Roman" w:eastAsia="仿宋" w:cs="仿宋"/>
                <w:kern w:val="0"/>
                <w:sz w:val="28"/>
                <w:szCs w:val="28"/>
                <w:lang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eastAsia="zh-CN" w:bidi="ar"/>
              </w:rPr>
            </w:pPr>
            <w:r>
              <w:rPr>
                <w:rFonts w:hint="eastAsia" w:ascii="Times New Roman" w:hAnsi="Times New Roman" w:eastAsia="仿宋" w:cs="仿宋"/>
                <w:kern w:val="0"/>
                <w:sz w:val="28"/>
                <w:szCs w:val="28"/>
                <w:lang w:val="en-US" w:eastAsia="zh-CN" w:bidi="ar"/>
              </w:rPr>
              <w:t>区委宣传部、</w:t>
            </w:r>
            <w:r>
              <w:rPr>
                <w:rFonts w:hint="eastAsia" w:ascii="Times New Roman" w:hAnsi="Times New Roman" w:eastAsia="仿宋" w:cs="仿宋"/>
                <w:kern w:val="0"/>
                <w:sz w:val="28"/>
                <w:szCs w:val="28"/>
                <w:lang w:bidi="ar"/>
              </w:rPr>
              <w:t>区委组织部、</w:t>
            </w:r>
            <w:r>
              <w:rPr>
                <w:rFonts w:hint="eastAsia" w:ascii="Times New Roman" w:hAnsi="Times New Roman" w:eastAsia="仿宋" w:cs="仿宋"/>
                <w:kern w:val="0"/>
                <w:sz w:val="28"/>
                <w:szCs w:val="28"/>
                <w:lang w:val="en-US" w:eastAsia="zh-CN" w:bidi="ar"/>
              </w:rPr>
              <w:t>区纪委监委机关、</w:t>
            </w:r>
            <w:r>
              <w:rPr>
                <w:rFonts w:hint="eastAsia" w:ascii="Times New Roman" w:hAnsi="Times New Roman" w:eastAsia="仿宋" w:cs="仿宋"/>
                <w:kern w:val="0"/>
                <w:sz w:val="28"/>
                <w:szCs w:val="28"/>
                <w:lang w:eastAsia="zh-CN" w:bidi="ar"/>
              </w:rPr>
              <w:t>区人力资源社会保障局</w:t>
            </w:r>
            <w:r>
              <w:rPr>
                <w:rFonts w:hint="eastAsia" w:ascii="Times New Roman" w:hAnsi="Times New Roman" w:eastAsia="仿宋" w:cs="仿宋"/>
                <w:kern w:val="0"/>
                <w:sz w:val="28"/>
                <w:szCs w:val="28"/>
                <w:lang w:val="en-US" w:eastAsia="zh-CN" w:bidi="ar"/>
              </w:rPr>
              <w:t>等</w:t>
            </w:r>
            <w:r>
              <w:rPr>
                <w:rFonts w:hint="eastAsia" w:ascii="Times New Roman" w:hAnsi="Times New Roman" w:eastAsia="仿宋" w:cs="仿宋"/>
                <w:kern w:val="0"/>
                <w:sz w:val="28"/>
                <w:szCs w:val="28"/>
                <w:lang w:bidi="ar"/>
              </w:rPr>
              <w:t>区</w:t>
            </w:r>
            <w:r>
              <w:rPr>
                <w:rFonts w:hint="eastAsia" w:ascii="Times New Roman" w:hAnsi="Times New Roman" w:eastAsia="仿宋" w:cs="仿宋"/>
                <w:kern w:val="0"/>
                <w:sz w:val="28"/>
                <w:szCs w:val="28"/>
                <w:lang w:val="en-US" w:eastAsia="zh-CN" w:bidi="ar"/>
              </w:rPr>
              <w:t>相关</w:t>
            </w:r>
            <w:r>
              <w:rPr>
                <w:rFonts w:hint="eastAsia" w:ascii="Times New Roman" w:hAnsi="Times New Roman" w:eastAsia="仿宋" w:cs="仿宋"/>
                <w:kern w:val="0"/>
                <w:sz w:val="28"/>
                <w:szCs w:val="28"/>
                <w:lang w:bidi="ar"/>
              </w:rPr>
              <w:t>单位、</w:t>
            </w:r>
            <w:r>
              <w:rPr>
                <w:rFonts w:hint="eastAsia" w:ascii="Times New Roman" w:hAnsi="Times New Roman" w:eastAsia="仿宋" w:cs="仿宋"/>
                <w:kern w:val="0"/>
                <w:sz w:val="28"/>
                <w:szCs w:val="28"/>
                <w:lang w:eastAsia="zh-CN" w:bidi="ar"/>
              </w:rPr>
              <w:t>各镇办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5" w:hRule="atLeast"/>
          <w:jc w:val="center"/>
        </w:trPr>
        <w:tc>
          <w:tcPr>
            <w:tcW w:w="8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_GB2312" w:cs="仿宋_GB2312"/>
                <w:sz w:val="28"/>
                <w:szCs w:val="28"/>
              </w:rPr>
            </w:pP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_GB2312" w:cs="仿宋_GB2312"/>
                <w:kern w:val="0"/>
                <w:sz w:val="28"/>
                <w:szCs w:val="28"/>
                <w:lang w:bidi="ar"/>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建立完善公职人员诚信档案</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sz w:val="28"/>
                <w:szCs w:val="28"/>
                <w:lang w:eastAsia="zh-CN"/>
              </w:rPr>
            </w:pPr>
            <w:r>
              <w:rPr>
                <w:rFonts w:hint="eastAsia" w:ascii="Times New Roman" w:hAnsi="Times New Roman" w:eastAsia="仿宋" w:cs="仿宋"/>
                <w:kern w:val="0"/>
                <w:sz w:val="28"/>
                <w:szCs w:val="28"/>
                <w:lang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eastAsia="zh-CN" w:bidi="ar"/>
              </w:rPr>
            </w:pPr>
            <w:r>
              <w:rPr>
                <w:rFonts w:hint="eastAsia" w:ascii="Times New Roman" w:hAnsi="Times New Roman" w:eastAsia="仿宋" w:cs="仿宋"/>
                <w:kern w:val="0"/>
                <w:sz w:val="28"/>
                <w:szCs w:val="28"/>
                <w:lang w:val="en-US" w:eastAsia="zh-CN" w:bidi="ar"/>
              </w:rPr>
              <w:t>区委宣传部、</w:t>
            </w:r>
            <w:r>
              <w:rPr>
                <w:rFonts w:hint="eastAsia" w:ascii="Times New Roman" w:hAnsi="Times New Roman" w:eastAsia="仿宋" w:cs="仿宋"/>
                <w:kern w:val="0"/>
                <w:sz w:val="28"/>
                <w:szCs w:val="28"/>
                <w:lang w:bidi="ar"/>
              </w:rPr>
              <w:t>区委组织部、</w:t>
            </w:r>
            <w:r>
              <w:rPr>
                <w:rFonts w:hint="eastAsia" w:ascii="Times New Roman" w:hAnsi="Times New Roman" w:eastAsia="仿宋" w:cs="仿宋"/>
                <w:kern w:val="0"/>
                <w:sz w:val="28"/>
                <w:szCs w:val="28"/>
                <w:lang w:val="en-US" w:eastAsia="zh-CN" w:bidi="ar"/>
              </w:rPr>
              <w:t>区纪委监委机关、区委编办、</w:t>
            </w:r>
            <w:r>
              <w:rPr>
                <w:rFonts w:hint="eastAsia" w:ascii="Times New Roman" w:hAnsi="Times New Roman" w:eastAsia="仿宋" w:cs="仿宋"/>
                <w:kern w:val="0"/>
                <w:sz w:val="28"/>
                <w:szCs w:val="28"/>
                <w:lang w:eastAsia="zh-CN" w:bidi="ar"/>
              </w:rPr>
              <w:t>区人力资源社会保障局</w:t>
            </w:r>
            <w:r>
              <w:rPr>
                <w:rFonts w:hint="eastAsia" w:ascii="Times New Roman" w:hAnsi="Times New Roman" w:eastAsia="仿宋" w:cs="仿宋"/>
                <w:kern w:val="0"/>
                <w:sz w:val="28"/>
                <w:szCs w:val="28"/>
                <w:lang w:val="en-US" w:eastAsia="zh-CN" w:bidi="ar"/>
              </w:rPr>
              <w:t>等</w:t>
            </w:r>
            <w:r>
              <w:rPr>
                <w:rFonts w:hint="eastAsia" w:ascii="Times New Roman" w:hAnsi="Times New Roman" w:eastAsia="仿宋" w:cs="仿宋"/>
                <w:kern w:val="0"/>
                <w:sz w:val="28"/>
                <w:szCs w:val="28"/>
                <w:lang w:bidi="ar"/>
              </w:rPr>
              <w:t>区</w:t>
            </w:r>
            <w:r>
              <w:rPr>
                <w:rFonts w:hint="eastAsia" w:ascii="Times New Roman" w:hAnsi="Times New Roman" w:eastAsia="仿宋" w:cs="仿宋"/>
                <w:kern w:val="0"/>
                <w:sz w:val="28"/>
                <w:szCs w:val="28"/>
                <w:lang w:val="en-US" w:eastAsia="zh-CN" w:bidi="ar"/>
              </w:rPr>
              <w:t>相关</w:t>
            </w:r>
            <w:r>
              <w:rPr>
                <w:rFonts w:hint="eastAsia" w:ascii="Times New Roman" w:hAnsi="Times New Roman" w:eastAsia="仿宋" w:cs="仿宋"/>
                <w:kern w:val="0"/>
                <w:sz w:val="28"/>
                <w:szCs w:val="28"/>
                <w:lang w:bidi="ar"/>
              </w:rPr>
              <w:t>单位</w:t>
            </w:r>
            <w:r>
              <w:rPr>
                <w:rFonts w:hint="eastAsia" w:ascii="Times New Roman" w:hAnsi="Times New Roman" w:eastAsia="仿宋" w:cs="仿宋"/>
                <w:kern w:val="0"/>
                <w:sz w:val="28"/>
                <w:szCs w:val="28"/>
                <w:lang w:eastAsia="zh-CN" w:bidi="ar"/>
              </w:rPr>
              <w:t>、各镇办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0" w:hRule="atLeast"/>
          <w:jc w:val="center"/>
        </w:trPr>
        <w:tc>
          <w:tcPr>
            <w:tcW w:w="8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_GB2312" w:cs="仿宋_GB2312"/>
                <w:sz w:val="28"/>
                <w:szCs w:val="28"/>
              </w:rPr>
            </w:pP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_GB2312" w:cs="仿宋_GB2312"/>
                <w:kern w:val="0"/>
                <w:sz w:val="28"/>
                <w:szCs w:val="28"/>
                <w:lang w:bidi="ar"/>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出台政务诚信承诺制度</w:t>
            </w:r>
            <w:r>
              <w:rPr>
                <w:rFonts w:hint="eastAsia" w:ascii="Times New Roman" w:hAnsi="Times New Roman" w:eastAsia="仿宋" w:cs="仿宋"/>
                <w:kern w:val="0"/>
                <w:sz w:val="28"/>
                <w:szCs w:val="28"/>
                <w:lang w:eastAsia="zh-CN" w:bidi="ar"/>
              </w:rPr>
              <w:t>，</w:t>
            </w:r>
            <w:r>
              <w:rPr>
                <w:rFonts w:hint="eastAsia" w:ascii="Times New Roman" w:hAnsi="Times New Roman" w:eastAsia="仿宋" w:cs="仿宋"/>
                <w:kern w:val="0"/>
                <w:sz w:val="28"/>
                <w:szCs w:val="28"/>
                <w:lang w:bidi="ar"/>
              </w:rPr>
              <w:t>建立完善</w:t>
            </w:r>
            <w:r>
              <w:rPr>
                <w:rFonts w:hint="eastAsia" w:ascii="Times New Roman" w:hAnsi="Times New Roman" w:eastAsia="仿宋" w:cs="仿宋"/>
                <w:kern w:val="0"/>
                <w:sz w:val="28"/>
                <w:szCs w:val="28"/>
                <w:lang w:val="en-US" w:eastAsia="zh-CN" w:bidi="ar"/>
              </w:rPr>
              <w:t>各</w:t>
            </w:r>
            <w:r>
              <w:rPr>
                <w:rFonts w:hint="eastAsia" w:ascii="Times New Roman" w:hAnsi="Times New Roman" w:eastAsia="仿宋" w:cs="仿宋"/>
                <w:kern w:val="0"/>
                <w:sz w:val="28"/>
                <w:szCs w:val="28"/>
                <w:lang w:bidi="ar"/>
              </w:rPr>
              <w:t>单位公职人员的信用承诺机制，组织签订信用承诺书</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eastAsia="zh-CN" w:bidi="ar"/>
              </w:rPr>
            </w:pPr>
            <w:r>
              <w:rPr>
                <w:rFonts w:hint="eastAsia" w:ascii="Times New Roman" w:hAnsi="Times New Roman" w:eastAsia="仿宋" w:cs="仿宋"/>
                <w:kern w:val="0"/>
                <w:sz w:val="28"/>
                <w:szCs w:val="28"/>
                <w:lang w:bidi="ar"/>
              </w:rPr>
              <w:t>区委组织部、</w:t>
            </w:r>
            <w:r>
              <w:rPr>
                <w:rFonts w:hint="eastAsia" w:ascii="Times New Roman" w:hAnsi="Times New Roman" w:eastAsia="仿宋" w:cs="仿宋"/>
                <w:kern w:val="0"/>
                <w:sz w:val="28"/>
                <w:szCs w:val="28"/>
                <w:lang w:eastAsia="zh-CN" w:bidi="ar"/>
              </w:rPr>
              <w:t>区人力资源社会保障局</w:t>
            </w:r>
            <w:r>
              <w:rPr>
                <w:rFonts w:hint="eastAsia" w:ascii="Times New Roman" w:hAnsi="Times New Roman" w:eastAsia="仿宋" w:cs="仿宋"/>
                <w:kern w:val="0"/>
                <w:sz w:val="28"/>
                <w:szCs w:val="28"/>
                <w:lang w:val="en-US" w:eastAsia="zh-CN" w:bidi="ar"/>
              </w:rPr>
              <w:t>等</w:t>
            </w:r>
            <w:r>
              <w:rPr>
                <w:rFonts w:hint="eastAsia" w:ascii="Times New Roman" w:hAnsi="Times New Roman" w:eastAsia="仿宋" w:cs="仿宋"/>
                <w:kern w:val="0"/>
                <w:sz w:val="28"/>
                <w:szCs w:val="28"/>
                <w:lang w:bidi="ar"/>
              </w:rPr>
              <w:t>区</w:t>
            </w:r>
            <w:r>
              <w:rPr>
                <w:rFonts w:hint="eastAsia" w:ascii="Times New Roman" w:hAnsi="Times New Roman" w:eastAsia="仿宋" w:cs="仿宋"/>
                <w:kern w:val="0"/>
                <w:sz w:val="28"/>
                <w:szCs w:val="28"/>
                <w:lang w:val="en-US" w:eastAsia="zh-CN" w:bidi="ar"/>
              </w:rPr>
              <w:t>相关</w:t>
            </w:r>
            <w:r>
              <w:rPr>
                <w:rFonts w:hint="eastAsia" w:ascii="Times New Roman" w:hAnsi="Times New Roman" w:eastAsia="仿宋" w:cs="仿宋"/>
                <w:kern w:val="0"/>
                <w:sz w:val="28"/>
                <w:szCs w:val="28"/>
                <w:lang w:bidi="ar"/>
              </w:rPr>
              <w:t>单位</w:t>
            </w:r>
            <w:r>
              <w:rPr>
                <w:rFonts w:hint="eastAsia" w:ascii="Times New Roman" w:hAnsi="Times New Roman" w:eastAsia="仿宋" w:cs="仿宋"/>
                <w:kern w:val="0"/>
                <w:sz w:val="28"/>
                <w:szCs w:val="28"/>
                <w:lang w:eastAsia="zh-CN" w:bidi="ar"/>
              </w:rPr>
              <w:t>、各镇办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10" w:hRule="atLeast"/>
          <w:jc w:val="center"/>
        </w:trPr>
        <w:tc>
          <w:tcPr>
            <w:tcW w:w="8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sz w:val="28"/>
                <w:szCs w:val="28"/>
              </w:rPr>
            </w:pP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全面推进在行政管理事项中使用信用记录和信用报告</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sz w:val="28"/>
                <w:szCs w:val="28"/>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仿宋"/>
                <w:kern w:val="0"/>
                <w:sz w:val="28"/>
                <w:szCs w:val="28"/>
                <w:lang w:val="en-US" w:eastAsia="zh-CN" w:bidi="ar"/>
              </w:rPr>
            </w:pPr>
            <w:r>
              <w:rPr>
                <w:rFonts w:hint="eastAsia" w:ascii="Times New Roman" w:hAnsi="Times New Roman" w:eastAsia="仿宋" w:cs="仿宋"/>
                <w:kern w:val="0"/>
                <w:sz w:val="28"/>
                <w:szCs w:val="28"/>
                <w:lang w:bidi="ar"/>
              </w:rPr>
              <w:t>区委组织部、区发展改革局、</w:t>
            </w:r>
            <w:r>
              <w:rPr>
                <w:rFonts w:hint="eastAsia" w:ascii="Times New Roman" w:hAnsi="Times New Roman" w:eastAsia="仿宋" w:cs="仿宋"/>
                <w:kern w:val="0"/>
                <w:sz w:val="28"/>
                <w:szCs w:val="28"/>
                <w:lang w:eastAsia="zh-CN" w:bidi="ar"/>
              </w:rPr>
              <w:t>区人力资源社会保障局</w:t>
            </w:r>
            <w:r>
              <w:rPr>
                <w:rFonts w:hint="eastAsia" w:ascii="Times New Roman" w:hAnsi="Times New Roman" w:eastAsia="仿宋" w:cs="仿宋"/>
                <w:kern w:val="0"/>
                <w:sz w:val="28"/>
                <w:szCs w:val="28"/>
                <w:lang w:bidi="ar"/>
              </w:rPr>
              <w:t>牵头，</w:t>
            </w:r>
            <w:r>
              <w:rPr>
                <w:rFonts w:hint="eastAsia" w:ascii="Times New Roman" w:hAnsi="Times New Roman" w:eastAsia="仿宋" w:cs="仿宋"/>
                <w:kern w:val="0"/>
                <w:sz w:val="28"/>
                <w:szCs w:val="28"/>
                <w:lang w:val="en-US" w:eastAsia="zh-CN" w:bidi="ar"/>
              </w:rPr>
              <w:t>区相关单位、</w:t>
            </w:r>
            <w:r>
              <w:rPr>
                <w:rFonts w:hint="eastAsia" w:ascii="Times New Roman" w:hAnsi="Times New Roman" w:eastAsia="仿宋" w:cs="仿宋"/>
                <w:kern w:val="0"/>
                <w:sz w:val="28"/>
                <w:szCs w:val="28"/>
                <w:lang w:eastAsia="zh-CN" w:bidi="ar"/>
              </w:rPr>
              <w:t>各镇办</w:t>
            </w:r>
            <w:r>
              <w:rPr>
                <w:rFonts w:hint="eastAsia" w:ascii="Times New Roman" w:hAnsi="Times New Roman" w:eastAsia="仿宋" w:cs="仿宋"/>
                <w:kern w:val="0"/>
                <w:sz w:val="28"/>
                <w:szCs w:val="28"/>
                <w:lang w:val="en-US" w:eastAsia="zh-CN" w:bidi="ar"/>
              </w:rPr>
              <w:t>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jc w:val="center"/>
        </w:trPr>
        <w:tc>
          <w:tcPr>
            <w:tcW w:w="84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14</w:t>
            </w:r>
          </w:p>
        </w:tc>
        <w:tc>
          <w:tcPr>
            <w:tcW w:w="16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个人诚信</w:t>
            </w:r>
          </w:p>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建设工作</w:t>
            </w: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制定并发布张店区个人诚信建设工作方案</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sz w:val="28"/>
                <w:szCs w:val="28"/>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仿宋"/>
                <w:kern w:val="0"/>
                <w:sz w:val="28"/>
                <w:szCs w:val="28"/>
                <w:lang w:val="en-US" w:eastAsia="zh-CN" w:bidi="ar"/>
              </w:rPr>
            </w:pPr>
            <w:r>
              <w:rPr>
                <w:rFonts w:hint="eastAsia" w:ascii="Times New Roman" w:hAnsi="Times New Roman" w:eastAsia="仿宋" w:cs="仿宋"/>
                <w:kern w:val="0"/>
                <w:sz w:val="28"/>
                <w:szCs w:val="28"/>
                <w:lang w:val="en-US" w:eastAsia="zh-CN" w:bidi="ar"/>
              </w:rPr>
              <w:t>区委宣传部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jc w:val="center"/>
        </w:trPr>
        <w:tc>
          <w:tcPr>
            <w:tcW w:w="841"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imes New Roman" w:hAnsi="Times New Roman" w:eastAsia="仿宋" w:cs="仿宋"/>
                <w:sz w:val="28"/>
                <w:szCs w:val="28"/>
              </w:rPr>
            </w:pPr>
          </w:p>
        </w:tc>
        <w:tc>
          <w:tcPr>
            <w:tcW w:w="162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imes New Roman" w:hAnsi="Times New Roman" w:eastAsia="仿宋" w:cs="仿宋"/>
                <w:sz w:val="28"/>
                <w:szCs w:val="28"/>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研究制定个人信用信息采集与管理制度，以及个人信用综合评价标准</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sz w:val="28"/>
                <w:szCs w:val="28"/>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区委宣传部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841"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left"/>
              <w:rPr>
                <w:rFonts w:ascii="Times New Roman" w:hAnsi="Times New Roman" w:eastAsia="仿宋_GB2312" w:cs="仿宋_GB2312"/>
                <w:sz w:val="28"/>
                <w:szCs w:val="28"/>
              </w:rPr>
            </w:pPr>
          </w:p>
        </w:tc>
        <w:tc>
          <w:tcPr>
            <w:tcW w:w="162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left"/>
              <w:rPr>
                <w:rFonts w:ascii="Times New Roman" w:hAnsi="Times New Roman" w:eastAsia="仿宋_GB2312" w:cs="仿宋_GB2312"/>
                <w:sz w:val="28"/>
                <w:szCs w:val="28"/>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根据个人信用信息采集要求，采集、报送个人信用信息</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sz w:val="28"/>
                <w:szCs w:val="28"/>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仿宋"/>
                <w:kern w:val="0"/>
                <w:sz w:val="28"/>
                <w:szCs w:val="28"/>
                <w:lang w:val="en-US" w:eastAsia="zh-CN" w:bidi="ar"/>
              </w:rPr>
            </w:pPr>
            <w:r>
              <w:rPr>
                <w:rFonts w:hint="eastAsia" w:ascii="Times New Roman" w:hAnsi="Times New Roman" w:eastAsia="仿宋" w:cs="仿宋"/>
                <w:kern w:val="0"/>
                <w:sz w:val="28"/>
                <w:szCs w:val="28"/>
                <w:lang w:val="en-US" w:eastAsia="zh-CN" w:bidi="ar"/>
              </w:rPr>
              <w:t>区有关部门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 w:hRule="atLeast"/>
          <w:jc w:val="center"/>
        </w:trPr>
        <w:tc>
          <w:tcPr>
            <w:tcW w:w="841"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left"/>
              <w:rPr>
                <w:rFonts w:ascii="Times New Roman" w:hAnsi="Times New Roman" w:eastAsia="仿宋_GB2312" w:cs="仿宋_GB2312"/>
                <w:sz w:val="28"/>
                <w:szCs w:val="28"/>
              </w:rPr>
            </w:pPr>
          </w:p>
        </w:tc>
        <w:tc>
          <w:tcPr>
            <w:tcW w:w="162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left"/>
              <w:rPr>
                <w:rFonts w:ascii="Times New Roman" w:hAnsi="Times New Roman" w:eastAsia="仿宋_GB2312" w:cs="仿宋_GB2312"/>
                <w:sz w:val="28"/>
                <w:szCs w:val="28"/>
              </w:rPr>
            </w:pPr>
          </w:p>
        </w:tc>
        <w:tc>
          <w:tcPr>
            <w:tcW w:w="56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bidi="ar"/>
              </w:rPr>
              <w:t>开展全区的个人信用综合评价，建立个人信用积分体系，完成全区个人的信用赋分</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仿宋" w:cs="仿宋"/>
                <w:sz w:val="28"/>
                <w:szCs w:val="28"/>
              </w:rPr>
            </w:pPr>
            <w:r>
              <w:rPr>
                <w:rFonts w:hint="eastAsia" w:ascii="Times New Roman" w:hAnsi="Times New Roman" w:eastAsia="仿宋" w:cs="仿宋"/>
                <w:kern w:val="0"/>
                <w:sz w:val="28"/>
                <w:szCs w:val="28"/>
                <w:lang w:val="en-US" w:eastAsia="zh-CN" w:bidi="ar"/>
              </w:rPr>
              <w:t>12月底</w:t>
            </w:r>
          </w:p>
        </w:tc>
        <w:tc>
          <w:tcPr>
            <w:tcW w:w="36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kern w:val="0"/>
                <w:sz w:val="28"/>
                <w:szCs w:val="28"/>
                <w:lang w:bidi="ar"/>
              </w:rPr>
            </w:pPr>
            <w:r>
              <w:rPr>
                <w:rFonts w:hint="eastAsia" w:ascii="Times New Roman" w:hAnsi="Times New Roman" w:eastAsia="仿宋" w:cs="仿宋"/>
                <w:kern w:val="0"/>
                <w:sz w:val="28"/>
                <w:szCs w:val="28"/>
                <w:lang w:val="en-US" w:eastAsia="zh-CN" w:bidi="ar"/>
              </w:rPr>
              <w:t>区委宣传部</w:t>
            </w:r>
          </w:p>
        </w:tc>
      </w:tr>
    </w:tbl>
    <w:p>
      <w:pPr>
        <w:pStyle w:val="25"/>
        <w:rPr>
          <w:rFonts w:hint="eastAsia" w:ascii="Times New Roman" w:hAnsi="Times New Roman" w:eastAsia="仿宋"/>
          <w:sz w:val="32"/>
          <w:szCs w:val="32"/>
        </w:rPr>
        <w:sectPr>
          <w:footerReference r:id="rId6" w:type="default"/>
          <w:pgSz w:w="16838" w:h="11906" w:orient="landscape"/>
          <w:pgMar w:top="1800" w:right="1440" w:bottom="1800" w:left="1440" w:header="851" w:footer="992" w:gutter="0"/>
          <w:pgNumType w:fmt="decimal"/>
          <w:cols w:space="720" w:num="1"/>
          <w:docGrid w:type="lines" w:linePitch="312" w:charSpace="0"/>
        </w:sectPr>
      </w:pPr>
    </w:p>
    <w:p>
      <w:pPr>
        <w:pStyle w:val="25"/>
        <w:rPr>
          <w:rFonts w:hint="eastAsia" w:ascii="Times New Roman" w:hAnsi="Times New Roman" w:eastAsia="仿宋"/>
          <w:sz w:val="32"/>
          <w:szCs w:val="32"/>
        </w:rPr>
      </w:pPr>
    </w:p>
    <w:p>
      <w:pPr>
        <w:pStyle w:val="25"/>
        <w:rPr>
          <w:rFonts w:hint="eastAsia" w:ascii="Times New Roman" w:hAnsi="Times New Roman" w:eastAsia="仿宋"/>
          <w:sz w:val="32"/>
          <w:szCs w:val="32"/>
        </w:rPr>
      </w:pPr>
    </w:p>
    <w:p>
      <w:pPr>
        <w:pStyle w:val="25"/>
        <w:rPr>
          <w:rFonts w:hint="eastAsia" w:ascii="Times New Roman" w:hAnsi="Times New Roman" w:eastAsia="仿宋"/>
          <w:sz w:val="32"/>
          <w:szCs w:val="32"/>
        </w:rPr>
      </w:pPr>
    </w:p>
    <w:p>
      <w:pPr>
        <w:pStyle w:val="25"/>
        <w:rPr>
          <w:rFonts w:hint="eastAsia" w:ascii="Times New Roman" w:hAnsi="Times New Roman" w:eastAsia="仿宋"/>
          <w:sz w:val="32"/>
          <w:szCs w:val="32"/>
        </w:rPr>
      </w:pPr>
    </w:p>
    <w:p>
      <w:pPr>
        <w:pStyle w:val="25"/>
        <w:rPr>
          <w:rFonts w:hint="eastAsia" w:ascii="Times New Roman" w:hAnsi="Times New Roman" w:eastAsia="仿宋"/>
          <w:sz w:val="32"/>
          <w:szCs w:val="32"/>
        </w:rPr>
      </w:pPr>
    </w:p>
    <w:p>
      <w:pPr>
        <w:pStyle w:val="25"/>
        <w:rPr>
          <w:rFonts w:hint="eastAsia" w:ascii="Times New Roman" w:hAnsi="Times New Roman" w:eastAsia="仿宋"/>
          <w:sz w:val="32"/>
          <w:szCs w:val="32"/>
        </w:rPr>
      </w:pPr>
    </w:p>
    <w:p>
      <w:pPr>
        <w:pStyle w:val="25"/>
        <w:rPr>
          <w:rFonts w:hint="eastAsia" w:ascii="Times New Roman" w:hAnsi="Times New Roman" w:eastAsia="仿宋"/>
          <w:sz w:val="32"/>
          <w:szCs w:val="32"/>
        </w:rPr>
      </w:pPr>
    </w:p>
    <w:p>
      <w:pPr>
        <w:pStyle w:val="25"/>
        <w:rPr>
          <w:rFonts w:hint="eastAsia" w:ascii="Times New Roman" w:hAnsi="Times New Roman" w:eastAsia="仿宋"/>
          <w:sz w:val="32"/>
          <w:szCs w:val="32"/>
        </w:rPr>
      </w:pPr>
    </w:p>
    <w:p>
      <w:pPr>
        <w:pStyle w:val="25"/>
        <w:rPr>
          <w:rFonts w:hint="eastAsia" w:ascii="Times New Roman" w:hAnsi="Times New Roman" w:eastAsia="仿宋"/>
          <w:sz w:val="32"/>
          <w:szCs w:val="32"/>
        </w:rPr>
      </w:pPr>
    </w:p>
    <w:p>
      <w:pPr>
        <w:pStyle w:val="25"/>
        <w:rPr>
          <w:rFonts w:hint="eastAsia" w:ascii="Times New Roman" w:hAnsi="Times New Roman" w:eastAsia="仿宋"/>
          <w:sz w:val="32"/>
          <w:szCs w:val="32"/>
        </w:rPr>
      </w:pPr>
    </w:p>
    <w:p>
      <w:pPr>
        <w:pStyle w:val="25"/>
        <w:rPr>
          <w:rFonts w:hint="eastAsia" w:ascii="Times New Roman" w:hAnsi="Times New Roman" w:eastAsia="仿宋"/>
          <w:sz w:val="32"/>
          <w:szCs w:val="32"/>
        </w:rPr>
      </w:pPr>
    </w:p>
    <w:p>
      <w:pPr>
        <w:pStyle w:val="25"/>
        <w:rPr>
          <w:rFonts w:hint="eastAsia" w:ascii="Times New Roman" w:hAnsi="Times New Roman" w:eastAsia="仿宋"/>
          <w:sz w:val="32"/>
          <w:szCs w:val="32"/>
        </w:rPr>
      </w:pPr>
    </w:p>
    <w:p>
      <w:pPr>
        <w:pStyle w:val="25"/>
        <w:rPr>
          <w:rFonts w:hint="eastAsia" w:ascii="Times New Roman" w:hAnsi="Times New Roman" w:eastAsia="仿宋"/>
          <w:sz w:val="32"/>
          <w:szCs w:val="32"/>
        </w:rPr>
      </w:pPr>
    </w:p>
    <w:p>
      <w:pPr>
        <w:pStyle w:val="25"/>
        <w:rPr>
          <w:rFonts w:hint="eastAsia" w:ascii="Times New Roman" w:hAnsi="Times New Roman" w:eastAsia="仿宋"/>
          <w:sz w:val="32"/>
          <w:szCs w:val="32"/>
        </w:rPr>
      </w:pPr>
    </w:p>
    <w:p>
      <w:pPr>
        <w:pStyle w:val="25"/>
        <w:rPr>
          <w:rFonts w:hint="eastAsia" w:ascii="Times New Roman" w:hAnsi="Times New Roman" w:eastAsia="仿宋"/>
          <w:sz w:val="32"/>
          <w:szCs w:val="32"/>
        </w:rPr>
      </w:pPr>
    </w:p>
    <w:p>
      <w:pPr>
        <w:pStyle w:val="25"/>
        <w:rPr>
          <w:rFonts w:hint="eastAsia" w:ascii="Times New Roman" w:hAnsi="Times New Roman" w:eastAsia="仿宋"/>
          <w:sz w:val="32"/>
          <w:szCs w:val="32"/>
        </w:rPr>
      </w:pPr>
    </w:p>
    <w:p>
      <w:pPr>
        <w:pStyle w:val="25"/>
        <w:rPr>
          <w:rFonts w:hint="eastAsia" w:ascii="Times New Roman" w:hAnsi="Times New Roman" w:eastAsia="仿宋"/>
          <w:sz w:val="32"/>
          <w:szCs w:val="32"/>
        </w:rPr>
      </w:pPr>
    </w:p>
    <w:p>
      <w:pPr>
        <w:pStyle w:val="25"/>
        <w:rPr>
          <w:rFonts w:hint="eastAsia" w:ascii="Times New Roman" w:hAnsi="Times New Roman" w:eastAsia="仿宋"/>
          <w:sz w:val="32"/>
          <w:szCs w:val="32"/>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480" w:lineRule="exact"/>
        <w:rPr>
          <w:rFonts w:ascii="Times New Roman" w:hAnsi="Times New Roman" w:eastAsia="仿宋_GB2312"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center"/>
        <w:rPr>
          <w:rFonts w:hint="eastAsia" w:ascii="Times New Roman" w:hAnsi="Times New Roman" w:eastAsia="仿宋_GB2312"/>
          <w:color w:val="auto"/>
          <w:sz w:val="28"/>
          <w:szCs w:val="28"/>
          <w:lang w:eastAsia="zh-CN"/>
        </w:rPr>
      </w:pPr>
      <w:r>
        <w:rPr>
          <w:rFonts w:ascii="Times New Roman" w:hAnsi="Times New Roman" w:eastAsia="仿宋_GB2312" w:cs="Times New Roman"/>
          <w:color w:val="auto"/>
          <w:sz w:val="28"/>
          <w:szCs w:val="28"/>
        </w:rPr>
        <w:t>抄送：区委办公室，区人大常委会办公室，区政协办公室，</w:t>
      </w:r>
      <w:r>
        <w:rPr>
          <w:rFonts w:hint="eastAsia" w:ascii="Times New Roman" w:hAnsi="Times New Roman" w:eastAsia="仿宋_GB2312"/>
          <w:color w:val="auto"/>
          <w:sz w:val="28"/>
          <w:szCs w:val="28"/>
          <w:lang w:eastAsia="zh-CN"/>
        </w:rPr>
        <w:t>区监委，</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center"/>
        <w:rPr>
          <w:rFonts w:ascii="Times New Roman" w:hAnsi="Times New Roman" w:eastAsia="仿宋_GB2312" w:cs="Times New Roman"/>
          <w:color w:val="auto"/>
          <w:szCs w:val="32"/>
        </w:rPr>
      </w:pPr>
      <w:r>
        <w:rPr>
          <w:rFonts w:ascii="Times New Roman" w:hAnsi="Times New Roman" w:eastAsia="仿宋_GB2312" w:cs="Times New Roman"/>
          <w:color w:val="auto"/>
          <w:sz w:val="28"/>
          <w:szCs w:val="28"/>
        </w:rPr>
        <w:t>区法院，区检察院。</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ind w:firstLine="280" w:firstLineChars="100"/>
        <w:textAlignment w:val="center"/>
        <w:rPr>
          <w:rFonts w:hint="eastAsia" w:ascii="Times New Roman" w:hAnsi="Times New Roman" w:cs="Times New Roman"/>
          <w:color w:val="auto"/>
        </w:rPr>
      </w:pPr>
      <w:r>
        <w:rPr>
          <w:rFonts w:ascii="Times New Roman" w:hAnsi="Times New Roman" w:eastAsia="仿宋_GB2312" w:cs="Times New Roman"/>
          <w:color w:val="auto"/>
          <w:sz w:val="28"/>
          <w:szCs w:val="28"/>
        </w:rPr>
        <w:t>淄博市张店区人民政府办公室         2021年1</w:t>
      </w:r>
      <w:r>
        <w:rPr>
          <w:rFonts w:hint="eastAsia" w:ascii="Times New Roman" w:hAnsi="Times New Roman" w:cs="Times New Roman"/>
          <w:color w:val="auto"/>
          <w:sz w:val="28"/>
          <w:szCs w:val="28"/>
          <w:lang w:val="en-US" w:eastAsia="zh-CN"/>
        </w:rPr>
        <w:t>2</w:t>
      </w:r>
      <w:r>
        <w:rPr>
          <w:rFonts w:ascii="Times New Roman" w:hAnsi="Times New Roman" w:eastAsia="仿宋_GB2312" w:cs="Times New Roman"/>
          <w:color w:val="auto"/>
          <w:sz w:val="28"/>
          <w:szCs w:val="28"/>
        </w:rPr>
        <w:t>月</w:t>
      </w:r>
      <w:r>
        <w:rPr>
          <w:rFonts w:hint="eastAsia" w:ascii="Times New Roman" w:hAnsi="Times New Roman" w:cs="Times New Roman"/>
          <w:color w:val="auto"/>
          <w:sz w:val="28"/>
          <w:szCs w:val="28"/>
          <w:lang w:val="en-US" w:eastAsia="zh-CN"/>
        </w:rPr>
        <w:t>31</w:t>
      </w:r>
      <w:r>
        <w:rPr>
          <w:rFonts w:ascii="Times New Roman" w:hAnsi="Times New Roman" w:eastAsia="仿宋_GB2312" w:cs="Times New Roman"/>
          <w:color w:val="auto"/>
          <w:sz w:val="28"/>
          <w:szCs w:val="28"/>
        </w:rPr>
        <w:t>日印发</w:t>
      </w:r>
    </w:p>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ZDDR-2021-0010004</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仿宋_GB2312" w:cs="仿宋_GB2312"/>
          <w:sz w:val="32"/>
          <w:szCs w:val="32"/>
          <w:lang w:val="en-US" w:eastAsia="zh-CN"/>
        </w:rPr>
      </w:pPr>
    </w:p>
    <w:p>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仿宋_GB2312"/>
          <w:spacing w:val="10"/>
          <w:sz w:val="32"/>
        </w:rPr>
      </w:pPr>
      <w:r>
        <w:rPr>
          <w:rFonts w:hint="eastAsia" w:ascii="Times New Roman" w:hAnsi="Times New Roman" w:eastAsia="仿宋_GB2312"/>
          <w:spacing w:val="10"/>
          <w:sz w:val="32"/>
        </w:rPr>
        <w:t>张政字〔20</w:t>
      </w:r>
      <w:r>
        <w:rPr>
          <w:rFonts w:hint="eastAsia" w:ascii="Times New Roman" w:hAnsi="Times New Roman" w:eastAsia="仿宋_GB2312"/>
          <w:spacing w:val="10"/>
          <w:sz w:val="32"/>
          <w:lang w:val="en-US" w:eastAsia="zh-CN"/>
        </w:rPr>
        <w:t>21</w:t>
      </w:r>
      <w:r>
        <w:rPr>
          <w:rFonts w:hint="eastAsia" w:ascii="Times New Roman" w:hAnsi="Times New Roman" w:eastAsia="仿宋_GB2312"/>
          <w:spacing w:val="10"/>
          <w:sz w:val="32"/>
        </w:rPr>
        <w:t>〕</w:t>
      </w:r>
      <w:r>
        <w:rPr>
          <w:rFonts w:hint="eastAsia" w:ascii="Times New Roman" w:hAnsi="Times New Roman" w:eastAsia="仿宋_GB2312"/>
          <w:spacing w:val="10"/>
          <w:sz w:val="32"/>
          <w:lang w:val="en-US" w:eastAsia="zh-CN"/>
        </w:rPr>
        <w:t>87</w:t>
      </w:r>
      <w:r>
        <w:rPr>
          <w:rFonts w:hint="eastAsia" w:ascii="Times New Roman" w:hAnsi="Times New Roman" w:eastAsia="仿宋_GB2312"/>
          <w:spacing w:val="10"/>
          <w:sz w:val="32"/>
        </w:rPr>
        <w:t>号</w:t>
      </w:r>
    </w:p>
    <w:p>
      <w:pPr>
        <w:pStyle w:val="12"/>
        <w:rPr>
          <w:rFonts w:hint="default" w:ascii="Times New Roman" w:hAnsi="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28"/>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28"/>
        </w:rPr>
      </w:pPr>
      <w:r>
        <w:rPr>
          <w:rFonts w:hint="default" w:ascii="Times New Roman" w:hAnsi="Times New Roman" w:eastAsia="方正小标宋简体" w:cs="Times New Roman"/>
          <w:sz w:val="44"/>
          <w:szCs w:val="28"/>
          <w:lang w:val="en-US" w:eastAsia="zh-CN"/>
        </w:rPr>
        <w:t>张店区</w:t>
      </w:r>
      <w:r>
        <w:rPr>
          <w:rFonts w:hint="default" w:ascii="Times New Roman" w:hAnsi="Times New Roman" w:eastAsia="方正小标宋简体" w:cs="Times New Roman"/>
          <w:sz w:val="44"/>
          <w:szCs w:val="28"/>
        </w:rPr>
        <w:t>人民政府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方正小标宋简体" w:cs="Times New Roman"/>
          <w:sz w:val="44"/>
          <w:szCs w:val="28"/>
          <w:lang w:val="en-US" w:eastAsia="zh-CN"/>
        </w:rPr>
      </w:pPr>
      <w:r>
        <w:rPr>
          <w:rFonts w:hint="default" w:ascii="Times New Roman" w:hAnsi="Times New Roman" w:eastAsia="方正小标宋简体" w:cs="Times New Roman"/>
          <w:sz w:val="44"/>
          <w:szCs w:val="28"/>
        </w:rPr>
        <w:t>关于印发</w:t>
      </w:r>
      <w:r>
        <w:rPr>
          <w:rFonts w:hint="eastAsia" w:ascii="Times New Roman" w:hAnsi="Times New Roman" w:eastAsia="方正小标宋简体" w:cs="Times New Roman"/>
          <w:sz w:val="44"/>
          <w:szCs w:val="28"/>
          <w:lang w:val="en-US" w:eastAsia="zh-CN"/>
        </w:rPr>
        <w:t>张店区市场主体公共信用评价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文星标宋" w:cs="Times New Roman"/>
          <w:sz w:val="44"/>
          <w:szCs w:val="28"/>
        </w:rPr>
      </w:pPr>
      <w:r>
        <w:rPr>
          <w:rFonts w:hint="eastAsia" w:ascii="Times New Roman" w:hAnsi="Times New Roman" w:eastAsia="方正小标宋简体" w:cs="Times New Roman"/>
          <w:sz w:val="44"/>
          <w:szCs w:val="28"/>
          <w:lang w:val="en-US" w:eastAsia="zh-CN"/>
        </w:rPr>
        <w:t>管理办法（试行）的</w:t>
      </w:r>
      <w:r>
        <w:rPr>
          <w:rFonts w:hint="default" w:ascii="Times New Roman" w:hAnsi="Times New Roman" w:eastAsia="方正小标宋简体" w:cs="Times New Roman"/>
          <w:sz w:val="44"/>
          <w:szCs w:val="28"/>
        </w:rPr>
        <w:t>通知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各</w:t>
      </w:r>
      <w:r>
        <w:rPr>
          <w:rFonts w:hint="default" w:ascii="Times New Roman" w:hAnsi="Times New Roman" w:eastAsia="仿宋_GB2312" w:cs="Times New Roman"/>
          <w:sz w:val="32"/>
          <w:szCs w:val="28"/>
          <w:lang w:val="en-US" w:eastAsia="zh-CN"/>
        </w:rPr>
        <w:t>镇政府、街道办事处</w:t>
      </w:r>
      <w:r>
        <w:rPr>
          <w:rFonts w:hint="eastAsia" w:ascii="Times New Roman" w:hAnsi="Times New Roman" w:eastAsia="仿宋_GB2312" w:cs="Times New Roman"/>
          <w:sz w:val="32"/>
          <w:szCs w:val="28"/>
          <w:lang w:val="en-US" w:eastAsia="zh-CN"/>
        </w:rPr>
        <w:t>，</w:t>
      </w:r>
      <w:r>
        <w:rPr>
          <w:rFonts w:hint="default" w:ascii="Times New Roman" w:hAnsi="Times New Roman" w:eastAsia="仿宋_GB2312" w:cs="Times New Roman"/>
          <w:sz w:val="32"/>
          <w:szCs w:val="28"/>
          <w:lang w:val="en-US" w:eastAsia="zh-CN"/>
        </w:rPr>
        <w:t>区</w:t>
      </w:r>
      <w:r>
        <w:rPr>
          <w:rFonts w:hint="default" w:ascii="Times New Roman" w:hAnsi="Times New Roman" w:eastAsia="仿宋_GB2312" w:cs="Times New Roman"/>
          <w:sz w:val="32"/>
          <w:szCs w:val="28"/>
        </w:rPr>
        <w:t>政府各部门，各有关单位：</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现将</w:t>
      </w:r>
      <w:r>
        <w:rPr>
          <w:rFonts w:hint="default" w:ascii="Times New Roman" w:hAnsi="Times New Roman" w:eastAsia="仿宋_GB2312" w:cs="Times New Roman"/>
          <w:sz w:val="32"/>
          <w:szCs w:val="28"/>
          <w:lang w:val="en-US" w:eastAsia="zh-CN"/>
        </w:rPr>
        <w:t>《</w:t>
      </w:r>
      <w:r>
        <w:rPr>
          <w:rFonts w:hint="eastAsia" w:ascii="Times New Roman" w:hAnsi="Times New Roman" w:eastAsia="仿宋_GB2312" w:cs="Times New Roman"/>
          <w:sz w:val="32"/>
          <w:szCs w:val="28"/>
          <w:lang w:val="en-US" w:eastAsia="zh-CN"/>
        </w:rPr>
        <w:t>张店区市场主体公共信用评价管理办法（试行）</w:t>
      </w:r>
      <w:r>
        <w:rPr>
          <w:rFonts w:hint="default" w:ascii="Times New Roman" w:hAnsi="Times New Roman" w:eastAsia="仿宋_GB2312" w:cs="Times New Roman"/>
          <w:sz w:val="32"/>
          <w:szCs w:val="28"/>
        </w:rPr>
        <w:t>》印发给你们，请认真贯彻执行。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right"/>
        <w:textAlignment w:val="auto"/>
        <w:outlineLvl w:val="9"/>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 xml:space="preserve">               </w:t>
      </w:r>
      <w:r>
        <w:rPr>
          <w:rFonts w:hint="eastAsia" w:ascii="Times New Roman" w:hAnsi="Times New Roman" w:eastAsia="仿宋_GB2312" w:cs="Times New Roman"/>
          <w:sz w:val="32"/>
          <w:szCs w:val="28"/>
          <w:lang w:val="en-US" w:eastAsia="zh-CN"/>
        </w:rPr>
        <w:t>淄博市</w:t>
      </w:r>
      <w:r>
        <w:rPr>
          <w:rFonts w:hint="default" w:ascii="Times New Roman" w:hAnsi="Times New Roman" w:eastAsia="仿宋_GB2312" w:cs="Times New Roman"/>
          <w:sz w:val="32"/>
          <w:szCs w:val="28"/>
          <w:lang w:val="en-US" w:eastAsia="zh-CN"/>
        </w:rPr>
        <w:t>张店区</w:t>
      </w:r>
      <w:r>
        <w:rPr>
          <w:rFonts w:hint="default" w:ascii="Times New Roman" w:hAnsi="Times New Roman" w:eastAsia="仿宋_GB2312" w:cs="Times New Roman"/>
          <w:sz w:val="32"/>
          <w:szCs w:val="28"/>
        </w:rPr>
        <w:t>人民政府</w:t>
      </w:r>
      <w:r>
        <w:rPr>
          <w:rFonts w:hint="eastAsia" w:ascii="Times New Roman" w:hAnsi="Times New Roman" w:eastAsia="仿宋_GB2312" w:cs="Times New Roman"/>
          <w:sz w:val="32"/>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lang w:val="en-US" w:eastAsia="zh-CN"/>
        </w:rPr>
        <w:t xml:space="preserve">                    </w:t>
      </w:r>
      <w:r>
        <w:rPr>
          <w:rFonts w:hint="eastAsia" w:ascii="Times New Roman" w:hAnsi="Times New Roman" w:eastAsia="仿宋_GB2312" w:cs="Times New Roman"/>
          <w:sz w:val="32"/>
          <w:szCs w:val="28"/>
          <w:lang w:val="en-US" w:eastAsia="zh-CN"/>
        </w:rPr>
        <w:t xml:space="preserve">       </w:t>
      </w:r>
      <w:r>
        <w:rPr>
          <w:rFonts w:hint="eastAsia" w:ascii="Times New Roman" w:hAnsi="Times New Roman" w:eastAsia="仿宋_GB2312" w:cs="仿宋_GB2312"/>
          <w:sz w:val="32"/>
          <w:szCs w:val="28"/>
          <w:lang w:val="en-US" w:eastAsia="zh-CN"/>
        </w:rPr>
        <w:t>2021</w:t>
      </w:r>
      <w:r>
        <w:rPr>
          <w:rFonts w:hint="default" w:ascii="Times New Roman" w:hAnsi="Times New Roman" w:eastAsia="仿宋_GB2312" w:cs="Times New Roman"/>
          <w:sz w:val="32"/>
          <w:szCs w:val="28"/>
          <w:lang w:val="en-US" w:eastAsia="zh-CN"/>
        </w:rPr>
        <w:t>年</w:t>
      </w:r>
      <w:r>
        <w:rPr>
          <w:rFonts w:hint="eastAsia" w:ascii="Times New Roman" w:hAnsi="Times New Roman" w:eastAsia="仿宋_GB2312" w:cs="仿宋_GB2312"/>
          <w:sz w:val="32"/>
          <w:szCs w:val="28"/>
          <w:lang w:val="en-US" w:eastAsia="zh-CN"/>
        </w:rPr>
        <w:t>12</w:t>
      </w:r>
      <w:r>
        <w:rPr>
          <w:rFonts w:hint="default" w:ascii="Times New Roman" w:hAnsi="Times New Roman" w:eastAsia="仿宋_GB2312" w:cs="Times New Roman"/>
          <w:sz w:val="32"/>
          <w:szCs w:val="28"/>
          <w:lang w:val="en-US" w:eastAsia="zh-CN"/>
        </w:rPr>
        <w:t>月</w:t>
      </w:r>
      <w:r>
        <w:rPr>
          <w:rFonts w:hint="eastAsia" w:ascii="Times New Roman" w:hAnsi="Times New Roman" w:eastAsia="仿宋_GB2312" w:cs="Times New Roman"/>
          <w:sz w:val="32"/>
          <w:szCs w:val="28"/>
          <w:lang w:val="en-US" w:eastAsia="zh-CN"/>
        </w:rPr>
        <w:t>31</w:t>
      </w:r>
      <w:r>
        <w:rPr>
          <w:rFonts w:hint="default" w:ascii="Times New Roman" w:hAnsi="Times New Roman" w:eastAsia="仿宋_GB2312" w:cs="Times New Roman"/>
          <w:sz w:val="32"/>
          <w:szCs w:val="28"/>
        </w:rPr>
        <w:t>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（此件公开发布）</w:t>
      </w:r>
    </w:p>
    <w:p>
      <w:pPr>
        <w:keepNext w:val="0"/>
        <w:keepLines w:val="0"/>
        <w:pageBreakBefore w:val="0"/>
        <w:kinsoku/>
        <w:overflowPunct/>
        <w:topLinePunct w:val="0"/>
        <w:autoSpaceDE w:val="0"/>
        <w:autoSpaceDN w:val="0"/>
        <w:bidi w:val="0"/>
        <w:spacing w:line="560" w:lineRule="exact"/>
        <w:jc w:val="both"/>
        <w:textAlignment w:val="auto"/>
        <w:rPr>
          <w:rFonts w:hint="eastAsia" w:ascii="Times New Roman" w:hAnsi="Times New Roman" w:eastAsia="方正小标宋简体" w:cs="方正小标宋简体"/>
          <w:sz w:val="44"/>
          <w:szCs w:val="44"/>
          <w:lang w:val="en-US" w:eastAsia="zh-CN"/>
        </w:rPr>
        <w:sectPr>
          <w:footerReference r:id="rId7" w:type="default"/>
          <w:pgSz w:w="11906" w:h="16838"/>
          <w:pgMar w:top="2098" w:right="1474" w:bottom="1984" w:left="1587" w:header="851" w:footer="1531" w:gutter="0"/>
          <w:pgNumType w:fmt="decimal"/>
          <w:cols w:space="720" w:num="1"/>
          <w:docGrid w:type="lines" w:linePitch="312" w:charSpace="0"/>
        </w:sectPr>
      </w:pPr>
    </w:p>
    <w:p>
      <w:pPr>
        <w:keepNext w:val="0"/>
        <w:keepLines w:val="0"/>
        <w:pageBreakBefore w:val="0"/>
        <w:kinsoku/>
        <w:overflowPunct/>
        <w:topLinePunct w:val="0"/>
        <w:autoSpaceDE w:val="0"/>
        <w:autoSpaceDN w:val="0"/>
        <w:bidi w:val="0"/>
        <w:spacing w:line="560" w:lineRule="exact"/>
        <w:jc w:val="center"/>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val="en-US" w:eastAsia="zh-CN"/>
        </w:rPr>
        <w:t>张店区市场主体公共</w:t>
      </w:r>
      <w:r>
        <w:rPr>
          <w:rFonts w:hint="eastAsia" w:ascii="Times New Roman" w:hAnsi="Times New Roman" w:eastAsia="方正小标宋简体" w:cs="方正小标宋简体"/>
          <w:sz w:val="44"/>
          <w:szCs w:val="44"/>
        </w:rPr>
        <w:t>信用</w:t>
      </w:r>
      <w:r>
        <w:rPr>
          <w:rFonts w:hint="eastAsia" w:ascii="Times New Roman" w:hAnsi="Times New Roman" w:eastAsia="方正小标宋简体" w:cs="方正小标宋简体"/>
          <w:sz w:val="44"/>
          <w:szCs w:val="44"/>
          <w:lang w:val="en-US" w:eastAsia="zh-CN"/>
        </w:rPr>
        <w:t>评价</w:t>
      </w:r>
      <w:r>
        <w:rPr>
          <w:rFonts w:hint="eastAsia" w:ascii="Times New Roman" w:hAnsi="Times New Roman" w:eastAsia="方正小标宋简体" w:cs="方正小标宋简体"/>
          <w:sz w:val="44"/>
          <w:szCs w:val="44"/>
        </w:rPr>
        <w:t>管理办法</w:t>
      </w:r>
      <w:r>
        <w:rPr>
          <w:rFonts w:hint="eastAsia" w:ascii="Times New Roman" w:hAnsi="Times New Roman" w:eastAsia="方正小标宋简体" w:cs="方正小标宋简体"/>
          <w:sz w:val="44"/>
          <w:szCs w:val="44"/>
          <w:lang w:eastAsia="zh-CN"/>
        </w:rPr>
        <w:t>（</w:t>
      </w:r>
      <w:r>
        <w:rPr>
          <w:rFonts w:hint="eastAsia" w:ascii="Times New Roman" w:hAnsi="Times New Roman" w:eastAsia="方正小标宋简体" w:cs="方正小标宋简体"/>
          <w:sz w:val="44"/>
          <w:szCs w:val="44"/>
          <w:lang w:val="en-US" w:eastAsia="zh-CN"/>
        </w:rPr>
        <w:t>试行</w:t>
      </w:r>
      <w:r>
        <w:rPr>
          <w:rFonts w:hint="eastAsia" w:ascii="Times New Roman" w:hAnsi="Times New Roman" w:eastAsia="方正小标宋简体" w:cs="方正小标宋简体"/>
          <w:sz w:val="44"/>
          <w:szCs w:val="44"/>
          <w:lang w:eastAsia="zh-CN"/>
        </w:rPr>
        <w:t>）</w:t>
      </w:r>
    </w:p>
    <w:p>
      <w:pPr>
        <w:pStyle w:val="25"/>
        <w:keepNext w:val="0"/>
        <w:keepLines w:val="0"/>
        <w:pageBreakBefore w:val="0"/>
        <w:kinsoku/>
        <w:overflowPunct/>
        <w:topLinePunct w:val="0"/>
        <w:bidi w:val="0"/>
        <w:spacing w:line="560" w:lineRule="exact"/>
        <w:jc w:val="center"/>
        <w:textAlignment w:val="auto"/>
        <w:rPr>
          <w:rFonts w:hint="eastAsia" w:ascii="Times New Roman" w:hAnsi="Times New Roman" w:eastAsia="楷体_GB2312" w:cs="楷体_GB2312"/>
          <w:b w:val="0"/>
          <w:bCs/>
          <w:color w:val="auto"/>
          <w:kern w:val="2"/>
          <w:sz w:val="32"/>
          <w:szCs w:val="32"/>
          <w:highlight w:val="none"/>
          <w:shd w:val="clear" w:color="auto" w:fill="auto"/>
          <w:lang w:val="en-US" w:eastAsia="zh-CN"/>
        </w:rPr>
      </w:pPr>
    </w:p>
    <w:p>
      <w:pPr>
        <w:keepNext w:val="0"/>
        <w:keepLines w:val="0"/>
        <w:pageBreakBefore w:val="0"/>
        <w:numPr>
          <w:ilvl w:val="0"/>
          <w:numId w:val="1"/>
        </w:numPr>
        <w:kinsoku/>
        <w:overflowPunct/>
        <w:topLinePunct w:val="0"/>
        <w:bidi w:val="0"/>
        <w:spacing w:line="560" w:lineRule="exact"/>
        <w:ind w:left="1157"/>
        <w:jc w:val="center"/>
        <w:textAlignment w:val="auto"/>
        <w:rPr>
          <w:rFonts w:ascii="Times New Roman" w:hAnsi="Times New Roman" w:eastAsia="黑体"/>
          <w:sz w:val="32"/>
          <w:szCs w:val="32"/>
        </w:rPr>
      </w:pP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总 则</w:t>
      </w:r>
    </w:p>
    <w:p>
      <w:pPr>
        <w:pStyle w:val="12"/>
        <w:keepNext w:val="0"/>
        <w:keepLines w:val="0"/>
        <w:pageBreakBefore w:val="0"/>
        <w:kinsoku/>
        <w:overflowPunct/>
        <w:topLinePunct w:val="0"/>
        <w:bidi w:val="0"/>
        <w:spacing w:line="5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bCs w:val="0"/>
          <w:color w:val="auto"/>
          <w:sz w:val="32"/>
          <w:szCs w:val="32"/>
          <w:highlight w:val="none"/>
          <w:shd w:val="clear" w:color="auto" w:fill="auto"/>
        </w:rPr>
        <w:t>第一条</w:t>
      </w:r>
      <w:r>
        <w:rPr>
          <w:rFonts w:hint="eastAsia" w:ascii="Times New Roman" w:hAnsi="Times New Roman" w:eastAsia="仿宋_GB2312" w:cs="Times New Roman"/>
          <w:b w:val="0"/>
          <w:bCs/>
          <w:color w:val="auto"/>
          <w:sz w:val="32"/>
          <w:szCs w:val="32"/>
          <w:highlight w:val="none"/>
          <w:shd w:val="clear" w:color="auto" w:fill="auto"/>
        </w:rPr>
        <w:t xml:space="preserve"> 为建立市场主体信用分级分类标准体系，加快构建差异化监管模式，全力打造一流营商环境，根据《国务院办公厅关于加快推进社会信用体系建设构建以信用为基础的新型监管机制的指导意见》（国办发〔2019〕35号）</w:t>
      </w:r>
      <w:r>
        <w:rPr>
          <w:rFonts w:hint="eastAsia" w:ascii="Times New Roman" w:hAnsi="Times New Roman" w:eastAsia="仿宋_GB2312" w:cs="Times New Roman"/>
          <w:b w:val="0"/>
          <w:bCs/>
          <w:color w:val="auto"/>
          <w:sz w:val="32"/>
          <w:szCs w:val="32"/>
          <w:highlight w:val="none"/>
          <w:shd w:val="clear" w:color="auto" w:fill="auto"/>
          <w:lang w:eastAsia="zh-CN"/>
        </w:rPr>
        <w:t>、</w:t>
      </w:r>
      <w:r>
        <w:rPr>
          <w:rFonts w:hint="eastAsia" w:ascii="Times New Roman" w:hAnsi="Times New Roman" w:eastAsia="仿宋_GB2312" w:cs="Times New Roman"/>
          <w:b w:val="0"/>
          <w:bCs/>
          <w:color w:val="auto"/>
          <w:sz w:val="32"/>
          <w:szCs w:val="32"/>
          <w:highlight w:val="none"/>
          <w:shd w:val="clear" w:color="auto" w:fill="auto"/>
        </w:rPr>
        <w:t>《差异化监管流程再造实施方案》</w:t>
      </w:r>
      <w:r>
        <w:rPr>
          <w:rFonts w:hint="eastAsia" w:ascii="Times New Roman" w:hAnsi="Times New Roman" w:eastAsia="仿宋_GB2312" w:cs="Times New Roman"/>
          <w:b w:val="0"/>
          <w:bCs/>
          <w:color w:val="auto"/>
          <w:sz w:val="32"/>
          <w:szCs w:val="32"/>
          <w:highlight w:val="none"/>
          <w:shd w:val="clear" w:color="auto" w:fill="auto"/>
          <w:lang w:eastAsia="zh-CN"/>
        </w:rPr>
        <w:t>、</w:t>
      </w:r>
      <w:r>
        <w:rPr>
          <w:rFonts w:hint="eastAsia" w:ascii="Times New Roman" w:hAnsi="Times New Roman" w:eastAsia="仿宋_GB2312" w:cs="Times New Roman"/>
          <w:b w:val="0"/>
          <w:bCs/>
          <w:color w:val="auto"/>
          <w:sz w:val="32"/>
          <w:szCs w:val="32"/>
          <w:highlight w:val="none"/>
          <w:shd w:val="clear" w:color="auto" w:fill="auto"/>
        </w:rPr>
        <w:t>《山东省信用分级分类管理办法（试行）》（鲁发改信用〔2020〕808号）文件要求，结合</w:t>
      </w:r>
      <w:r>
        <w:rPr>
          <w:rFonts w:hint="eastAsia" w:ascii="Times New Roman" w:hAnsi="Times New Roman" w:eastAsia="仿宋_GB2312" w:cs="Times New Roman"/>
          <w:b w:val="0"/>
          <w:bCs/>
          <w:color w:val="auto"/>
          <w:sz w:val="32"/>
          <w:szCs w:val="32"/>
          <w:highlight w:val="none"/>
          <w:shd w:val="clear" w:color="auto" w:fill="auto"/>
          <w:lang w:val="en-US" w:eastAsia="zh-CN"/>
        </w:rPr>
        <w:t>张店区</w:t>
      </w:r>
      <w:r>
        <w:rPr>
          <w:rFonts w:hint="eastAsia" w:ascii="Times New Roman" w:hAnsi="Times New Roman" w:eastAsia="仿宋_GB2312" w:cs="Times New Roman"/>
          <w:b w:val="0"/>
          <w:bCs/>
          <w:color w:val="auto"/>
          <w:sz w:val="32"/>
          <w:szCs w:val="32"/>
          <w:highlight w:val="none"/>
          <w:shd w:val="clear" w:color="auto" w:fill="auto"/>
        </w:rPr>
        <w:t>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bCs w:val="0"/>
          <w:color w:val="auto"/>
          <w:sz w:val="32"/>
          <w:szCs w:val="32"/>
          <w:highlight w:val="none"/>
          <w:shd w:val="clear" w:color="auto" w:fill="auto"/>
        </w:rPr>
        <w:t>第二条</w:t>
      </w:r>
      <w:r>
        <w:rPr>
          <w:rFonts w:hint="eastAsia" w:ascii="Times New Roman" w:hAnsi="Times New Roman" w:eastAsia="仿宋_GB2312" w:cs="Times New Roman"/>
          <w:b w:val="0"/>
          <w:bCs/>
          <w:color w:val="auto"/>
          <w:sz w:val="32"/>
          <w:szCs w:val="32"/>
          <w:highlight w:val="none"/>
          <w:shd w:val="clear" w:color="auto" w:fill="auto"/>
        </w:rPr>
        <w:t xml:space="preserve"> 本办法所称市场主体，是指在</w:t>
      </w:r>
      <w:r>
        <w:rPr>
          <w:rFonts w:hint="eastAsia" w:ascii="Times New Roman" w:hAnsi="Times New Roman" w:eastAsia="仿宋_GB2312" w:cs="Times New Roman"/>
          <w:b w:val="0"/>
          <w:bCs/>
          <w:color w:val="auto"/>
          <w:sz w:val="32"/>
          <w:szCs w:val="32"/>
          <w:highlight w:val="none"/>
          <w:shd w:val="clear" w:color="auto" w:fill="auto"/>
          <w:lang w:val="en-US" w:eastAsia="zh-CN"/>
        </w:rPr>
        <w:t>张店区</w:t>
      </w:r>
      <w:r>
        <w:rPr>
          <w:rFonts w:hint="eastAsia" w:ascii="Times New Roman" w:hAnsi="Times New Roman" w:eastAsia="仿宋_GB2312" w:cs="Times New Roman"/>
          <w:b w:val="0"/>
          <w:bCs/>
          <w:color w:val="auto"/>
          <w:sz w:val="32"/>
          <w:szCs w:val="32"/>
          <w:highlight w:val="none"/>
          <w:shd w:val="clear" w:color="auto" w:fill="auto"/>
        </w:rPr>
        <w:t>依法登记注册或从事经营活动的各类企业、个体工商户、农民专业合作社以及其他经济组织。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bCs w:val="0"/>
          <w:color w:val="auto"/>
          <w:sz w:val="32"/>
          <w:szCs w:val="32"/>
          <w:highlight w:val="none"/>
          <w:shd w:val="clear" w:color="auto" w:fill="auto"/>
        </w:rPr>
        <w:t>第三条</w:t>
      </w:r>
      <w:r>
        <w:rPr>
          <w:rFonts w:hint="eastAsia" w:ascii="Times New Roman" w:hAnsi="Times New Roman" w:eastAsia="仿宋_GB2312" w:cs="Times New Roman"/>
          <w:b w:val="0"/>
          <w:bCs/>
          <w:color w:val="auto"/>
          <w:sz w:val="32"/>
          <w:szCs w:val="32"/>
          <w:highlight w:val="none"/>
          <w:shd w:val="clear" w:color="auto" w:fill="auto"/>
        </w:rPr>
        <w:t xml:space="preserve"> 市场主体信用分级分类，是指遵循综合性、一致性、审慎性的原则，根据信用评价指标体系，通过数据分析处理和综合计分，建立科学合理的信用分级分类管理体系。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bCs w:val="0"/>
          <w:color w:val="auto"/>
          <w:sz w:val="32"/>
          <w:szCs w:val="32"/>
          <w:highlight w:val="none"/>
          <w:shd w:val="clear" w:color="auto" w:fill="auto"/>
        </w:rPr>
        <w:t>第四条</w:t>
      </w:r>
      <w:r>
        <w:rPr>
          <w:rFonts w:hint="eastAsia" w:ascii="Times New Roman" w:hAnsi="Times New Roman" w:eastAsia="仿宋_GB2312" w:cs="Times New Roman"/>
          <w:b w:val="0"/>
          <w:bCs/>
          <w:color w:val="auto"/>
          <w:sz w:val="32"/>
          <w:szCs w:val="32"/>
          <w:highlight w:val="none"/>
          <w:shd w:val="clear" w:color="auto" w:fill="auto"/>
          <w:lang w:val="en-US" w:eastAsia="zh-CN"/>
        </w:rPr>
        <w:t xml:space="preserve"> 张店区</w:t>
      </w:r>
      <w:r>
        <w:rPr>
          <w:rFonts w:hint="eastAsia" w:ascii="Times New Roman" w:hAnsi="Times New Roman" w:eastAsia="仿宋_GB2312" w:cs="仿宋_GB2312"/>
          <w:color w:val="auto"/>
          <w:sz w:val="32"/>
          <w:szCs w:val="32"/>
        </w:rPr>
        <w:t>发展</w:t>
      </w:r>
      <w:r>
        <w:rPr>
          <w:rFonts w:hint="eastAsia" w:ascii="Times New Roman" w:hAnsi="Times New Roman" w:eastAsia="仿宋_GB2312" w:cs="仿宋_GB2312"/>
          <w:color w:val="auto"/>
          <w:sz w:val="32"/>
          <w:szCs w:val="32"/>
          <w:lang w:val="en-US" w:eastAsia="zh-CN"/>
        </w:rPr>
        <w:t>和改革局</w:t>
      </w:r>
      <w:r>
        <w:rPr>
          <w:rFonts w:hint="eastAsia" w:ascii="Times New Roman" w:hAnsi="Times New Roman" w:eastAsia="仿宋_GB2312" w:cs="仿宋_GB2312"/>
          <w:color w:val="auto"/>
          <w:sz w:val="32"/>
          <w:szCs w:val="32"/>
        </w:rPr>
        <w:t>负责</w:t>
      </w:r>
      <w:r>
        <w:rPr>
          <w:rFonts w:hint="eastAsia" w:ascii="Times New Roman" w:hAnsi="Times New Roman" w:eastAsia="仿宋_GB2312" w:cs="仿宋_GB2312"/>
          <w:color w:val="auto"/>
          <w:sz w:val="32"/>
          <w:szCs w:val="32"/>
          <w:lang w:val="en-US" w:eastAsia="zh-CN"/>
        </w:rPr>
        <w:t>张店区</w:t>
      </w:r>
      <w:r>
        <w:rPr>
          <w:rFonts w:hint="eastAsia" w:ascii="Times New Roman" w:hAnsi="Times New Roman" w:eastAsia="仿宋_GB2312" w:cs="仿宋_GB2312"/>
          <w:color w:val="auto"/>
          <w:sz w:val="32"/>
          <w:szCs w:val="32"/>
        </w:rPr>
        <w:t>企业公共信用评价政策制定和指导协调，</w:t>
      </w:r>
      <w:r>
        <w:rPr>
          <w:rFonts w:hint="eastAsia" w:ascii="Times New Roman" w:hAnsi="Times New Roman" w:eastAsia="仿宋_GB2312" w:cs="Times New Roman"/>
          <w:b w:val="0"/>
          <w:bCs/>
          <w:color w:val="auto"/>
          <w:sz w:val="32"/>
          <w:szCs w:val="32"/>
          <w:highlight w:val="none"/>
          <w:shd w:val="clear" w:color="auto" w:fill="auto"/>
        </w:rPr>
        <w:t>牵头负责全</w:t>
      </w:r>
      <w:r>
        <w:rPr>
          <w:rFonts w:hint="eastAsia" w:ascii="Times New Roman" w:hAnsi="Times New Roman" w:eastAsia="仿宋_GB2312" w:cs="Times New Roman"/>
          <w:b w:val="0"/>
          <w:bCs/>
          <w:color w:val="auto"/>
          <w:sz w:val="32"/>
          <w:szCs w:val="32"/>
          <w:highlight w:val="none"/>
          <w:shd w:val="clear" w:color="auto" w:fill="auto"/>
          <w:lang w:val="en-US" w:eastAsia="zh-CN"/>
        </w:rPr>
        <w:t>区</w:t>
      </w:r>
      <w:r>
        <w:rPr>
          <w:rFonts w:hint="eastAsia" w:ascii="Times New Roman" w:hAnsi="Times New Roman" w:eastAsia="仿宋_GB2312" w:cs="Times New Roman"/>
          <w:b w:val="0"/>
          <w:bCs/>
          <w:color w:val="auto"/>
          <w:sz w:val="32"/>
          <w:szCs w:val="32"/>
          <w:highlight w:val="none"/>
          <w:shd w:val="clear" w:color="auto" w:fill="auto"/>
        </w:rPr>
        <w:t>企业公共信用评价的标准制定、模型设计、异议受理、推广应用等工作。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Times New Roman"/>
          <w:b/>
          <w:bCs w:val="0"/>
          <w:color w:val="auto"/>
          <w:sz w:val="32"/>
          <w:szCs w:val="32"/>
          <w:highlight w:val="none"/>
          <w:shd w:val="clear" w:color="auto" w:fill="auto"/>
        </w:rPr>
        <w:t>第</w:t>
      </w:r>
      <w:r>
        <w:rPr>
          <w:rFonts w:hint="eastAsia" w:ascii="Times New Roman" w:hAnsi="Times New Roman" w:eastAsia="仿宋_GB2312" w:cs="Times New Roman"/>
          <w:b/>
          <w:bCs w:val="0"/>
          <w:color w:val="auto"/>
          <w:sz w:val="32"/>
          <w:szCs w:val="32"/>
          <w:highlight w:val="none"/>
          <w:shd w:val="clear" w:color="auto" w:fill="auto"/>
          <w:lang w:val="en-US" w:eastAsia="zh-CN"/>
        </w:rPr>
        <w:t>五</w:t>
      </w:r>
      <w:r>
        <w:rPr>
          <w:rFonts w:hint="eastAsia" w:ascii="Times New Roman" w:hAnsi="Times New Roman" w:eastAsia="仿宋_GB2312" w:cs="Times New Roman"/>
          <w:b/>
          <w:bCs w:val="0"/>
          <w:color w:val="auto"/>
          <w:sz w:val="32"/>
          <w:szCs w:val="32"/>
          <w:highlight w:val="none"/>
          <w:shd w:val="clear" w:color="auto" w:fill="auto"/>
        </w:rPr>
        <w:t>条</w:t>
      </w:r>
      <w:r>
        <w:rPr>
          <w:rFonts w:hint="eastAsia" w:ascii="Times New Roman" w:hAnsi="Times New Roman" w:eastAsia="仿宋_GB2312" w:cs="Times New Roman"/>
          <w:b w:val="0"/>
          <w:bCs/>
          <w:color w:val="auto"/>
          <w:sz w:val="32"/>
          <w:szCs w:val="32"/>
          <w:highlight w:val="none"/>
          <w:shd w:val="clear" w:color="auto" w:fill="auto"/>
          <w:lang w:val="en-US" w:eastAsia="zh-CN"/>
        </w:rPr>
        <w:t xml:space="preserve"> </w:t>
      </w:r>
      <w:r>
        <w:rPr>
          <w:rFonts w:hint="eastAsia" w:ascii="Times New Roman" w:hAnsi="Times New Roman" w:eastAsia="仿宋_GB2312" w:cs="Times New Roman"/>
          <w:b w:val="0"/>
          <w:bCs/>
          <w:color w:val="auto"/>
          <w:sz w:val="32"/>
          <w:szCs w:val="32"/>
          <w:highlight w:val="none"/>
          <w:shd w:val="clear" w:color="auto" w:fill="auto"/>
        </w:rPr>
        <w:t>行业主管部门负责本行业、本领域市场主体信用监管工作</w:t>
      </w:r>
      <w:r>
        <w:rPr>
          <w:rFonts w:hint="eastAsia" w:ascii="Times New Roman" w:hAnsi="Times New Roman" w:eastAsia="仿宋_GB2312" w:cs="Times New Roman"/>
          <w:b w:val="0"/>
          <w:bCs/>
          <w:color w:val="auto"/>
          <w:sz w:val="32"/>
          <w:szCs w:val="32"/>
          <w:highlight w:val="none"/>
          <w:shd w:val="clear" w:color="auto" w:fill="auto"/>
          <w:lang w:eastAsia="zh-CN"/>
        </w:rPr>
        <w:t>，</w:t>
      </w:r>
      <w:r>
        <w:rPr>
          <w:rFonts w:hint="eastAsia" w:ascii="Times New Roman" w:hAnsi="Times New Roman" w:eastAsia="仿宋_GB2312" w:cs="Times New Roman"/>
          <w:b w:val="0"/>
          <w:bCs/>
          <w:color w:val="auto"/>
          <w:sz w:val="32"/>
          <w:szCs w:val="32"/>
          <w:highlight w:val="none"/>
          <w:shd w:val="clear" w:color="auto" w:fill="auto"/>
        </w:rPr>
        <w:t>行业监管部门依职责分工与事权划分负责市场主体相关信用信息归集、更新与使用。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Times New Roman"/>
          <w:b w:val="0"/>
          <w:bCs/>
          <w:color w:val="auto"/>
          <w:sz w:val="32"/>
          <w:szCs w:val="32"/>
          <w:highlight w:val="none"/>
          <w:shd w:val="clear" w:color="auto" w:fill="auto"/>
          <w:lang w:val="en-US" w:eastAsia="zh-CN"/>
        </w:rPr>
        <w:t>市场主体公共信用评价结果以政务共享的方式推送给有关行业监管部门，作为行业分级分类监管的重要参考，不作为政府部门对信用主体信用状况的背书。</w:t>
      </w:r>
    </w:p>
    <w:p>
      <w:pPr>
        <w:pStyle w:val="12"/>
        <w:keepNext w:val="0"/>
        <w:keepLines w:val="0"/>
        <w:pageBreakBefore w:val="0"/>
        <w:numPr>
          <w:ilvl w:val="0"/>
          <w:numId w:val="0"/>
        </w:numPr>
        <w:kinsoku/>
        <w:overflowPunct/>
        <w:topLinePunct w:val="0"/>
        <w:bidi w:val="0"/>
        <w:spacing w:line="560" w:lineRule="exact"/>
        <w:textAlignment w:val="auto"/>
        <w:rPr>
          <w:rFonts w:hint="default" w:ascii="Times New Roman" w:hAnsi="Times New Roman"/>
        </w:rPr>
      </w:pPr>
    </w:p>
    <w:p>
      <w:pPr>
        <w:pStyle w:val="23"/>
        <w:keepNext w:val="0"/>
        <w:keepLines w:val="0"/>
        <w:pageBreakBefore w:val="0"/>
        <w:numPr>
          <w:ilvl w:val="0"/>
          <w:numId w:val="0"/>
        </w:numPr>
        <w:kinsoku/>
        <w:overflowPunct/>
        <w:topLinePunct w:val="0"/>
        <w:bidi w:val="0"/>
        <w:spacing w:line="560" w:lineRule="exact"/>
        <w:ind w:leftChars="0"/>
        <w:jc w:val="center"/>
        <w:textAlignment w:val="auto"/>
        <w:rPr>
          <w:rFonts w:ascii="Times New Roman" w:hAnsi="Times New Roman" w:eastAsia="黑体"/>
          <w:sz w:val="32"/>
          <w:szCs w:val="32"/>
        </w:rPr>
      </w:pPr>
      <w:r>
        <w:rPr>
          <w:rFonts w:hint="eastAsia" w:ascii="Times New Roman" w:hAnsi="Times New Roman" w:eastAsia="黑体"/>
          <w:sz w:val="32"/>
          <w:szCs w:val="32"/>
          <w:lang w:val="en-US" w:eastAsia="zh-CN"/>
        </w:rPr>
        <w:t xml:space="preserve">第二章   </w:t>
      </w:r>
      <w:r>
        <w:rPr>
          <w:rFonts w:hint="eastAsia" w:ascii="Times New Roman" w:hAnsi="Times New Roman" w:eastAsia="黑体"/>
          <w:sz w:val="32"/>
          <w:szCs w:val="32"/>
        </w:rPr>
        <w:t>信用信息归集</w:t>
      </w:r>
    </w:p>
    <w:p>
      <w:pPr>
        <w:pStyle w:val="23"/>
        <w:keepNext w:val="0"/>
        <w:keepLines w:val="0"/>
        <w:pageBreakBefore w:val="0"/>
        <w:numPr>
          <w:ilvl w:val="0"/>
          <w:numId w:val="0"/>
        </w:numPr>
        <w:kinsoku/>
        <w:overflowPunct/>
        <w:topLinePunct w:val="0"/>
        <w:bidi w:val="0"/>
        <w:spacing w:line="560" w:lineRule="exact"/>
        <w:ind w:leftChars="0"/>
        <w:jc w:val="both"/>
        <w:textAlignment w:val="auto"/>
        <w:rPr>
          <w:rFonts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bCs w:val="0"/>
          <w:color w:val="auto"/>
          <w:sz w:val="32"/>
          <w:szCs w:val="32"/>
          <w:highlight w:val="none"/>
          <w:shd w:val="clear" w:color="auto" w:fill="auto"/>
        </w:rPr>
        <w:t>第七条</w:t>
      </w:r>
      <w:r>
        <w:rPr>
          <w:rFonts w:hint="eastAsia" w:ascii="Times New Roman" w:hAnsi="Times New Roman" w:eastAsia="仿宋_GB2312" w:cs="Times New Roman"/>
          <w:b w:val="0"/>
          <w:bCs/>
          <w:color w:val="auto"/>
          <w:sz w:val="32"/>
          <w:szCs w:val="32"/>
          <w:highlight w:val="none"/>
          <w:shd w:val="clear" w:color="auto" w:fill="auto"/>
        </w:rPr>
        <w:t xml:space="preserve"> 市场主体信用信息包括：基础信息、诚信信息、失信信息、严重失信主体名单信息和其他信息。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bCs w:val="0"/>
          <w:color w:val="auto"/>
          <w:sz w:val="32"/>
          <w:szCs w:val="32"/>
          <w:highlight w:val="none"/>
          <w:shd w:val="clear" w:color="auto" w:fill="auto"/>
        </w:rPr>
        <w:t>第八条</w:t>
      </w:r>
      <w:r>
        <w:rPr>
          <w:rFonts w:hint="eastAsia" w:ascii="Times New Roman" w:hAnsi="Times New Roman" w:eastAsia="仿宋_GB2312" w:cs="Times New Roman"/>
          <w:b w:val="0"/>
          <w:bCs/>
          <w:color w:val="auto"/>
          <w:sz w:val="32"/>
          <w:szCs w:val="32"/>
          <w:highlight w:val="none"/>
          <w:shd w:val="clear" w:color="auto" w:fill="auto"/>
        </w:rPr>
        <w:t xml:space="preserve"> 市场主体的基础信息包括注册登记、行政许可、认证认可、产品标准等信息。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bCs w:val="0"/>
          <w:color w:val="auto"/>
          <w:sz w:val="32"/>
          <w:szCs w:val="32"/>
          <w:highlight w:val="none"/>
          <w:shd w:val="clear" w:color="auto" w:fill="auto"/>
        </w:rPr>
        <w:t>第九条</w:t>
      </w:r>
      <w:r>
        <w:rPr>
          <w:rFonts w:hint="eastAsia" w:ascii="Times New Roman" w:hAnsi="Times New Roman" w:eastAsia="仿宋_GB2312" w:cs="Times New Roman"/>
          <w:b w:val="0"/>
          <w:bCs/>
          <w:color w:val="auto"/>
          <w:sz w:val="32"/>
          <w:szCs w:val="32"/>
          <w:highlight w:val="none"/>
          <w:shd w:val="clear" w:color="auto" w:fill="auto"/>
        </w:rPr>
        <w:t xml:space="preserve"> 市场主体的诚信信息包括：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（一）政府部门公布的联合激励对象（守信红名单）信息；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（二）国家综合信用评价等级较高的信息；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（三）税务、统计等部门开展的通用行业评价等级较高的信息；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（四）环保、海关等部门开展的单一行业评价等级较高的信息；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（五）单位获得表彰、奖励和通报表扬等信息；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（六）慈善捐赠、包村扶贫等社会公益、履行社会责任信息；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（七）国家、省</w:t>
      </w:r>
      <w:r>
        <w:rPr>
          <w:rFonts w:hint="eastAsia" w:ascii="Times New Roman" w:hAnsi="Times New Roman" w:eastAsia="仿宋_GB2312" w:cs="Times New Roman"/>
          <w:b w:val="0"/>
          <w:bCs/>
          <w:color w:val="auto"/>
          <w:sz w:val="32"/>
          <w:szCs w:val="32"/>
          <w:highlight w:val="none"/>
          <w:shd w:val="clear" w:color="auto" w:fill="auto"/>
          <w:lang w:eastAsia="zh-CN"/>
        </w:rPr>
        <w:t>、</w:t>
      </w:r>
      <w:r>
        <w:rPr>
          <w:rFonts w:hint="eastAsia" w:ascii="Times New Roman" w:hAnsi="Times New Roman" w:eastAsia="仿宋_GB2312" w:cs="Times New Roman"/>
          <w:b w:val="0"/>
          <w:bCs/>
          <w:color w:val="auto"/>
          <w:sz w:val="32"/>
          <w:szCs w:val="32"/>
          <w:highlight w:val="none"/>
          <w:shd w:val="clear" w:color="auto" w:fill="auto"/>
          <w:lang w:val="en-US" w:eastAsia="zh-CN"/>
        </w:rPr>
        <w:t>市</w:t>
      </w:r>
      <w:r>
        <w:rPr>
          <w:rFonts w:hint="eastAsia" w:ascii="Times New Roman" w:hAnsi="Times New Roman" w:eastAsia="仿宋_GB2312" w:cs="Times New Roman"/>
          <w:b w:val="0"/>
          <w:bCs/>
          <w:color w:val="auto"/>
          <w:sz w:val="32"/>
          <w:szCs w:val="32"/>
          <w:highlight w:val="none"/>
          <w:shd w:val="clear" w:color="auto" w:fill="auto"/>
        </w:rPr>
        <w:t>规定的其他信息。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bCs w:val="0"/>
          <w:color w:val="auto"/>
          <w:sz w:val="32"/>
          <w:szCs w:val="32"/>
          <w:highlight w:val="none"/>
          <w:shd w:val="clear" w:color="auto" w:fill="auto"/>
        </w:rPr>
        <w:t>第十条</w:t>
      </w:r>
      <w:r>
        <w:rPr>
          <w:rFonts w:hint="eastAsia" w:ascii="Times New Roman" w:hAnsi="Times New Roman" w:eastAsia="仿宋_GB2312" w:cs="Times New Roman"/>
          <w:b w:val="0"/>
          <w:bCs/>
          <w:color w:val="auto"/>
          <w:sz w:val="32"/>
          <w:szCs w:val="32"/>
          <w:highlight w:val="none"/>
          <w:shd w:val="clear" w:color="auto" w:fill="auto"/>
        </w:rPr>
        <w:t xml:space="preserve"> 市场主体失信信息是指依法依规编制的全国公共信用信息基础目录和地方补充目录中所列的对信用主体信用状况具有负面影响的信息，包括行政处罚信息、刑事处罚信息和其他失信信息。失信信息包括但不限于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（一）确认违法违规但依法不予行政处罚的信息；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（二）被监管部门处以行业禁入，以及进行责任约谈和整改的信息；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（三）拒绝、阻挠执法的，伪造或故意破坏现场的，转移、隐匿、伪造、销毁有关证据资料的，擅自动用查封扣押物品的信息；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（四）市场监管部门经营异常名录信息；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（五）行政强制执行信息；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（六）法院生效判决涉及合同纠纷需承担责任的信息；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（七）国家综合信用评价等级较低的信息；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（八）税务统计等部门开展的通用行业评价等级较低的信息；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（九）环保海关等部门开展的单一行业评价等级较低的信息；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（十）高管失信信息；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（十一）隐瞒有关情况、提供虚假材料的信息；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（十二）虚假承诺或违反信用承诺信息；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（十三）拒不缴纳依法应当缴纳的税款、社会保险费、行政事业性收费、政府性基金信息；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（十四）以欺骗、贿赂等不正当手段取得行政许可、行政确认、行政给付、行政奖励和项目等的信息。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bCs w:val="0"/>
          <w:color w:val="auto"/>
          <w:sz w:val="32"/>
          <w:szCs w:val="32"/>
          <w:highlight w:val="none"/>
          <w:shd w:val="clear" w:color="auto" w:fill="auto"/>
        </w:rPr>
        <w:t xml:space="preserve">第十一条 </w:t>
      </w:r>
      <w:r>
        <w:rPr>
          <w:rFonts w:hint="eastAsia" w:ascii="Times New Roman" w:hAnsi="Times New Roman" w:eastAsia="仿宋_GB2312" w:cs="Times New Roman"/>
          <w:b w:val="0"/>
          <w:bCs/>
          <w:color w:val="auto"/>
          <w:sz w:val="32"/>
          <w:szCs w:val="32"/>
          <w:highlight w:val="none"/>
          <w:shd w:val="clear" w:color="auto" w:fill="auto"/>
        </w:rPr>
        <w:t>严重失信主体名单信息是按照《国务院关于建立完善守信联合激励和失信联合惩戒制度加快推进社会诚信建设的指导意见》（国发〔2016〕33号）规定，列入严重失信主体名单的信息。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bCs w:val="0"/>
          <w:color w:val="auto"/>
          <w:sz w:val="32"/>
          <w:szCs w:val="32"/>
          <w:highlight w:val="none"/>
          <w:shd w:val="clear" w:color="auto" w:fill="auto"/>
        </w:rPr>
        <w:t>第十二条</w:t>
      </w:r>
      <w:r>
        <w:rPr>
          <w:rFonts w:hint="eastAsia" w:ascii="Times New Roman" w:hAnsi="Times New Roman" w:eastAsia="仿宋_GB2312" w:cs="Times New Roman"/>
          <w:b w:val="0"/>
          <w:bCs/>
          <w:color w:val="auto"/>
          <w:sz w:val="32"/>
          <w:szCs w:val="32"/>
          <w:highlight w:val="none"/>
          <w:shd w:val="clear" w:color="auto" w:fill="auto"/>
        </w:rPr>
        <w:t xml:space="preserve"> 其他信息包括对市场主体的日常监督检查、专项检查、飞行检查、跟踪检查以及监督抽检、约谈等信用监管信息；信用承诺以及履行承诺信息；企业破产和退出信息；国家、省规定的应当列入公共信用信息目录清单的其他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bCs w:val="0"/>
          <w:color w:val="auto"/>
          <w:sz w:val="32"/>
          <w:szCs w:val="32"/>
          <w:highlight w:val="none"/>
          <w:shd w:val="clear" w:color="auto" w:fill="auto"/>
        </w:rPr>
        <w:t>第十三条</w:t>
      </w:r>
      <w:r>
        <w:rPr>
          <w:rFonts w:hint="eastAsia" w:ascii="Times New Roman" w:hAnsi="Times New Roman" w:eastAsia="仿宋_GB2312" w:cs="Times New Roman"/>
          <w:b w:val="0"/>
          <w:bCs/>
          <w:color w:val="auto"/>
          <w:sz w:val="32"/>
          <w:szCs w:val="32"/>
          <w:highlight w:val="none"/>
          <w:shd w:val="clear" w:color="auto" w:fill="auto"/>
        </w:rPr>
        <w:t xml:space="preserve"> 市场主体信用信息采取监管部门提供的方式归集。信息提供</w:t>
      </w:r>
      <w:r>
        <w:rPr>
          <w:rFonts w:hint="eastAsia" w:ascii="Times New Roman" w:hAnsi="Times New Roman" w:eastAsia="仿宋_GB2312" w:cs="Times New Roman"/>
          <w:b w:val="0"/>
          <w:bCs/>
          <w:color w:val="auto"/>
          <w:sz w:val="32"/>
          <w:szCs w:val="32"/>
          <w:highlight w:val="none"/>
          <w:shd w:val="clear" w:color="auto" w:fill="auto"/>
          <w:lang w:val="en-US" w:eastAsia="zh-CN"/>
        </w:rPr>
        <w:t>应按照</w:t>
      </w:r>
      <w:r>
        <w:rPr>
          <w:rFonts w:hint="eastAsia" w:ascii="Times New Roman" w:hAnsi="Times New Roman" w:eastAsia="仿宋_GB2312" w:cs="Times New Roman"/>
          <w:b w:val="0"/>
          <w:bCs/>
          <w:color w:val="auto"/>
          <w:sz w:val="32"/>
          <w:szCs w:val="32"/>
          <w:highlight w:val="none"/>
          <w:shd w:val="clear" w:color="auto" w:fill="auto"/>
        </w:rPr>
        <w:t>“谁许可谁录入、谁确认谁录入、谁检查谁录入、谁处罚谁录入、谁认定谁录入、谁录入谁负责”的原则</w:t>
      </w:r>
      <w:r>
        <w:rPr>
          <w:rFonts w:hint="eastAsia" w:ascii="Times New Roman" w:hAnsi="Times New Roman" w:eastAsia="仿宋_GB2312" w:cs="Times New Roman"/>
          <w:b w:val="0"/>
          <w:bCs/>
          <w:color w:val="auto"/>
          <w:sz w:val="32"/>
          <w:szCs w:val="32"/>
          <w:highlight w:val="none"/>
          <w:shd w:val="clear" w:color="auto" w:fill="auto"/>
          <w:lang w:eastAsia="zh-CN"/>
        </w:rPr>
        <w:t>，</w:t>
      </w:r>
      <w:r>
        <w:rPr>
          <w:rFonts w:hint="eastAsia" w:ascii="Times New Roman" w:hAnsi="Times New Roman" w:eastAsia="仿宋_GB2312" w:cs="Times New Roman"/>
          <w:b w:val="0"/>
          <w:bCs/>
          <w:color w:val="auto"/>
          <w:sz w:val="32"/>
          <w:szCs w:val="32"/>
          <w:highlight w:val="none"/>
          <w:shd w:val="clear" w:color="auto" w:fill="auto"/>
          <w:lang w:val="en-US" w:eastAsia="zh-CN"/>
        </w:rPr>
        <w:t>及时准确归集市场主体信用信息，对于应录入不录入的单位将在一定范围内通报</w:t>
      </w:r>
      <w:r>
        <w:rPr>
          <w:rFonts w:hint="eastAsia" w:ascii="Times New Roman" w:hAnsi="Times New Roman" w:eastAsia="仿宋_GB2312" w:cs="Times New Roman"/>
          <w:b w:val="0"/>
          <w:bCs/>
          <w:color w:val="auto"/>
          <w:sz w:val="32"/>
          <w:szCs w:val="32"/>
          <w:highlight w:val="none"/>
          <w:shd w:val="clear" w:color="auto" w:fill="auto"/>
        </w:rPr>
        <w:t>。有关部门在归集信用信息时应告知市场主体以及可能产生的后果。</w:t>
      </w:r>
    </w:p>
    <w:p>
      <w:pPr>
        <w:pStyle w:val="12"/>
        <w:keepNext w:val="0"/>
        <w:keepLines w:val="0"/>
        <w:pageBreakBefore w:val="0"/>
        <w:kinsoku/>
        <w:overflowPunct/>
        <w:topLinePunct w:val="0"/>
        <w:bidi w:val="0"/>
        <w:spacing w:line="560" w:lineRule="exact"/>
        <w:textAlignment w:val="auto"/>
        <w:rPr>
          <w:rFonts w:hint="eastAsia" w:ascii="Times New Roman" w:hAnsi="Times New Roman"/>
        </w:rPr>
      </w:pPr>
    </w:p>
    <w:p>
      <w:pPr>
        <w:pStyle w:val="23"/>
        <w:keepNext w:val="0"/>
        <w:keepLines w:val="0"/>
        <w:pageBreakBefore w:val="0"/>
        <w:numPr>
          <w:ilvl w:val="0"/>
          <w:numId w:val="0"/>
        </w:numPr>
        <w:kinsoku/>
        <w:overflowPunct/>
        <w:topLinePunct w:val="0"/>
        <w:bidi w:val="0"/>
        <w:spacing w:line="560" w:lineRule="exact"/>
        <w:jc w:val="center"/>
        <w:textAlignment w:val="auto"/>
        <w:rPr>
          <w:rStyle w:val="17"/>
          <w:rFonts w:hint="eastAsia" w:ascii="Times New Roman" w:hAnsi="Times New Roman" w:eastAsia="黑体" w:cs="黑体"/>
          <w:kern w:val="0"/>
          <w:sz w:val="32"/>
          <w:szCs w:val="32"/>
          <w:lang w:val="en-US" w:eastAsia="zh-CN"/>
        </w:rPr>
      </w:pPr>
      <w:r>
        <w:rPr>
          <w:rStyle w:val="17"/>
          <w:rFonts w:hint="eastAsia" w:ascii="Times New Roman" w:hAnsi="Times New Roman" w:eastAsia="黑体" w:cs="黑体"/>
          <w:kern w:val="0"/>
          <w:sz w:val="32"/>
          <w:szCs w:val="32"/>
          <w:lang w:val="en-US" w:eastAsia="zh-CN"/>
        </w:rPr>
        <w:t>第三章   信用评价</w:t>
      </w:r>
    </w:p>
    <w:p>
      <w:pPr>
        <w:pStyle w:val="23"/>
        <w:keepNext w:val="0"/>
        <w:keepLines w:val="0"/>
        <w:pageBreakBefore w:val="0"/>
        <w:numPr>
          <w:ilvl w:val="0"/>
          <w:numId w:val="0"/>
        </w:numPr>
        <w:kinsoku/>
        <w:overflowPunct/>
        <w:topLinePunct w:val="0"/>
        <w:bidi w:val="0"/>
        <w:spacing w:line="560" w:lineRule="exact"/>
        <w:ind w:left="2" w:leftChars="0"/>
        <w:jc w:val="both"/>
        <w:textAlignment w:val="auto"/>
        <w:rPr>
          <w:rStyle w:val="17"/>
          <w:rFonts w:hint="eastAsia" w:ascii="Times New Roman" w:hAnsi="Times New Roman" w:eastAsia="黑体" w:cs="黑体"/>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Times New Roman"/>
          <w:b/>
          <w:bCs w:val="0"/>
          <w:color w:val="auto"/>
          <w:sz w:val="32"/>
          <w:szCs w:val="32"/>
          <w:highlight w:val="none"/>
          <w:shd w:val="clear" w:color="auto" w:fill="auto"/>
          <w:lang w:val="en-US" w:eastAsia="zh-CN"/>
        </w:rPr>
        <w:t>第十四条</w:t>
      </w:r>
      <w:r>
        <w:rPr>
          <w:rFonts w:hint="eastAsia" w:ascii="Times New Roman" w:hAnsi="Times New Roman" w:eastAsia="仿宋_GB2312" w:cs="Times New Roman"/>
          <w:b w:val="0"/>
          <w:bCs/>
          <w:color w:val="auto"/>
          <w:sz w:val="32"/>
          <w:szCs w:val="32"/>
          <w:highlight w:val="none"/>
          <w:shd w:val="clear" w:color="auto" w:fill="auto"/>
          <w:lang w:val="en-US" w:eastAsia="zh-CN"/>
        </w:rPr>
        <w:t xml:space="preserve"> </w:t>
      </w:r>
      <w:r>
        <w:rPr>
          <w:rFonts w:hint="eastAsia" w:ascii="Times New Roman" w:hAnsi="Times New Roman" w:eastAsia="仿宋_GB2312" w:cs="Times New Roman"/>
          <w:b w:val="0"/>
          <w:bCs/>
          <w:color w:val="auto"/>
          <w:sz w:val="32"/>
          <w:szCs w:val="32"/>
          <w:highlight w:val="none"/>
          <w:shd w:val="clear" w:color="auto" w:fill="auto"/>
        </w:rPr>
        <w:t>公共信用综合评价实行积分管理，赋予每个市场主体</w:t>
      </w:r>
      <w:r>
        <w:rPr>
          <w:rFonts w:hint="eastAsia" w:ascii="Times New Roman" w:hAnsi="Times New Roman" w:eastAsia="仿宋_GB2312" w:cs="Times New Roman"/>
          <w:b w:val="0"/>
          <w:bCs/>
          <w:color w:val="auto"/>
          <w:sz w:val="32"/>
          <w:szCs w:val="32"/>
          <w:highlight w:val="none"/>
          <w:shd w:val="clear" w:color="auto" w:fill="auto"/>
          <w:lang w:val="en-US" w:eastAsia="zh-CN"/>
        </w:rPr>
        <w:t>1000</w:t>
      </w:r>
      <w:r>
        <w:rPr>
          <w:rFonts w:hint="eastAsia" w:ascii="Times New Roman" w:hAnsi="Times New Roman" w:eastAsia="仿宋_GB2312" w:cs="Times New Roman"/>
          <w:b w:val="0"/>
          <w:bCs/>
          <w:color w:val="auto"/>
          <w:sz w:val="32"/>
          <w:szCs w:val="32"/>
          <w:highlight w:val="none"/>
          <w:shd w:val="clear" w:color="auto" w:fill="auto"/>
        </w:rPr>
        <w:t>分基本分值，在此基础上，设置减分项、加分项两类指标以及信用降级进行综合评定。</w:t>
      </w:r>
      <w:r>
        <w:rPr>
          <w:rFonts w:hint="eastAsia" w:ascii="Times New Roman" w:hAnsi="Times New Roman" w:eastAsia="仿宋_GB2312" w:cs="Times New Roman"/>
          <w:b w:val="0"/>
          <w:bCs/>
          <w:color w:val="auto"/>
          <w:sz w:val="32"/>
          <w:szCs w:val="32"/>
          <w:highlight w:val="none"/>
          <w:shd w:val="clear" w:color="auto" w:fill="auto"/>
          <w:lang w:val="en-US" w:eastAsia="zh-CN"/>
        </w:rPr>
        <w:t>（公共信用综合评价指标体系详见附件）。</w:t>
      </w:r>
      <w:r>
        <w:rPr>
          <w:rFonts w:hint="eastAsia" w:ascii="Times New Roman" w:hAnsi="Times New Roman" w:eastAsia="仿宋_GB2312" w:cs="Times New Roman"/>
          <w:b w:val="0"/>
          <w:bCs/>
          <w:color w:val="auto"/>
          <w:sz w:val="32"/>
          <w:szCs w:val="32"/>
          <w:highlight w:val="none"/>
          <w:shd w:val="clear" w:color="auto" w:fill="auto"/>
        </w:rPr>
        <w:t>市场主体具有国务院《关于建立完善守信联合激励和失信联合惩戒制度加快推进社会诚信建设的指导意见》（国发〔2016〕33号）规定的严重失信主体名单信息以及刑事处罚信息的，信用降级为D级。按照《山东省社会信用条例》的规定，适用简易程序作出的行政处罚信息，或者违法行为轻微且主动消除、减轻违法行为危害后果的行政处罚信息，不纳入公共信用信息数据清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bCs w:val="0"/>
          <w:color w:val="auto"/>
          <w:sz w:val="32"/>
          <w:szCs w:val="32"/>
          <w:highlight w:val="none"/>
          <w:shd w:val="clear" w:color="auto" w:fill="auto"/>
        </w:rPr>
        <w:t>第</w:t>
      </w:r>
      <w:r>
        <w:rPr>
          <w:rFonts w:hint="eastAsia" w:ascii="Times New Roman" w:hAnsi="Times New Roman" w:eastAsia="仿宋_GB2312" w:cs="Times New Roman"/>
          <w:b/>
          <w:bCs w:val="0"/>
          <w:color w:val="auto"/>
          <w:sz w:val="32"/>
          <w:szCs w:val="32"/>
          <w:highlight w:val="none"/>
          <w:shd w:val="clear" w:color="auto" w:fill="auto"/>
          <w:lang w:val="en-US" w:eastAsia="zh-CN"/>
        </w:rPr>
        <w:t>十五</w:t>
      </w:r>
      <w:r>
        <w:rPr>
          <w:rFonts w:hint="eastAsia" w:ascii="Times New Roman" w:hAnsi="Times New Roman" w:eastAsia="仿宋_GB2312" w:cs="Times New Roman"/>
          <w:b/>
          <w:bCs w:val="0"/>
          <w:color w:val="auto"/>
          <w:sz w:val="32"/>
          <w:szCs w:val="32"/>
          <w:highlight w:val="none"/>
          <w:shd w:val="clear" w:color="auto" w:fill="auto"/>
        </w:rPr>
        <w:t xml:space="preserve">条 </w:t>
      </w:r>
      <w:r>
        <w:rPr>
          <w:rFonts w:hint="eastAsia" w:ascii="Times New Roman" w:hAnsi="Times New Roman" w:eastAsia="仿宋_GB2312" w:cs="Times New Roman"/>
          <w:b w:val="0"/>
          <w:bCs/>
          <w:color w:val="auto"/>
          <w:sz w:val="32"/>
          <w:szCs w:val="32"/>
          <w:highlight w:val="none"/>
          <w:shd w:val="clear" w:color="auto" w:fill="auto"/>
        </w:rPr>
        <w:t>公共信用综合评价指标体系，根据实际情况，及时进行动态调整和优化。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bCs w:val="0"/>
          <w:color w:val="auto"/>
          <w:sz w:val="32"/>
          <w:szCs w:val="32"/>
          <w:highlight w:val="none"/>
          <w:shd w:val="clear" w:color="auto" w:fill="auto"/>
        </w:rPr>
        <w:t>第</w:t>
      </w:r>
      <w:r>
        <w:rPr>
          <w:rFonts w:hint="eastAsia" w:ascii="Times New Roman" w:hAnsi="Times New Roman" w:eastAsia="仿宋_GB2312" w:cs="Times New Roman"/>
          <w:b/>
          <w:bCs w:val="0"/>
          <w:color w:val="auto"/>
          <w:sz w:val="32"/>
          <w:szCs w:val="32"/>
          <w:highlight w:val="none"/>
          <w:shd w:val="clear" w:color="auto" w:fill="auto"/>
          <w:lang w:val="en-US" w:eastAsia="zh-CN"/>
        </w:rPr>
        <w:t>十六</w:t>
      </w:r>
      <w:r>
        <w:rPr>
          <w:rFonts w:hint="eastAsia" w:ascii="Times New Roman" w:hAnsi="Times New Roman" w:eastAsia="仿宋_GB2312" w:cs="Times New Roman"/>
          <w:b/>
          <w:bCs w:val="0"/>
          <w:color w:val="auto"/>
          <w:sz w:val="32"/>
          <w:szCs w:val="32"/>
          <w:highlight w:val="none"/>
          <w:shd w:val="clear" w:color="auto" w:fill="auto"/>
        </w:rPr>
        <w:t>条</w:t>
      </w:r>
      <w:r>
        <w:rPr>
          <w:rFonts w:hint="eastAsia" w:ascii="Times New Roman" w:hAnsi="Times New Roman" w:eastAsia="仿宋_GB2312" w:cs="Times New Roman"/>
          <w:b w:val="0"/>
          <w:bCs/>
          <w:color w:val="auto"/>
          <w:sz w:val="32"/>
          <w:szCs w:val="32"/>
          <w:highlight w:val="none"/>
          <w:shd w:val="clear" w:color="auto" w:fill="auto"/>
          <w:lang w:val="en-US" w:eastAsia="zh-CN"/>
        </w:rPr>
        <w:t xml:space="preserve"> </w:t>
      </w:r>
      <w:r>
        <w:rPr>
          <w:rFonts w:hint="eastAsia" w:ascii="Times New Roman" w:hAnsi="Times New Roman" w:eastAsia="仿宋_GB2312" w:cs="Times New Roman"/>
          <w:b w:val="0"/>
          <w:bCs/>
          <w:color w:val="auto"/>
          <w:sz w:val="32"/>
          <w:szCs w:val="32"/>
          <w:highlight w:val="none"/>
          <w:shd w:val="clear" w:color="auto" w:fill="auto"/>
        </w:rPr>
        <w:t>根据省委、省政府《差异化监管流程再造实施方案》和《山东省信用分类分级管理办法（试行）》规定，将企业划分为诚信守法、轻微失信、一般失信、严重失信四类。为统一分类标准和监管，全</w:t>
      </w:r>
      <w:r>
        <w:rPr>
          <w:rFonts w:hint="eastAsia" w:ascii="Times New Roman" w:hAnsi="Times New Roman" w:eastAsia="仿宋_GB2312" w:cs="Times New Roman"/>
          <w:b w:val="0"/>
          <w:bCs/>
          <w:color w:val="auto"/>
          <w:sz w:val="32"/>
          <w:szCs w:val="32"/>
          <w:highlight w:val="none"/>
          <w:shd w:val="clear" w:color="auto" w:fill="auto"/>
          <w:lang w:val="en-US" w:eastAsia="zh-CN"/>
        </w:rPr>
        <w:t>区</w:t>
      </w:r>
      <w:r>
        <w:rPr>
          <w:rFonts w:hint="eastAsia" w:ascii="Times New Roman" w:hAnsi="Times New Roman" w:eastAsia="仿宋_GB2312" w:cs="Times New Roman"/>
          <w:b w:val="0"/>
          <w:bCs/>
          <w:color w:val="auto"/>
          <w:sz w:val="32"/>
          <w:szCs w:val="32"/>
          <w:highlight w:val="none"/>
          <w:shd w:val="clear" w:color="auto" w:fill="auto"/>
        </w:rPr>
        <w:t>各类信用主体划分为诚信守法、轻微失信、一般失信、严重失信四类。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bCs w:val="0"/>
          <w:color w:val="auto"/>
          <w:sz w:val="32"/>
          <w:szCs w:val="32"/>
          <w:highlight w:val="none"/>
          <w:shd w:val="clear" w:color="auto" w:fill="auto"/>
        </w:rPr>
        <w:t>第十</w:t>
      </w:r>
      <w:r>
        <w:rPr>
          <w:rFonts w:hint="eastAsia" w:ascii="Times New Roman" w:hAnsi="Times New Roman" w:eastAsia="仿宋_GB2312" w:cs="Times New Roman"/>
          <w:b/>
          <w:bCs w:val="0"/>
          <w:color w:val="auto"/>
          <w:sz w:val="32"/>
          <w:szCs w:val="32"/>
          <w:highlight w:val="none"/>
          <w:shd w:val="clear" w:color="auto" w:fill="auto"/>
          <w:lang w:val="en-US" w:eastAsia="zh-CN"/>
        </w:rPr>
        <w:t>七</w:t>
      </w:r>
      <w:r>
        <w:rPr>
          <w:rFonts w:hint="eastAsia" w:ascii="Times New Roman" w:hAnsi="Times New Roman" w:eastAsia="仿宋_GB2312" w:cs="Times New Roman"/>
          <w:b/>
          <w:bCs w:val="0"/>
          <w:color w:val="auto"/>
          <w:sz w:val="32"/>
          <w:szCs w:val="32"/>
          <w:highlight w:val="none"/>
          <w:shd w:val="clear" w:color="auto" w:fill="auto"/>
        </w:rPr>
        <w:t>条</w:t>
      </w:r>
      <w:r>
        <w:rPr>
          <w:rFonts w:hint="eastAsia" w:ascii="Times New Roman" w:hAnsi="Times New Roman" w:eastAsia="仿宋_GB2312" w:cs="Times New Roman"/>
          <w:b w:val="0"/>
          <w:bCs/>
          <w:color w:val="auto"/>
          <w:sz w:val="32"/>
          <w:szCs w:val="32"/>
          <w:highlight w:val="none"/>
          <w:shd w:val="clear" w:color="auto" w:fill="auto"/>
          <w:lang w:val="en-US" w:eastAsia="zh-CN"/>
        </w:rPr>
        <w:t xml:space="preserve"> </w:t>
      </w:r>
      <w:r>
        <w:rPr>
          <w:rFonts w:hint="eastAsia" w:ascii="Times New Roman" w:hAnsi="Times New Roman" w:eastAsia="仿宋_GB2312" w:cs="Times New Roman"/>
          <w:b w:val="0"/>
          <w:bCs/>
          <w:color w:val="auto"/>
          <w:sz w:val="32"/>
          <w:szCs w:val="32"/>
          <w:highlight w:val="none"/>
          <w:shd w:val="clear" w:color="auto" w:fill="auto"/>
        </w:rPr>
        <w:t>为准确反映市场主体信用风险等级，根据公共信用综合评价结果，进一步将市场主体信用评价由高到低，细分为AAA、AA、A（A+、A-）、B、C、D六个信用等级。A级为市场主体原始基准等级。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诚信守法类市场主体包括AAA、AA、A（A+、A-）级；轻微失信类市场主体为B级；一般失信类市场主体为C级；严重失信类市场主体为D级。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（一）AAA级，分值为1050分及以上；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（二）AA级，分值为1030分至1049分；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（三）A（A+、A-）级，“A+”级分值为1001分至1029分，A级分值为1000分，“A-”级分值为960分至999分；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（四）B级，分值为850分至959分；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（五）C级，分值为849分及以下且未被认定为严重失信主体名单、没有刑事处罚信息的；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val="0"/>
          <w:bCs/>
          <w:color w:val="auto"/>
          <w:sz w:val="32"/>
          <w:szCs w:val="32"/>
          <w:highlight w:val="none"/>
          <w:shd w:val="clear" w:color="auto" w:fill="auto"/>
        </w:rPr>
        <w:t>（六）D级，被认定为严重失信主体名单或有刑事处罚信息的。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rPr>
      </w:pPr>
      <w:r>
        <w:rPr>
          <w:rFonts w:hint="eastAsia" w:ascii="Times New Roman" w:hAnsi="Times New Roman" w:eastAsia="仿宋_GB2312" w:cs="Times New Roman"/>
          <w:b/>
          <w:bCs w:val="0"/>
          <w:color w:val="auto"/>
          <w:sz w:val="32"/>
          <w:szCs w:val="32"/>
          <w:highlight w:val="none"/>
          <w:shd w:val="clear" w:color="auto" w:fill="auto"/>
          <w:lang w:val="en-US" w:eastAsia="zh-CN"/>
        </w:rPr>
        <w:t xml:space="preserve">第十八条 </w:t>
      </w:r>
      <w:r>
        <w:rPr>
          <w:rFonts w:hint="eastAsia" w:ascii="Times New Roman" w:hAnsi="Times New Roman" w:eastAsia="仿宋_GB2312" w:cs="Times New Roman"/>
          <w:b w:val="0"/>
          <w:bCs/>
          <w:color w:val="auto"/>
          <w:sz w:val="32"/>
          <w:szCs w:val="32"/>
          <w:highlight w:val="none"/>
          <w:shd w:val="clear" w:color="auto" w:fill="auto"/>
        </w:rPr>
        <w:t>市场主体同一违法违规行为涉及到多个记分标准的，实行累加记分；但同一行政机关的同一行政行为，涉及到多个记分标准的，按最高记分标准记分。</w:t>
      </w:r>
    </w:p>
    <w:p>
      <w:pPr>
        <w:pStyle w:val="27"/>
        <w:keepNext w:val="0"/>
        <w:keepLines w:val="0"/>
        <w:pageBreakBefore w:val="0"/>
        <w:kinsoku/>
        <w:overflowPunct/>
        <w:topLinePunct w:val="0"/>
        <w:bidi w:val="0"/>
        <w:spacing w:before="0" w:beforeLines="0" w:beforeAutospacing="0" w:after="0" w:afterLines="0" w:afterAutospacing="0" w:line="560" w:lineRule="exact"/>
        <w:ind w:firstLine="640" w:firstLineChars="200"/>
        <w:jc w:val="both"/>
        <w:textAlignment w:val="auto"/>
        <w:rPr>
          <w:rFonts w:hint="eastAsia" w:ascii="Times New Roman" w:hAnsi="Times New Roman" w:eastAsia="仿宋_GB2312" w:cs="仿宋_GB2312"/>
          <w:bCs/>
          <w:sz w:val="32"/>
          <w:szCs w:val="32"/>
        </w:rPr>
      </w:pPr>
    </w:p>
    <w:p>
      <w:pPr>
        <w:pStyle w:val="27"/>
        <w:keepNext w:val="0"/>
        <w:keepLines w:val="0"/>
        <w:pageBreakBefore w:val="0"/>
        <w:kinsoku/>
        <w:overflowPunct/>
        <w:topLinePunct w:val="0"/>
        <w:bidi w:val="0"/>
        <w:spacing w:before="0" w:beforeLines="0" w:beforeAutospacing="0" w:after="0" w:afterLines="0" w:afterAutospacing="0" w:line="560" w:lineRule="exact"/>
        <w:jc w:val="center"/>
        <w:textAlignment w:val="auto"/>
        <w:rPr>
          <w:rStyle w:val="17"/>
          <w:rFonts w:hint="eastAsia" w:ascii="Times New Roman" w:hAnsi="Times New Roman" w:eastAsia="黑体" w:cs="黑体"/>
          <w:sz w:val="32"/>
          <w:szCs w:val="32"/>
        </w:rPr>
      </w:pPr>
      <w:r>
        <w:rPr>
          <w:rStyle w:val="17"/>
          <w:rFonts w:hint="eastAsia" w:ascii="Times New Roman" w:hAnsi="Times New Roman" w:eastAsia="黑体" w:cs="黑体"/>
          <w:sz w:val="32"/>
          <w:szCs w:val="32"/>
        </w:rPr>
        <w:t>第四章</w:t>
      </w:r>
      <w:r>
        <w:rPr>
          <w:rStyle w:val="17"/>
          <w:rFonts w:hint="eastAsia" w:ascii="Times New Roman" w:hAnsi="Times New Roman" w:eastAsia="黑体" w:cs="黑体"/>
          <w:sz w:val="32"/>
          <w:szCs w:val="32"/>
          <w:lang w:val="en-US" w:eastAsia="zh-CN"/>
        </w:rPr>
        <w:t xml:space="preserve">   </w:t>
      </w:r>
      <w:r>
        <w:rPr>
          <w:rStyle w:val="17"/>
          <w:rFonts w:hint="eastAsia" w:ascii="Times New Roman" w:hAnsi="Times New Roman" w:eastAsia="黑体" w:cs="黑体"/>
          <w:sz w:val="32"/>
          <w:szCs w:val="32"/>
        </w:rPr>
        <w:t>信用评价结果应用</w:t>
      </w:r>
    </w:p>
    <w:p>
      <w:pPr>
        <w:pStyle w:val="27"/>
        <w:keepNext w:val="0"/>
        <w:keepLines w:val="0"/>
        <w:pageBreakBefore w:val="0"/>
        <w:kinsoku/>
        <w:overflowPunct/>
        <w:topLinePunct w:val="0"/>
        <w:bidi w:val="0"/>
        <w:spacing w:before="0" w:beforeLines="0" w:beforeAutospacing="0" w:after="0" w:afterLines="0" w:afterAutospacing="0" w:line="560" w:lineRule="exact"/>
        <w:jc w:val="center"/>
        <w:textAlignment w:val="auto"/>
        <w:rPr>
          <w:rStyle w:val="17"/>
          <w:rFonts w:hint="eastAsia" w:ascii="Times New Roman" w:hAnsi="Times New Roman"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Times New Roman"/>
          <w:b/>
          <w:bCs w:val="0"/>
          <w:color w:val="auto"/>
          <w:sz w:val="32"/>
          <w:szCs w:val="32"/>
          <w:highlight w:val="none"/>
          <w:shd w:val="clear" w:color="auto" w:fill="auto"/>
          <w:lang w:val="en-US" w:eastAsia="zh-CN"/>
        </w:rPr>
        <w:t xml:space="preserve">第十九条 </w:t>
      </w:r>
      <w:r>
        <w:rPr>
          <w:rFonts w:hint="eastAsia" w:ascii="Times New Roman" w:hAnsi="Times New Roman" w:eastAsia="仿宋_GB2312" w:cs="Times New Roman"/>
          <w:b w:val="0"/>
          <w:bCs/>
          <w:color w:val="auto"/>
          <w:sz w:val="32"/>
          <w:szCs w:val="32"/>
          <w:highlight w:val="none"/>
          <w:shd w:val="clear" w:color="auto" w:fill="auto"/>
          <w:lang w:val="en-US" w:eastAsia="zh-CN"/>
        </w:rPr>
        <w:t>各级各部门要将信用评价结果运用到行政管理和社会治理工作中，作为实施差异化监管的依据。公共信用信息机构与各行业监管部门依托政务信息资源共享交换平台，要加强公共信用综合评价结果、行业信用评价结果共享共用。各级各部门要及时汇聚整合信用信息数据，归集信用信息平台数据库并按需共享，在信用监管等过程中加以应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Times New Roman"/>
          <w:b/>
          <w:bCs w:val="0"/>
          <w:color w:val="auto"/>
          <w:sz w:val="32"/>
          <w:szCs w:val="32"/>
          <w:highlight w:val="none"/>
          <w:shd w:val="clear" w:color="auto" w:fill="auto"/>
          <w:lang w:val="en-US" w:eastAsia="zh-CN"/>
        </w:rPr>
        <w:t>第二十</w:t>
      </w:r>
      <w:r>
        <w:rPr>
          <w:rFonts w:hint="eastAsia" w:ascii="Times New Roman" w:hAnsi="Times New Roman" w:eastAsia="仿宋_GB2312" w:cs="Times New Roman"/>
          <w:b w:val="0"/>
          <w:bCs/>
          <w:color w:val="auto"/>
          <w:sz w:val="32"/>
          <w:szCs w:val="32"/>
          <w:highlight w:val="none"/>
          <w:shd w:val="clear" w:color="auto" w:fill="auto"/>
          <w:lang w:val="en-US" w:eastAsia="zh-CN"/>
        </w:rPr>
        <w:t>条 对诚信守法类市场主体，实行“非请勿扰”诚信管理制度。在日常监管中，合理降低抽查比例和频次。在行政管理和公共服务中，实行绿色通道、容缺受理、简化程序等支持激励措施。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Times New Roman"/>
          <w:b/>
          <w:bCs w:val="0"/>
          <w:color w:val="auto"/>
          <w:sz w:val="32"/>
          <w:szCs w:val="32"/>
          <w:highlight w:val="none"/>
          <w:shd w:val="clear" w:color="auto" w:fill="auto"/>
          <w:lang w:val="en-US" w:eastAsia="zh-CN"/>
        </w:rPr>
        <w:t>第二十一</w:t>
      </w:r>
      <w:r>
        <w:rPr>
          <w:rFonts w:hint="eastAsia" w:ascii="Times New Roman" w:hAnsi="Times New Roman" w:eastAsia="仿宋_GB2312" w:cs="Times New Roman"/>
          <w:b w:val="0"/>
          <w:bCs/>
          <w:color w:val="auto"/>
          <w:sz w:val="32"/>
          <w:szCs w:val="32"/>
          <w:highlight w:val="none"/>
          <w:shd w:val="clear" w:color="auto" w:fill="auto"/>
          <w:lang w:val="en-US" w:eastAsia="zh-CN"/>
        </w:rPr>
        <w:t>条 对轻微失信类信用主体，每年至多进行一次随机检查，采取包容审慎监管方式，建立轻微违法行为免罚、轻罚清单。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Times New Roman"/>
          <w:b/>
          <w:bCs w:val="0"/>
          <w:color w:val="auto"/>
          <w:sz w:val="32"/>
          <w:szCs w:val="32"/>
          <w:highlight w:val="none"/>
          <w:shd w:val="clear" w:color="auto" w:fill="auto"/>
          <w:lang w:val="en-US" w:eastAsia="zh-CN"/>
        </w:rPr>
        <w:t xml:space="preserve">第二十二条 </w:t>
      </w:r>
      <w:r>
        <w:rPr>
          <w:rFonts w:hint="eastAsia" w:ascii="Times New Roman" w:hAnsi="Times New Roman" w:eastAsia="仿宋_GB2312" w:cs="Times New Roman"/>
          <w:b w:val="0"/>
          <w:bCs/>
          <w:color w:val="auto"/>
          <w:sz w:val="32"/>
          <w:szCs w:val="32"/>
          <w:highlight w:val="none"/>
          <w:shd w:val="clear" w:color="auto" w:fill="auto"/>
          <w:lang w:val="en-US" w:eastAsia="zh-CN"/>
        </w:rPr>
        <w:t>对一般失信类信用主体，每年除进行一次随机性联合检查外，不再安排其他检查。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Times New Roman"/>
          <w:b/>
          <w:bCs w:val="0"/>
          <w:color w:val="auto"/>
          <w:sz w:val="32"/>
          <w:szCs w:val="32"/>
          <w:highlight w:val="none"/>
          <w:shd w:val="clear" w:color="auto" w:fill="auto"/>
          <w:lang w:val="en-US" w:eastAsia="zh-CN"/>
        </w:rPr>
        <w:t>第二十三条</w:t>
      </w:r>
      <w:r>
        <w:rPr>
          <w:rFonts w:hint="eastAsia" w:ascii="Times New Roman" w:hAnsi="Times New Roman" w:eastAsia="仿宋_GB2312" w:cs="Times New Roman"/>
          <w:b w:val="0"/>
          <w:bCs/>
          <w:color w:val="auto"/>
          <w:sz w:val="32"/>
          <w:szCs w:val="32"/>
          <w:highlight w:val="none"/>
          <w:shd w:val="clear" w:color="auto" w:fill="auto"/>
          <w:lang w:val="en-US" w:eastAsia="zh-CN"/>
        </w:rPr>
        <w:t xml:space="preserve"> 对严重失信类信用主体，在日常监管中列为重点监管对象，抽查比例不设上限，依法依规增加检查内容，加大抽查检查力度和频次。根据国家有关部委签署的联合惩戒备忘录规定，依法依规在行政管理和公共服务中，限制其享受简化程序等便利措施，限制其申请财政性资金项目、评优评先项目。</w:t>
      </w:r>
    </w:p>
    <w:p>
      <w:pPr>
        <w:pStyle w:val="27"/>
        <w:keepNext w:val="0"/>
        <w:keepLines w:val="0"/>
        <w:pageBreakBefore w:val="0"/>
        <w:kinsoku/>
        <w:overflowPunct/>
        <w:topLinePunct w:val="0"/>
        <w:bidi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仿宋_GB2312"/>
          <w:bCs/>
          <w:sz w:val="32"/>
          <w:szCs w:val="32"/>
        </w:rPr>
      </w:pPr>
      <w:r>
        <w:rPr>
          <w:rFonts w:hint="eastAsia" w:ascii="Times New Roman" w:hAnsi="Times New Roman" w:eastAsia="仿宋_GB2312" w:cs="仿宋_GB2312"/>
          <w:b/>
          <w:bCs/>
          <w:sz w:val="32"/>
          <w:szCs w:val="32"/>
        </w:rPr>
        <w:t>第二十</w:t>
      </w:r>
      <w:r>
        <w:rPr>
          <w:rFonts w:hint="eastAsia" w:ascii="Times New Roman" w:hAnsi="Times New Roman" w:eastAsia="仿宋_GB2312" w:cs="仿宋_GB2312"/>
          <w:b/>
          <w:bCs/>
          <w:sz w:val="32"/>
          <w:szCs w:val="32"/>
          <w:lang w:val="en-US" w:eastAsia="zh-CN"/>
        </w:rPr>
        <w:t>四</w:t>
      </w:r>
      <w:r>
        <w:rPr>
          <w:rFonts w:hint="eastAsia" w:ascii="Times New Roman" w:hAnsi="Times New Roman" w:eastAsia="仿宋_GB2312" w:cs="仿宋_GB2312"/>
          <w:b/>
          <w:bCs/>
          <w:sz w:val="32"/>
          <w:szCs w:val="32"/>
        </w:rPr>
        <w:t xml:space="preserve">条 </w:t>
      </w:r>
      <w:r>
        <w:rPr>
          <w:rFonts w:hint="eastAsia" w:ascii="Times New Roman" w:hAnsi="Times New Roman" w:eastAsia="仿宋_GB2312" w:cs="仿宋_GB2312"/>
          <w:bCs/>
          <w:sz w:val="32"/>
          <w:szCs w:val="32"/>
        </w:rPr>
        <w:t>监管部门以企业公共信用评价结果为参考</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rPr>
        <w:t>结合行业、市场信用评价对企业进行分类分级监管。</w:t>
      </w:r>
    </w:p>
    <w:p>
      <w:pPr>
        <w:pStyle w:val="27"/>
        <w:keepNext w:val="0"/>
        <w:keepLines w:val="0"/>
        <w:pageBreakBefore w:val="0"/>
        <w:kinsoku/>
        <w:overflowPunct/>
        <w:topLinePunct w:val="0"/>
        <w:bidi w:val="0"/>
        <w:spacing w:before="0" w:beforeLines="0" w:beforeAutospacing="0" w:after="0" w:afterLines="0" w:afterAutospacing="0" w:line="560" w:lineRule="exact"/>
        <w:ind w:firstLine="640" w:firstLineChars="200"/>
        <w:jc w:val="both"/>
        <w:textAlignment w:val="auto"/>
        <w:rPr>
          <w:rFonts w:hint="eastAsia" w:ascii="Times New Roman" w:hAnsi="Times New Roman" w:eastAsia="仿宋_GB2312" w:cs="仿宋_GB2312"/>
          <w:bCs/>
          <w:sz w:val="32"/>
          <w:szCs w:val="32"/>
        </w:rPr>
      </w:pPr>
    </w:p>
    <w:p>
      <w:pPr>
        <w:keepNext w:val="0"/>
        <w:keepLines w:val="0"/>
        <w:pageBreakBefore w:val="0"/>
        <w:numPr>
          <w:ilvl w:val="0"/>
          <w:numId w:val="3"/>
        </w:numPr>
        <w:kinsoku/>
        <w:overflowPunct/>
        <w:topLinePunct w:val="0"/>
        <w:bidi w:val="0"/>
        <w:spacing w:line="560" w:lineRule="exact"/>
        <w:jc w:val="center"/>
        <w:textAlignment w:val="auto"/>
        <w:rPr>
          <w:rFonts w:hint="eastAsia" w:ascii="Times New Roman" w:hAnsi="Times New Roman" w:eastAsia="黑体"/>
          <w:sz w:val="32"/>
          <w:szCs w:val="32"/>
        </w:rPr>
      </w:pPr>
      <w:r>
        <w:rPr>
          <w:rFonts w:hint="eastAsia" w:ascii="Times New Roman" w:hAnsi="Times New Roman" w:eastAsia="黑体"/>
          <w:sz w:val="32"/>
          <w:szCs w:val="32"/>
        </w:rPr>
        <w:t>市场主体权益保护</w:t>
      </w:r>
    </w:p>
    <w:p>
      <w:pPr>
        <w:pStyle w:val="25"/>
        <w:keepNext w:val="0"/>
        <w:keepLines w:val="0"/>
        <w:pageBreakBefore w:val="0"/>
        <w:numPr>
          <w:ilvl w:val="0"/>
          <w:numId w:val="0"/>
        </w:numPr>
        <w:kinsoku/>
        <w:overflowPunct/>
        <w:topLinePunct w:val="0"/>
        <w:bidi w:val="0"/>
        <w:spacing w:line="5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Times New Roman"/>
          <w:b/>
          <w:bCs w:val="0"/>
          <w:color w:val="auto"/>
          <w:sz w:val="32"/>
          <w:szCs w:val="32"/>
          <w:highlight w:val="none"/>
          <w:shd w:val="clear" w:color="auto" w:fill="auto"/>
          <w:lang w:val="en-US" w:eastAsia="zh-CN"/>
        </w:rPr>
        <w:t>第二十五条</w:t>
      </w:r>
      <w:r>
        <w:rPr>
          <w:rFonts w:hint="eastAsia" w:ascii="Times New Roman" w:hAnsi="Times New Roman" w:eastAsia="仿宋_GB2312" w:cs="Times New Roman"/>
          <w:b w:val="0"/>
          <w:bCs/>
          <w:color w:val="auto"/>
          <w:sz w:val="32"/>
          <w:szCs w:val="32"/>
          <w:highlight w:val="none"/>
          <w:shd w:val="clear" w:color="auto" w:fill="auto"/>
          <w:lang w:val="en-US" w:eastAsia="zh-CN"/>
        </w:rPr>
        <w:t xml:space="preserve"> 公共信用信息机构和相关部门要加强市场主体信用信息安全防护，建立健全安全管理、查询使用、应急处理等制度，健全市场主体信用评价、信用分级分类活动全流程管理体系，完善侵权责任追究机制，对篡改市场主体信用分级分类结果或者利用信用分级分类结果谋私等行为，依法进行处罚，切实保护市场主体合法权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Times New Roman"/>
          <w:b/>
          <w:bCs w:val="0"/>
          <w:color w:val="auto"/>
          <w:sz w:val="32"/>
          <w:szCs w:val="32"/>
          <w:highlight w:val="none"/>
          <w:shd w:val="clear" w:color="auto" w:fill="auto"/>
          <w:lang w:val="en-US" w:eastAsia="zh-CN"/>
        </w:rPr>
        <w:t>第二十六条</w:t>
      </w:r>
      <w:r>
        <w:rPr>
          <w:rFonts w:hint="eastAsia" w:ascii="Times New Roman" w:hAnsi="Times New Roman" w:eastAsia="仿宋_GB2312" w:cs="Times New Roman"/>
          <w:b w:val="0"/>
          <w:bCs/>
          <w:color w:val="auto"/>
          <w:sz w:val="32"/>
          <w:szCs w:val="32"/>
          <w:highlight w:val="none"/>
          <w:shd w:val="clear" w:color="auto" w:fill="auto"/>
          <w:lang w:val="en-US" w:eastAsia="zh-CN"/>
        </w:rPr>
        <w:t xml:space="preserve"> 有关部门应当依法全面、及时、准确地归集影响信用分级分类的相关信息。因信息归集原因造成分类结果不准确，且产生不良影响的，由信息归集单位承担相应的责任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Times New Roman"/>
          <w:b/>
          <w:bCs w:val="0"/>
          <w:color w:val="auto"/>
          <w:sz w:val="32"/>
          <w:szCs w:val="32"/>
          <w:highlight w:val="none"/>
          <w:shd w:val="clear" w:color="auto" w:fill="auto"/>
          <w:lang w:val="en-US" w:eastAsia="zh-CN"/>
        </w:rPr>
        <w:t>第二十七条</w:t>
      </w:r>
      <w:r>
        <w:rPr>
          <w:rFonts w:hint="eastAsia" w:ascii="Times New Roman" w:hAnsi="Times New Roman" w:eastAsia="仿宋_GB2312" w:cs="Times New Roman"/>
          <w:b w:val="0"/>
          <w:bCs/>
          <w:color w:val="auto"/>
          <w:sz w:val="32"/>
          <w:szCs w:val="32"/>
          <w:highlight w:val="none"/>
          <w:shd w:val="clear" w:color="auto" w:fill="auto"/>
          <w:lang w:val="en-US" w:eastAsia="zh-CN"/>
        </w:rPr>
        <w:t xml:space="preserve"> 建立异议处理机制，市场主体对有关信用评价结果存在异议的，可以向区公共信用信息领导机构、行业主管部门提出异议申请，有关单位收到异议申请后，属于本单位处理范围的，应当自收到异议申请之日起3个工作日内进行审核并处理，并将处理结果通知异议申请人；需要其他单位协助核查信息的，应当自收到异议申请之日起7个工作日内进行核查并处理，并将处理结果通知异议申请人；对于核查确实有误的，应当在2个工作日内予以更正或者删除。对由于数据更新不及时、不齐全等原因造成评价结果不准确的，公共信用信息机构、行业监管部门、行业主管部门要及时补充完善数据，重新作出评价和分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Times New Roman"/>
          <w:b/>
          <w:bCs w:val="0"/>
          <w:color w:val="auto"/>
          <w:sz w:val="32"/>
          <w:szCs w:val="32"/>
          <w:highlight w:val="none"/>
          <w:shd w:val="clear" w:color="auto" w:fill="auto"/>
          <w:lang w:val="en-US" w:eastAsia="zh-CN"/>
        </w:rPr>
        <w:t>第二十八条</w:t>
      </w:r>
      <w:r>
        <w:rPr>
          <w:rFonts w:hint="eastAsia" w:ascii="Times New Roman" w:hAnsi="Times New Roman" w:eastAsia="仿宋_GB2312" w:cs="Times New Roman"/>
          <w:b w:val="0"/>
          <w:bCs/>
          <w:color w:val="auto"/>
          <w:sz w:val="32"/>
          <w:szCs w:val="32"/>
          <w:highlight w:val="none"/>
          <w:shd w:val="clear" w:color="auto" w:fill="auto"/>
          <w:lang w:val="en-US" w:eastAsia="zh-CN"/>
        </w:rPr>
        <w:t xml:space="preserve"> 完善信用修复制度，市场主体在纠正失信行为、消除不良影响后，均可按要求进行信用修复。信用修复结果及时共享至公共信用信息平台。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Times New Roman"/>
          <w:b/>
          <w:bCs w:val="0"/>
          <w:color w:val="auto"/>
          <w:sz w:val="32"/>
          <w:szCs w:val="32"/>
          <w:highlight w:val="none"/>
          <w:shd w:val="clear" w:color="auto" w:fill="auto"/>
          <w:lang w:val="en-US" w:eastAsia="zh-CN"/>
        </w:rPr>
        <w:t xml:space="preserve">第二十九条 </w:t>
      </w:r>
      <w:r>
        <w:rPr>
          <w:rFonts w:hint="eastAsia" w:ascii="Times New Roman" w:hAnsi="Times New Roman" w:eastAsia="仿宋_GB2312" w:cs="Times New Roman"/>
          <w:b w:val="0"/>
          <w:bCs/>
          <w:color w:val="auto"/>
          <w:sz w:val="32"/>
          <w:szCs w:val="32"/>
          <w:highlight w:val="none"/>
          <w:shd w:val="clear" w:color="auto" w:fill="auto"/>
          <w:lang w:val="en-US" w:eastAsia="zh-CN"/>
        </w:rPr>
        <w:t>公共信用信息机构和行业主管部门评定的市场主体信用等级、风险等级、监管分类等结果，可以公示的，应当通过公示系统公示。行政行为被撤销或被确认违法的，该信息不作为信用信息进行归集。行政行为发生变更或被部分撤销的，以变更或部分撤销的信息作为信用信息进行归集。</w:t>
      </w:r>
    </w:p>
    <w:p>
      <w:pPr>
        <w:pStyle w:val="12"/>
        <w:keepNext w:val="0"/>
        <w:keepLines w:val="0"/>
        <w:pageBreakBefore w:val="0"/>
        <w:kinsoku/>
        <w:overflowPunct/>
        <w:topLinePunct w:val="0"/>
        <w:bidi w:val="0"/>
        <w:spacing w:line="560" w:lineRule="exact"/>
        <w:textAlignment w:val="auto"/>
        <w:rPr>
          <w:rFonts w:hint="eastAsia" w:ascii="Times New Roman" w:hAnsi="Times New Roman"/>
          <w:lang w:val="en-US" w:eastAsia="zh-CN"/>
        </w:rPr>
      </w:pPr>
    </w:p>
    <w:p>
      <w:pPr>
        <w:keepNext w:val="0"/>
        <w:keepLines w:val="0"/>
        <w:pageBreakBefore w:val="0"/>
        <w:kinsoku/>
        <w:overflowPunct/>
        <w:topLinePunct w:val="0"/>
        <w:bidi w:val="0"/>
        <w:spacing w:line="560" w:lineRule="exact"/>
        <w:jc w:val="center"/>
        <w:textAlignment w:val="auto"/>
        <w:rPr>
          <w:rFonts w:hint="eastAsia" w:ascii="Times New Roman" w:hAnsi="Times New Roman" w:eastAsia="黑体"/>
          <w:sz w:val="32"/>
          <w:szCs w:val="32"/>
        </w:rPr>
      </w:pPr>
      <w:r>
        <w:rPr>
          <w:rFonts w:hint="eastAsia" w:ascii="Times New Roman" w:hAnsi="Times New Roman" w:eastAsia="黑体"/>
          <w:sz w:val="32"/>
          <w:szCs w:val="32"/>
        </w:rPr>
        <w:t>第六章 组织保障</w:t>
      </w:r>
    </w:p>
    <w:p>
      <w:pPr>
        <w:pStyle w:val="12"/>
        <w:keepNext w:val="0"/>
        <w:keepLines w:val="0"/>
        <w:pageBreakBefore w:val="0"/>
        <w:kinsoku/>
        <w:overflowPunct/>
        <w:topLinePunct w:val="0"/>
        <w:bidi w:val="0"/>
        <w:spacing w:line="5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Times New Roman"/>
          <w:b/>
          <w:bCs w:val="0"/>
          <w:color w:val="auto"/>
          <w:sz w:val="32"/>
          <w:szCs w:val="32"/>
          <w:highlight w:val="none"/>
          <w:shd w:val="clear" w:color="auto" w:fill="auto"/>
          <w:lang w:val="en-US" w:eastAsia="zh-CN"/>
        </w:rPr>
        <w:t>第三十条</w:t>
      </w:r>
      <w:r>
        <w:rPr>
          <w:rFonts w:hint="eastAsia" w:ascii="Times New Roman" w:hAnsi="Times New Roman" w:eastAsia="仿宋_GB2312" w:cs="Times New Roman"/>
          <w:b w:val="0"/>
          <w:bCs/>
          <w:color w:val="auto"/>
          <w:sz w:val="32"/>
          <w:szCs w:val="32"/>
          <w:highlight w:val="none"/>
          <w:shd w:val="clear" w:color="auto" w:fill="auto"/>
          <w:lang w:val="en-US" w:eastAsia="zh-CN"/>
        </w:rPr>
        <w:t xml:space="preserve"> 各级各部门要认真贯彻落实国家和省、市的工作部署，高度重视信用分级分类工作，强化制度设计，细化责任分工和具体措施，推动信用分级分类工作顺利实施。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Times New Roman"/>
          <w:b/>
          <w:bCs w:val="0"/>
          <w:color w:val="auto"/>
          <w:sz w:val="32"/>
          <w:szCs w:val="32"/>
          <w:highlight w:val="none"/>
          <w:shd w:val="clear" w:color="auto" w:fill="auto"/>
          <w:lang w:val="en-US" w:eastAsia="zh-CN"/>
        </w:rPr>
        <w:t>第三十一条</w:t>
      </w:r>
      <w:r>
        <w:rPr>
          <w:rFonts w:hint="eastAsia" w:ascii="Times New Roman" w:hAnsi="Times New Roman" w:eastAsia="仿宋_GB2312" w:cs="Times New Roman"/>
          <w:b w:val="0"/>
          <w:bCs/>
          <w:color w:val="auto"/>
          <w:sz w:val="32"/>
          <w:szCs w:val="32"/>
          <w:highlight w:val="none"/>
          <w:shd w:val="clear" w:color="auto" w:fill="auto"/>
          <w:lang w:val="en-US" w:eastAsia="zh-CN"/>
        </w:rPr>
        <w:t xml:space="preserve"> 建立部门间工作协商机制和联络员制度，公共信用信息机构会同有关部门负责加强组织协调，及时调度信用分级分类工作进展情况，发现问题及时协调解决。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Times New Roman"/>
          <w:b/>
          <w:bCs w:val="0"/>
          <w:color w:val="auto"/>
          <w:sz w:val="32"/>
          <w:szCs w:val="32"/>
          <w:highlight w:val="none"/>
          <w:shd w:val="clear" w:color="auto" w:fill="auto"/>
          <w:lang w:val="en-US" w:eastAsia="zh-CN"/>
        </w:rPr>
        <w:t>第三十二条</w:t>
      </w:r>
      <w:r>
        <w:rPr>
          <w:rFonts w:hint="eastAsia" w:ascii="Times New Roman" w:hAnsi="Times New Roman" w:eastAsia="仿宋_GB2312" w:cs="Times New Roman"/>
          <w:b w:val="0"/>
          <w:bCs/>
          <w:color w:val="auto"/>
          <w:sz w:val="32"/>
          <w:szCs w:val="32"/>
          <w:highlight w:val="none"/>
          <w:shd w:val="clear" w:color="auto" w:fill="auto"/>
          <w:lang w:val="en-US" w:eastAsia="zh-CN"/>
        </w:rPr>
        <w:t xml:space="preserve"> 各级各部门要加强信用信息归集共享力度，准确、完整记录市场主体在经济运行过程中产生的信用信息，确保评价分类科学合理。</w:t>
      </w:r>
    </w:p>
    <w:p>
      <w:pPr>
        <w:pStyle w:val="25"/>
        <w:keepNext w:val="0"/>
        <w:keepLines w:val="0"/>
        <w:pageBreakBefore w:val="0"/>
        <w:kinsoku/>
        <w:overflowPunct/>
        <w:topLinePunct w:val="0"/>
        <w:bidi w:val="0"/>
        <w:spacing w:line="560" w:lineRule="exact"/>
        <w:textAlignment w:val="auto"/>
        <w:rPr>
          <w:rFonts w:hint="eastAsia" w:ascii="Times New Roman" w:hAnsi="Times New Roman"/>
          <w:lang w:val="en-US" w:eastAsia="zh-CN"/>
        </w:rPr>
      </w:pPr>
    </w:p>
    <w:p>
      <w:pPr>
        <w:keepNext w:val="0"/>
        <w:keepLines w:val="0"/>
        <w:pageBreakBefore w:val="0"/>
        <w:kinsoku/>
        <w:overflowPunct/>
        <w:topLinePunct w:val="0"/>
        <w:bidi w:val="0"/>
        <w:spacing w:line="560" w:lineRule="exact"/>
        <w:jc w:val="center"/>
        <w:textAlignment w:val="auto"/>
        <w:rPr>
          <w:rFonts w:ascii="Times New Roman" w:hAnsi="Times New Roman" w:eastAsia="仿宋_GB2312"/>
          <w:sz w:val="32"/>
          <w:szCs w:val="32"/>
        </w:rPr>
      </w:pPr>
      <w:r>
        <w:rPr>
          <w:rFonts w:hint="eastAsia" w:ascii="Times New Roman" w:hAnsi="Times New Roman" w:eastAsia="黑体"/>
          <w:sz w:val="32"/>
          <w:szCs w:val="32"/>
        </w:rPr>
        <w:t>第七章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Times New Roman"/>
          <w:b/>
          <w:bCs w:val="0"/>
          <w:color w:val="auto"/>
          <w:sz w:val="32"/>
          <w:szCs w:val="32"/>
          <w:highlight w:val="none"/>
          <w:shd w:val="clear" w:color="auto" w:fill="auto"/>
          <w:lang w:val="en-US" w:eastAsia="zh-CN"/>
        </w:rPr>
        <w:t>第三十三条</w:t>
      </w:r>
      <w:r>
        <w:rPr>
          <w:rFonts w:hint="eastAsia" w:ascii="Times New Roman" w:hAnsi="Times New Roman" w:eastAsia="仿宋_GB2312" w:cs="Times New Roman"/>
          <w:b w:val="0"/>
          <w:bCs/>
          <w:color w:val="auto"/>
          <w:sz w:val="32"/>
          <w:szCs w:val="32"/>
          <w:highlight w:val="none"/>
          <w:shd w:val="clear" w:color="auto" w:fill="auto"/>
          <w:lang w:val="en-US" w:eastAsia="zh-CN"/>
        </w:rPr>
        <w:t xml:space="preserve">  本办法由张店区发展和改革局负责解释。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Times New Roman"/>
          <w:b/>
          <w:bCs w:val="0"/>
          <w:color w:val="auto"/>
          <w:sz w:val="32"/>
          <w:szCs w:val="32"/>
          <w:highlight w:val="none"/>
          <w:shd w:val="clear" w:color="auto" w:fill="auto"/>
          <w:lang w:val="en-US" w:eastAsia="zh-CN"/>
        </w:rPr>
        <w:t>第三十四条</w:t>
      </w:r>
      <w:r>
        <w:rPr>
          <w:rFonts w:hint="eastAsia" w:ascii="Times New Roman" w:hAnsi="Times New Roman" w:eastAsia="仿宋_GB2312" w:cs="Times New Roman"/>
          <w:b w:val="0"/>
          <w:bCs/>
          <w:color w:val="auto"/>
          <w:sz w:val="32"/>
          <w:szCs w:val="32"/>
          <w:highlight w:val="none"/>
          <w:shd w:val="clear" w:color="auto" w:fill="auto"/>
          <w:lang w:val="en-US" w:eastAsia="zh-CN"/>
        </w:rPr>
        <w:t xml:space="preserve">  本办法自2022年2月1日起试行，有效期至2024年2月1日。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Times New Roman"/>
          <w:b w:val="0"/>
          <w:bCs/>
          <w:color w:val="auto"/>
          <w:sz w:val="32"/>
          <w:szCs w:val="32"/>
          <w:highlight w:val="none"/>
          <w:shd w:val="clear" w:color="auto" w:fill="auto"/>
          <w:lang w:val="en-US" w:eastAsia="zh-CN"/>
        </w:rPr>
        <w:t>附件： 张店区市场主体公共信用综合评价指标体系</w:t>
      </w:r>
    </w:p>
    <w:p>
      <w:pPr>
        <w:keepNext w:val="0"/>
        <w:keepLines w:val="0"/>
        <w:pageBreakBefore w:val="0"/>
        <w:kinsoku/>
        <w:overflowPunct/>
        <w:topLinePunct w:val="0"/>
        <w:bidi w:val="0"/>
        <w:spacing w:line="560" w:lineRule="exact"/>
        <w:textAlignment w:val="auto"/>
        <w:rPr>
          <w:rFonts w:hint="eastAsia" w:ascii="Times New Roman" w:hAnsi="Times New Roman" w:eastAsia="黑体" w:cs="黑体"/>
          <w:sz w:val="24"/>
          <w:szCs w:val="24"/>
        </w:rPr>
      </w:pPr>
      <w:r>
        <w:rPr>
          <w:rFonts w:hint="eastAsia" w:ascii="Times New Roman" w:hAnsi="Times New Roman" w:eastAsia="仿宋_GB2312" w:cs="仿宋_GB2312"/>
          <w:sz w:val="32"/>
          <w:szCs w:val="32"/>
        </w:rPr>
        <w:t xml:space="preserve"> </w:t>
      </w:r>
      <w:r>
        <w:rPr>
          <w:rFonts w:ascii="Times New Roman" w:hAnsi="Times New Roman" w:eastAsia="仿宋_GB2312" w:cs="仿宋_GB2312"/>
          <w:sz w:val="32"/>
          <w:szCs w:val="32"/>
        </w:rPr>
        <w:t xml:space="preserve">   </w:t>
      </w:r>
    </w:p>
    <w:p>
      <w:pPr>
        <w:pStyle w:val="12"/>
        <w:ind w:left="0" w:leftChars="0" w:firstLine="0" w:firstLineChars="0"/>
        <w:rPr>
          <w:rFonts w:hint="eastAsia" w:ascii="Times New Roman" w:hAnsi="Times New Roman"/>
        </w:rPr>
      </w:pPr>
    </w:p>
    <w:p>
      <w:pPr>
        <w:keepNext w:val="0"/>
        <w:keepLines w:val="0"/>
        <w:pageBreakBefore w:val="0"/>
        <w:kinsoku/>
        <w:overflowPunct/>
        <w:topLinePunct w:val="0"/>
        <w:bidi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kinsoku/>
        <w:overflowPunct/>
        <w:topLinePunct w:val="0"/>
        <w:bidi w:val="0"/>
        <w:spacing w:line="560" w:lineRule="exact"/>
        <w:jc w:val="center"/>
        <w:textAlignment w:val="auto"/>
        <w:rPr>
          <w:rFonts w:ascii="Times New Roman" w:hAnsi="Times New Roman" w:eastAsia="方正小标宋简体"/>
          <w:color w:val="000000"/>
          <w:spacing w:val="-20"/>
          <w:sz w:val="44"/>
          <w:szCs w:val="44"/>
        </w:rPr>
      </w:pPr>
      <w:r>
        <w:rPr>
          <w:rFonts w:hint="eastAsia" w:ascii="Times New Roman" w:hAnsi="Times New Roman" w:eastAsia="方正小标宋简体"/>
          <w:color w:val="000000"/>
          <w:spacing w:val="-20"/>
          <w:sz w:val="44"/>
          <w:szCs w:val="44"/>
          <w:lang w:val="en-US" w:eastAsia="zh-CN"/>
        </w:rPr>
        <w:t>张店区市场主体</w:t>
      </w:r>
      <w:r>
        <w:rPr>
          <w:rFonts w:hint="eastAsia" w:ascii="Times New Roman" w:hAnsi="Times New Roman" w:eastAsia="方正小标宋简体"/>
          <w:color w:val="000000"/>
          <w:spacing w:val="-20"/>
          <w:sz w:val="44"/>
          <w:szCs w:val="44"/>
        </w:rPr>
        <w:t>公共信用综合评价指标体系</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65"/>
        <w:gridCol w:w="1417"/>
        <w:gridCol w:w="5954"/>
        <w:gridCol w:w="911"/>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atLeast"/>
          <w:jc w:val="center"/>
        </w:trPr>
        <w:tc>
          <w:tcPr>
            <w:tcW w:w="765"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评价</w:t>
            </w:r>
          </w:p>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类别</w:t>
            </w:r>
          </w:p>
        </w:tc>
        <w:tc>
          <w:tcPr>
            <w:tcW w:w="1417"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信息项</w:t>
            </w: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评价标准</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加减分</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4" w:hRule="atLeast"/>
          <w:jc w:val="center"/>
        </w:trPr>
        <w:tc>
          <w:tcPr>
            <w:tcW w:w="765" w:type="dxa"/>
            <w:vMerge w:val="restart"/>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诚信信息</w:t>
            </w:r>
          </w:p>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restart"/>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企业捐款捐物信息</w:t>
            </w:r>
          </w:p>
        </w:tc>
        <w:tc>
          <w:tcPr>
            <w:tcW w:w="5954"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现金捐款1000-10000元的，每1000元加1分；</w:t>
            </w:r>
          </w:p>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捐物2000-20000元的，每2000元加1分</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w:t>
            </w:r>
          </w:p>
        </w:tc>
        <w:tc>
          <w:tcPr>
            <w:tcW w:w="989" w:type="dxa"/>
            <w:vMerge w:val="restart"/>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捐款捐物每年最多加40分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4"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现金捐款10001-50000元的，每4000元加1分；</w:t>
            </w:r>
          </w:p>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捐物20001-100000元的，每8000元加1分</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w:t>
            </w:r>
          </w:p>
        </w:tc>
        <w:tc>
          <w:tcPr>
            <w:tcW w:w="989"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4"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现金捐款10001-50000元的，每4000元加1分；</w:t>
            </w:r>
          </w:p>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捐物20001-100000元的，每8000元加1分</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w:t>
            </w:r>
          </w:p>
        </w:tc>
        <w:tc>
          <w:tcPr>
            <w:tcW w:w="989"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4"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现金捐款50001-100000元的，每5000元加1分；</w:t>
            </w:r>
          </w:p>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捐物100001-200000元的，每1万元加1分</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w:t>
            </w:r>
          </w:p>
        </w:tc>
        <w:tc>
          <w:tcPr>
            <w:tcW w:w="989"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4"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现金捐款10万元以上的，每1万元加1分；</w:t>
            </w:r>
          </w:p>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捐物20万元以上的，每2万元加1分</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w:t>
            </w:r>
          </w:p>
        </w:tc>
        <w:tc>
          <w:tcPr>
            <w:tcW w:w="989"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4"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restart"/>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个体工商户捐款捐物信息</w:t>
            </w:r>
          </w:p>
        </w:tc>
        <w:tc>
          <w:tcPr>
            <w:tcW w:w="5954"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现金捐款200-2000元的，每200元加1分；</w:t>
            </w:r>
          </w:p>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捐物400-4000元的，每400元加1分</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w:t>
            </w:r>
          </w:p>
        </w:tc>
        <w:tc>
          <w:tcPr>
            <w:tcW w:w="989" w:type="dxa"/>
            <w:vMerge w:val="restart"/>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捐款捐物每年最多加40分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4"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捐款2001-10000元的，每800元加1分；</w:t>
            </w:r>
          </w:p>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捐物4001-20000元的，每1600元加1分</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w:t>
            </w:r>
          </w:p>
        </w:tc>
        <w:tc>
          <w:tcPr>
            <w:tcW w:w="989"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4"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捐款10001-20000元的，每1000元加1分</w:t>
            </w:r>
          </w:p>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捐物20001-40000元的，每2000元加1分</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w:t>
            </w:r>
          </w:p>
        </w:tc>
        <w:tc>
          <w:tcPr>
            <w:tcW w:w="989"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7"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捐款2万元以上的，每2000元加1分；</w:t>
            </w:r>
          </w:p>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捐物4万元以上的，每4000元加1分</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w:t>
            </w:r>
          </w:p>
        </w:tc>
        <w:tc>
          <w:tcPr>
            <w:tcW w:w="989"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4"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表彰奖励</w:t>
            </w:r>
          </w:p>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信息</w:t>
            </w: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受到</w:t>
            </w:r>
            <w:r>
              <w:rPr>
                <w:rFonts w:hint="eastAsia" w:ascii="Times New Roman" w:hAnsi="Times New Roman" w:eastAsia="仿宋_GB2312" w:cs="仿宋_GB2312"/>
                <w:bCs/>
                <w:kern w:val="0"/>
                <w:sz w:val="28"/>
                <w:szCs w:val="28"/>
                <w:lang w:val="en-US" w:eastAsia="zh-CN"/>
              </w:rPr>
              <w:t>区</w:t>
            </w:r>
            <w:r>
              <w:rPr>
                <w:rFonts w:hint="eastAsia" w:ascii="Times New Roman" w:hAnsi="Times New Roman" w:eastAsia="仿宋_GB2312" w:cs="仿宋_GB2312"/>
                <w:bCs/>
                <w:kern w:val="0"/>
                <w:sz w:val="28"/>
                <w:szCs w:val="28"/>
              </w:rPr>
              <w:t>级部门表彰奖励的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default"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+5</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4"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受到</w:t>
            </w:r>
            <w:r>
              <w:rPr>
                <w:rFonts w:hint="eastAsia" w:ascii="Times New Roman" w:hAnsi="Times New Roman" w:eastAsia="仿宋_GB2312" w:cs="仿宋_GB2312"/>
                <w:bCs/>
                <w:kern w:val="0"/>
                <w:sz w:val="28"/>
                <w:szCs w:val="28"/>
                <w:lang w:val="en-US" w:eastAsia="zh-CN"/>
              </w:rPr>
              <w:t>淄博市</w:t>
            </w:r>
            <w:r>
              <w:rPr>
                <w:rFonts w:hint="eastAsia" w:ascii="Times New Roman" w:hAnsi="Times New Roman" w:eastAsia="仿宋_GB2312" w:cs="仿宋_GB2312"/>
                <w:bCs/>
                <w:kern w:val="0"/>
                <w:sz w:val="28"/>
                <w:szCs w:val="28"/>
              </w:rPr>
              <w:t>级部门表彰奖励的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+15</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55"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受到</w:t>
            </w:r>
            <w:r>
              <w:rPr>
                <w:rFonts w:hint="eastAsia" w:ascii="Times New Roman" w:hAnsi="Times New Roman" w:eastAsia="仿宋_GB2312" w:cs="仿宋_GB2312"/>
                <w:bCs/>
                <w:kern w:val="0"/>
                <w:sz w:val="28"/>
                <w:szCs w:val="28"/>
                <w:lang w:val="en-US" w:eastAsia="zh-CN"/>
              </w:rPr>
              <w:t>区级</w:t>
            </w:r>
            <w:r>
              <w:rPr>
                <w:rFonts w:hint="eastAsia" w:ascii="Times New Roman" w:hAnsi="Times New Roman" w:eastAsia="仿宋_GB2312" w:cs="仿宋_GB2312"/>
                <w:bCs/>
                <w:kern w:val="0"/>
                <w:sz w:val="28"/>
                <w:szCs w:val="28"/>
              </w:rPr>
              <w:t>表彰奖励的</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+20</w:t>
            </w:r>
          </w:p>
        </w:tc>
        <w:tc>
          <w:tcPr>
            <w:tcW w:w="989"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57"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受到省级部门表彰奖励的</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default"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+25</w:t>
            </w:r>
          </w:p>
        </w:tc>
        <w:tc>
          <w:tcPr>
            <w:tcW w:w="989"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92"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受到</w:t>
            </w:r>
            <w:r>
              <w:rPr>
                <w:rFonts w:hint="eastAsia" w:ascii="Times New Roman" w:hAnsi="Times New Roman" w:eastAsia="仿宋_GB2312" w:cs="仿宋_GB2312"/>
                <w:bCs/>
                <w:kern w:val="0"/>
                <w:sz w:val="28"/>
                <w:szCs w:val="28"/>
                <w:lang w:val="en-US" w:eastAsia="zh-CN"/>
              </w:rPr>
              <w:t>淄博市</w:t>
            </w:r>
            <w:r>
              <w:rPr>
                <w:rFonts w:hint="eastAsia" w:ascii="Times New Roman" w:hAnsi="Times New Roman" w:eastAsia="仿宋_GB2312" w:cs="仿宋_GB2312"/>
                <w:bCs/>
                <w:kern w:val="0"/>
                <w:sz w:val="28"/>
                <w:szCs w:val="28"/>
              </w:rPr>
              <w:t>级表彰奖励的</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+30</w:t>
            </w:r>
          </w:p>
        </w:tc>
        <w:tc>
          <w:tcPr>
            <w:tcW w:w="989"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92"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受到省部级表彰奖励的</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+60</w:t>
            </w:r>
          </w:p>
        </w:tc>
        <w:tc>
          <w:tcPr>
            <w:tcW w:w="989"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92"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受到国家级表彰奖励的</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+100</w:t>
            </w:r>
          </w:p>
        </w:tc>
        <w:tc>
          <w:tcPr>
            <w:tcW w:w="989"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92"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restart"/>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通报表扬信息</w:t>
            </w:r>
          </w:p>
        </w:tc>
        <w:tc>
          <w:tcPr>
            <w:tcW w:w="5954"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受到</w:t>
            </w:r>
            <w:r>
              <w:rPr>
                <w:rFonts w:hint="eastAsia" w:ascii="Times New Roman" w:hAnsi="Times New Roman" w:eastAsia="仿宋_GB2312" w:cs="仿宋_GB2312"/>
                <w:bCs/>
                <w:kern w:val="0"/>
                <w:sz w:val="28"/>
                <w:szCs w:val="28"/>
                <w:lang w:val="en-US" w:eastAsia="zh-CN"/>
              </w:rPr>
              <w:t>区</w:t>
            </w:r>
            <w:r>
              <w:rPr>
                <w:rFonts w:hint="eastAsia" w:ascii="Times New Roman" w:hAnsi="Times New Roman" w:eastAsia="仿宋_GB2312" w:cs="仿宋_GB2312"/>
                <w:bCs/>
                <w:kern w:val="0"/>
                <w:sz w:val="28"/>
                <w:szCs w:val="28"/>
              </w:rPr>
              <w:t>级部门通报表扬的</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+3</w:t>
            </w:r>
          </w:p>
        </w:tc>
        <w:tc>
          <w:tcPr>
            <w:tcW w:w="989"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92"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受到</w:t>
            </w:r>
            <w:r>
              <w:rPr>
                <w:rFonts w:hint="eastAsia" w:ascii="Times New Roman" w:hAnsi="Times New Roman" w:eastAsia="仿宋_GB2312" w:cs="仿宋_GB2312"/>
                <w:bCs/>
                <w:kern w:val="0"/>
                <w:sz w:val="28"/>
                <w:szCs w:val="28"/>
                <w:lang w:val="en-US" w:eastAsia="zh-CN"/>
              </w:rPr>
              <w:t>淄博市</w:t>
            </w:r>
            <w:r>
              <w:rPr>
                <w:rFonts w:hint="eastAsia" w:ascii="Times New Roman" w:hAnsi="Times New Roman" w:eastAsia="仿宋_GB2312" w:cs="仿宋_GB2312"/>
                <w:bCs/>
                <w:kern w:val="0"/>
                <w:sz w:val="28"/>
                <w:szCs w:val="28"/>
              </w:rPr>
              <w:t>级部门通报表扬的</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+10</w:t>
            </w:r>
          </w:p>
        </w:tc>
        <w:tc>
          <w:tcPr>
            <w:tcW w:w="989"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92"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受到</w:t>
            </w:r>
            <w:r>
              <w:rPr>
                <w:rFonts w:hint="eastAsia" w:ascii="Times New Roman" w:hAnsi="Times New Roman" w:eastAsia="仿宋_GB2312" w:cs="仿宋_GB2312"/>
                <w:bCs/>
                <w:kern w:val="0"/>
                <w:sz w:val="28"/>
                <w:szCs w:val="28"/>
                <w:lang w:val="en-US" w:eastAsia="zh-CN"/>
              </w:rPr>
              <w:t>区</w:t>
            </w:r>
            <w:r>
              <w:rPr>
                <w:rFonts w:hint="eastAsia" w:ascii="Times New Roman" w:hAnsi="Times New Roman" w:eastAsia="仿宋_GB2312" w:cs="仿宋_GB2312"/>
                <w:bCs/>
                <w:kern w:val="0"/>
                <w:sz w:val="28"/>
                <w:szCs w:val="28"/>
              </w:rPr>
              <w:t>级通报表扬的</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+15</w:t>
            </w:r>
          </w:p>
        </w:tc>
        <w:tc>
          <w:tcPr>
            <w:tcW w:w="989"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92"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受到省级部门通报表扬的</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+20</w:t>
            </w:r>
          </w:p>
        </w:tc>
        <w:tc>
          <w:tcPr>
            <w:tcW w:w="989"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92"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受到</w:t>
            </w:r>
            <w:r>
              <w:rPr>
                <w:rFonts w:hint="eastAsia" w:ascii="Times New Roman" w:hAnsi="Times New Roman" w:eastAsia="仿宋_GB2312" w:cs="仿宋_GB2312"/>
                <w:bCs/>
                <w:kern w:val="0"/>
                <w:sz w:val="28"/>
                <w:szCs w:val="28"/>
                <w:lang w:val="en-US" w:eastAsia="zh-CN"/>
              </w:rPr>
              <w:t>淄博市</w:t>
            </w:r>
            <w:r>
              <w:rPr>
                <w:rFonts w:hint="eastAsia" w:ascii="Times New Roman" w:hAnsi="Times New Roman" w:eastAsia="仿宋_GB2312" w:cs="仿宋_GB2312"/>
                <w:bCs/>
                <w:kern w:val="0"/>
                <w:sz w:val="28"/>
                <w:szCs w:val="28"/>
              </w:rPr>
              <w:t>级通报表扬的</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+25</w:t>
            </w:r>
          </w:p>
        </w:tc>
        <w:tc>
          <w:tcPr>
            <w:tcW w:w="989"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92"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受到省部级通报表扬的</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+50</w:t>
            </w:r>
          </w:p>
        </w:tc>
        <w:tc>
          <w:tcPr>
            <w:tcW w:w="989"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92"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受到国家级通报表扬的</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+80</w:t>
            </w:r>
          </w:p>
        </w:tc>
        <w:tc>
          <w:tcPr>
            <w:tcW w:w="989"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4" w:hRule="atLeast"/>
          <w:jc w:val="center"/>
        </w:trPr>
        <w:tc>
          <w:tcPr>
            <w:tcW w:w="765" w:type="dxa"/>
            <w:vMerge w:val="restart"/>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诚信信息</w:t>
            </w:r>
          </w:p>
        </w:tc>
        <w:tc>
          <w:tcPr>
            <w:tcW w:w="1417" w:type="dxa"/>
            <w:vMerge w:val="restart"/>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联合激励信息</w:t>
            </w:r>
          </w:p>
        </w:tc>
        <w:tc>
          <w:tcPr>
            <w:tcW w:w="5954" w:type="dxa"/>
            <w:shd w:val="clear" w:color="000000"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环保、建设、海关等其他行业主管部门发布的单一行业评价等级较高的</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+5</w:t>
            </w:r>
          </w:p>
        </w:tc>
        <w:tc>
          <w:tcPr>
            <w:tcW w:w="989"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4"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000000"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统计、税务等部门发布的通用行业评价等级较高的</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+10</w:t>
            </w:r>
          </w:p>
        </w:tc>
        <w:tc>
          <w:tcPr>
            <w:tcW w:w="989"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4"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000000"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列入守信联合激励对象名单的</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+20</w:t>
            </w:r>
          </w:p>
        </w:tc>
        <w:tc>
          <w:tcPr>
            <w:tcW w:w="989"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4"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000000"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国家公共信用综合评价等级较高的</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+20</w:t>
            </w:r>
          </w:p>
        </w:tc>
        <w:tc>
          <w:tcPr>
            <w:tcW w:w="989"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4" w:hRule="atLeast"/>
          <w:jc w:val="center"/>
        </w:trPr>
        <w:tc>
          <w:tcPr>
            <w:tcW w:w="765"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其他诚信信息</w:t>
            </w:r>
          </w:p>
        </w:tc>
        <w:tc>
          <w:tcPr>
            <w:tcW w:w="5954"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其他守信行为视情节加分</w:t>
            </w:r>
          </w:p>
        </w:tc>
        <w:tc>
          <w:tcPr>
            <w:tcW w:w="911"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+1至+5</w:t>
            </w:r>
          </w:p>
        </w:tc>
        <w:tc>
          <w:tcPr>
            <w:tcW w:w="989" w:type="dxa"/>
            <w:shd w:val="clear" w:color="auto" w:fill="auto"/>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失信</w:t>
            </w:r>
          </w:p>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信息</w:t>
            </w:r>
          </w:p>
        </w:tc>
        <w:tc>
          <w:tcPr>
            <w:tcW w:w="1417"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lang w:val="en-US" w:eastAsia="zh-CN"/>
              </w:rPr>
              <w:t>欠</w:t>
            </w:r>
            <w:r>
              <w:rPr>
                <w:rFonts w:hint="eastAsia" w:ascii="Times New Roman" w:hAnsi="Times New Roman" w:eastAsia="仿宋_GB2312" w:cs="仿宋_GB2312"/>
                <w:bCs/>
                <w:kern w:val="0"/>
                <w:sz w:val="28"/>
                <w:szCs w:val="28"/>
              </w:rPr>
              <w:t>税</w:t>
            </w:r>
            <w:r>
              <w:rPr>
                <w:rFonts w:hint="eastAsia" w:ascii="Times New Roman" w:hAnsi="Times New Roman" w:eastAsia="仿宋_GB2312" w:cs="仿宋_GB2312"/>
                <w:bCs/>
                <w:kern w:val="0"/>
                <w:sz w:val="28"/>
                <w:szCs w:val="28"/>
                <w:lang w:val="en-US" w:eastAsia="zh-CN"/>
              </w:rPr>
              <w:t>欠</w:t>
            </w:r>
            <w:r>
              <w:rPr>
                <w:rFonts w:hint="eastAsia" w:ascii="Times New Roman" w:hAnsi="Times New Roman" w:eastAsia="仿宋_GB2312" w:cs="仿宋_GB2312"/>
                <w:bCs/>
                <w:kern w:val="0"/>
                <w:sz w:val="28"/>
                <w:szCs w:val="28"/>
              </w:rPr>
              <w:t>费信息</w:t>
            </w: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拒不缴纳依法应当缴纳的税款的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-50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拒不缴纳依法应当缴纳的社会保险费的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-50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拒不缴纳依法应当缴纳的行政事业性收费的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-50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拒不缴纳依法应当缴纳的政府性基金的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-50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lang w:val="en-US" w:eastAsia="zh-CN"/>
              </w:rPr>
              <w:t>违反</w:t>
            </w:r>
            <w:r>
              <w:rPr>
                <w:rFonts w:hint="eastAsia" w:ascii="Times New Roman" w:hAnsi="Times New Roman" w:eastAsia="仿宋_GB2312" w:cs="仿宋_GB2312"/>
                <w:bCs/>
                <w:kern w:val="0"/>
                <w:sz w:val="28"/>
                <w:szCs w:val="28"/>
              </w:rPr>
              <w:t>信用承诺信息</w:t>
            </w: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虚假申报、虚假承诺的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default"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w:t>
            </w:r>
            <w:r>
              <w:rPr>
                <w:rFonts w:hint="eastAsia" w:ascii="Times New Roman" w:hAnsi="Times New Roman" w:eastAsia="仿宋_GB2312" w:cs="仿宋_GB2312"/>
                <w:bCs/>
                <w:kern w:val="0"/>
                <w:sz w:val="28"/>
                <w:szCs w:val="28"/>
                <w:lang w:val="en-US" w:eastAsia="zh-CN"/>
              </w:rPr>
              <w:t>50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不履行信用承诺义务的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default"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w:t>
            </w:r>
            <w:r>
              <w:rPr>
                <w:rFonts w:hint="eastAsia" w:ascii="Times New Roman" w:hAnsi="Times New Roman" w:eastAsia="仿宋_GB2312" w:cs="仿宋_GB2312"/>
                <w:bCs/>
                <w:kern w:val="0"/>
                <w:sz w:val="28"/>
                <w:szCs w:val="28"/>
                <w:lang w:val="en-US" w:eastAsia="zh-CN"/>
              </w:rPr>
              <w:t>50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tcBorders>
              <w:bottom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lang w:val="en-US" w:eastAsia="zh-CN"/>
              </w:rPr>
              <w:t>高管失信</w:t>
            </w:r>
            <w:r>
              <w:rPr>
                <w:rFonts w:hint="eastAsia" w:ascii="Times New Roman" w:hAnsi="Times New Roman" w:eastAsia="仿宋_GB2312" w:cs="仿宋_GB2312"/>
                <w:bCs/>
                <w:kern w:val="0"/>
                <w:sz w:val="28"/>
                <w:szCs w:val="28"/>
              </w:rPr>
              <w:t>信息</w:t>
            </w:r>
          </w:p>
        </w:tc>
        <w:tc>
          <w:tcPr>
            <w:tcW w:w="5954" w:type="dxa"/>
            <w:tcBorders>
              <w:bottom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default"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法定代表人、实际控制人</w:t>
            </w:r>
            <w:r>
              <w:rPr>
                <w:rFonts w:hint="eastAsia" w:ascii="Times New Roman" w:hAnsi="Times New Roman" w:eastAsia="仿宋_GB2312" w:cs="仿宋_GB2312"/>
                <w:bCs/>
                <w:kern w:val="0"/>
                <w:sz w:val="28"/>
                <w:szCs w:val="28"/>
                <w:lang w:val="en-US" w:eastAsia="zh-CN"/>
              </w:rPr>
              <w:t>等被</w:t>
            </w:r>
            <w:r>
              <w:rPr>
                <w:rFonts w:hint="eastAsia" w:ascii="Times New Roman" w:hAnsi="Times New Roman" w:eastAsia="仿宋_GB2312" w:cs="仿宋_GB2312"/>
                <w:bCs/>
                <w:kern w:val="0"/>
                <w:sz w:val="28"/>
                <w:szCs w:val="28"/>
              </w:rPr>
              <w:t>列入</w:t>
            </w:r>
            <w:r>
              <w:rPr>
                <w:rFonts w:hint="eastAsia" w:ascii="Times New Roman" w:hAnsi="Times New Roman" w:eastAsia="仿宋_GB2312" w:cs="仿宋_GB2312"/>
                <w:bCs/>
                <w:kern w:val="0"/>
                <w:sz w:val="28"/>
                <w:szCs w:val="28"/>
                <w:lang w:val="en-US" w:eastAsia="zh-CN"/>
              </w:rPr>
              <w:t>被执行人的</w:t>
            </w:r>
          </w:p>
        </w:tc>
        <w:tc>
          <w:tcPr>
            <w:tcW w:w="911" w:type="dxa"/>
            <w:tcBorders>
              <w:bottom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w:t>
            </w:r>
          </w:p>
        </w:tc>
        <w:tc>
          <w:tcPr>
            <w:tcW w:w="989" w:type="dxa"/>
            <w:tcBorders>
              <w:bottom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lang w:val="en-US" w:eastAsia="zh-CN"/>
              </w:rPr>
              <w:t>行政</w:t>
            </w:r>
            <w:r>
              <w:rPr>
                <w:rFonts w:hint="eastAsia" w:ascii="Times New Roman" w:hAnsi="Times New Roman" w:eastAsia="仿宋_GB2312" w:cs="仿宋_GB2312"/>
                <w:bCs/>
                <w:kern w:val="0"/>
                <w:sz w:val="28"/>
                <w:szCs w:val="28"/>
              </w:rPr>
              <w:t>裁决信息</w:t>
            </w: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不按要求履行生效的行政裁决等行政行为决定文书的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-100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拒不履行生效的行政裁决等行政行为决定文书的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-200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765" w:type="dxa"/>
            <w:vMerge w:val="restart"/>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失信信息</w:t>
            </w:r>
          </w:p>
        </w:tc>
        <w:tc>
          <w:tcPr>
            <w:tcW w:w="1417"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行政处罚信息</w:t>
            </w: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受到通报批评行政处罚的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处以1万元及以下罚款行政处罚的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处以1万元至10万元（含）罚款行政处罚的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-40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处以10万元至50万元（含）罚款行政处罚的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处以50万元至100万元（含）罚款行政处罚的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处以100万元以上罚款行政处罚的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处以没收违法所得、没收非法财物1万元（含）以下的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处以没收违法所得、没收非法财物1万元至5万元（含）的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-30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处以没收违法所得、没收非法财物5万元至10万元（含）的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-40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处以没收违法所得、没收非法财物10万元以上的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处以暂扣许可证件行政处罚的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处以降低资质等级行政处罚的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处以限制开展生产经营活动行政处罚的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处以限制从业行政处罚的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处以责令停产停业行政处罚的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处以吊销许可证件行政处罚的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-400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处以责令关闭行政处罚的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-400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处以永久限制开展生产经营活动行政处罚的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-400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处以终身限制从业行政处罚的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-400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受到法律、行政法规规定的其他行政处罚的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-20至</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400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restart"/>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失信信息</w:t>
            </w:r>
          </w:p>
        </w:tc>
        <w:tc>
          <w:tcPr>
            <w:tcW w:w="1417"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行政强制</w:t>
            </w:r>
          </w:p>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执行信息</w:t>
            </w:r>
          </w:p>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被实施加处罚款或者滞纳金强制执行方式的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-40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被实施划拨存款、汇款强制执行方式的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被实施拍卖或者依法处理查封、扣押的场所、设施或者财物强制执行方式的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-80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被实施排除妨碍、恢复原状强制执行方式的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-80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被实施代履行强制执行方式的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被实施其他强制执行方式的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-20至</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100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default"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lang w:val="en-US" w:eastAsia="zh-CN"/>
              </w:rPr>
              <w:t>行业评价信息</w:t>
            </w: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环保、建设、海关等其他行业主管部门发布的单一行业评价等级较低的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-5</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统计、税务等部门开展的通用行业评价等级较低的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被列入经营异常名录的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其他失信信息</w:t>
            </w: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国家和省规定的其他失信信息</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-10至</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400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严重失信主体名单信息</w:t>
            </w:r>
          </w:p>
        </w:tc>
        <w:tc>
          <w:tcPr>
            <w:tcW w:w="1417"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严重危害人民群众身体健康和生命安全</w:t>
            </w: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被认定为食品药品领域严重失信主体名单的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被认定为生态环境领域严重失信主体名单的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被认定为工程质量领域严重失信主体名单的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被认定为安全生产领域严重失信主体名单的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被认定为消防安全领域严重失信主体名单的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被认定为强制性产品认证领域严重失信主体名单的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spacing w:val="-11"/>
                <w:kern w:val="0"/>
                <w:sz w:val="28"/>
                <w:szCs w:val="28"/>
              </w:rPr>
            </w:pPr>
            <w:r>
              <w:rPr>
                <w:rFonts w:hint="eastAsia" w:ascii="Times New Roman" w:hAnsi="Times New Roman" w:eastAsia="仿宋_GB2312" w:cs="仿宋_GB2312"/>
                <w:bCs/>
                <w:spacing w:val="-11"/>
                <w:kern w:val="0"/>
                <w:sz w:val="28"/>
                <w:szCs w:val="28"/>
              </w:rPr>
              <w:t>严重破坏市场公平竞争秩序和社会正常秩序</w:t>
            </w: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被认定为贿赂行为严重失信主体名单的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被认定为逃税骗税严重失信主体名单的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被认定为恶意逃废债务严重失信主体名单的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spacing w:val="-20"/>
                <w:kern w:val="0"/>
                <w:sz w:val="28"/>
                <w:szCs w:val="28"/>
              </w:rPr>
            </w:pPr>
            <w:r>
              <w:rPr>
                <w:rFonts w:hint="eastAsia" w:ascii="Times New Roman" w:hAnsi="Times New Roman" w:eastAsia="仿宋_GB2312" w:cs="仿宋_GB2312"/>
                <w:bCs/>
                <w:spacing w:val="-20"/>
                <w:kern w:val="0"/>
                <w:sz w:val="28"/>
                <w:szCs w:val="28"/>
              </w:rPr>
              <w:t>被认定为恶意拖欠货款或服务费严重失信主体名单的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严重失信主体名单信息</w:t>
            </w:r>
          </w:p>
        </w:tc>
        <w:tc>
          <w:tcPr>
            <w:tcW w:w="1417"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严重破坏市场公平竞争秩序和社会正常秩序</w:t>
            </w: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被认定为恶意欠薪严重失信主体名单的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被认定为非法集资严重失信主体名单的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被认定为合同欺诈严重失信主体名单的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被认定为组织传销严重失信主体名单的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被认定为无证照经营严重失信主体名单的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被认定为制售假冒伪劣产品和故意侵犯知识产权严重失信主体名单的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被认定为出借和借用资质投标严重失信主体名单的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被认定为围标串标严重失信主体名单的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被认定为虚假广告严重失信主体名单的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被认定为侵害消费者或证券期货投资者合法权益严重失信主体名单的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被认定为严重破坏网络空间传播秩序严重失信主体名单的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被认定为聚众扰乱社会秩序严重失信主体名单的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拒不履行法定义务严重影响司法机关公信力</w:t>
            </w: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被认定为逃避执行生效司法机关、行政机关作出的判决或决定的严重失信主体名单</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被认定为有履行能力但拒不履行司法机关、行政机关作出的判决或决定的严重失信主体名单</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法定代表人、实际控制人因职务行为被列为失信被执行人的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市场主体被列为失信被执行人的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7" w:hRule="atLeast"/>
          <w:jc w:val="center"/>
        </w:trPr>
        <w:tc>
          <w:tcPr>
            <w:tcW w:w="765"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c>
          <w:tcPr>
            <w:tcW w:w="1417"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spacing w:val="-20"/>
                <w:kern w:val="0"/>
                <w:sz w:val="28"/>
                <w:szCs w:val="28"/>
              </w:rPr>
            </w:pPr>
            <w:r>
              <w:rPr>
                <w:rFonts w:hint="eastAsia" w:ascii="Times New Roman" w:hAnsi="Times New Roman" w:eastAsia="仿宋_GB2312" w:cs="仿宋_GB2312"/>
                <w:bCs/>
                <w:spacing w:val="-20"/>
                <w:kern w:val="0"/>
                <w:sz w:val="28"/>
                <w:szCs w:val="28"/>
              </w:rPr>
              <w:t>其他严重失信主体名单</w:t>
            </w:r>
          </w:p>
        </w:tc>
        <w:tc>
          <w:tcPr>
            <w:tcW w:w="5954"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国家和省规定的其他严重失信主体名单的</w:t>
            </w:r>
          </w:p>
        </w:tc>
        <w:tc>
          <w:tcPr>
            <w:tcW w:w="911"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89" w:type="dxa"/>
            <w:shd w:val="clear" w:color="auto" w:fill="FFFFFF"/>
            <w:noWrap w:val="0"/>
            <w:tcMar>
              <w:top w:w="14" w:type="dxa"/>
              <w:left w:w="14" w:type="dxa"/>
              <w:bottom w:w="0" w:type="dxa"/>
              <w:right w:w="14" w:type="dxa"/>
            </w:tcMar>
            <w:vAlign w:val="center"/>
          </w:tcPr>
          <w:p>
            <w:pPr>
              <w:keepNext w:val="0"/>
              <w:keepLines w:val="0"/>
              <w:pageBreakBefore w:val="0"/>
              <w:widowControl/>
              <w:kinsoku/>
              <w:overflowPunct/>
              <w:topLinePunct w:val="0"/>
              <w:bidi w:val="0"/>
              <w:snapToGrid w:val="0"/>
              <w:spacing w:line="560" w:lineRule="exact"/>
              <w:jc w:val="center"/>
              <w:textAlignment w:val="auto"/>
              <w:rPr>
                <w:rFonts w:hint="eastAsia" w:ascii="Times New Roman" w:hAnsi="Times New Roman" w:eastAsia="仿宋_GB2312" w:cs="仿宋_GB2312"/>
                <w:bCs/>
                <w:kern w:val="0"/>
                <w:sz w:val="28"/>
                <w:szCs w:val="28"/>
              </w:rPr>
            </w:pPr>
          </w:p>
        </w:tc>
      </w:tr>
    </w:tbl>
    <w:p>
      <w:pPr>
        <w:rPr>
          <w:rFonts w:ascii="Times New Roman" w:hAnsi="Times New Roman"/>
        </w:rPr>
      </w:pPr>
    </w:p>
    <w:p>
      <w:pPr>
        <w:pStyle w:val="25"/>
        <w:keepNext w:val="0"/>
        <w:keepLines w:val="0"/>
        <w:pageBreakBefore w:val="0"/>
        <w:kinsoku/>
        <w:overflowPunct/>
        <w:topLinePunct w:val="0"/>
        <w:bidi w:val="0"/>
        <w:spacing w:line="560" w:lineRule="exact"/>
        <w:jc w:val="both"/>
        <w:textAlignment w:val="auto"/>
        <w:rPr>
          <w:rFonts w:ascii="Times New Roman" w:hAnsi="Times New Roman"/>
        </w:rPr>
      </w:pPr>
    </w:p>
    <w:p>
      <w:pPr>
        <w:pStyle w:val="25"/>
        <w:keepNext w:val="0"/>
        <w:keepLines w:val="0"/>
        <w:pageBreakBefore w:val="0"/>
        <w:kinsoku/>
        <w:overflowPunct/>
        <w:topLinePunct w:val="0"/>
        <w:bidi w:val="0"/>
        <w:spacing w:line="560" w:lineRule="exact"/>
        <w:jc w:val="both"/>
        <w:textAlignment w:val="auto"/>
        <w:rPr>
          <w:rFonts w:ascii="Times New Roman" w:hAnsi="Times New Roman"/>
        </w:rPr>
      </w:pPr>
    </w:p>
    <w:p>
      <w:pPr>
        <w:pStyle w:val="25"/>
        <w:keepNext w:val="0"/>
        <w:keepLines w:val="0"/>
        <w:pageBreakBefore w:val="0"/>
        <w:kinsoku/>
        <w:overflowPunct/>
        <w:topLinePunct w:val="0"/>
        <w:bidi w:val="0"/>
        <w:spacing w:line="560" w:lineRule="exact"/>
        <w:jc w:val="both"/>
        <w:textAlignment w:val="auto"/>
        <w:rPr>
          <w:rFonts w:ascii="Times New Roman" w:hAnsi="Times New Roman"/>
        </w:rPr>
      </w:pPr>
    </w:p>
    <w:p>
      <w:pPr>
        <w:pStyle w:val="25"/>
        <w:keepNext w:val="0"/>
        <w:keepLines w:val="0"/>
        <w:pageBreakBefore w:val="0"/>
        <w:kinsoku/>
        <w:overflowPunct/>
        <w:topLinePunct w:val="0"/>
        <w:bidi w:val="0"/>
        <w:spacing w:line="560" w:lineRule="exact"/>
        <w:jc w:val="both"/>
        <w:textAlignment w:val="auto"/>
        <w:rPr>
          <w:rFonts w:ascii="Times New Roman" w:hAnsi="Times New Roman"/>
        </w:rPr>
      </w:pPr>
    </w:p>
    <w:p>
      <w:pPr>
        <w:pStyle w:val="25"/>
        <w:keepNext w:val="0"/>
        <w:keepLines w:val="0"/>
        <w:pageBreakBefore w:val="0"/>
        <w:kinsoku/>
        <w:overflowPunct/>
        <w:topLinePunct w:val="0"/>
        <w:bidi w:val="0"/>
        <w:spacing w:line="560" w:lineRule="exact"/>
        <w:jc w:val="both"/>
        <w:textAlignment w:val="auto"/>
        <w:rPr>
          <w:rFonts w:ascii="Times New Roman" w:hAnsi="Times New Roman"/>
        </w:rPr>
      </w:pPr>
    </w:p>
    <w:p>
      <w:pPr>
        <w:pStyle w:val="25"/>
        <w:keepNext w:val="0"/>
        <w:keepLines w:val="0"/>
        <w:pageBreakBefore w:val="0"/>
        <w:kinsoku/>
        <w:overflowPunct/>
        <w:topLinePunct w:val="0"/>
        <w:bidi w:val="0"/>
        <w:spacing w:line="560" w:lineRule="exact"/>
        <w:jc w:val="both"/>
        <w:textAlignment w:val="auto"/>
        <w:rPr>
          <w:rFonts w:ascii="Times New Roman" w:hAnsi="Times New Roman"/>
        </w:rPr>
      </w:pPr>
    </w:p>
    <w:p>
      <w:pPr>
        <w:pStyle w:val="25"/>
        <w:keepNext w:val="0"/>
        <w:keepLines w:val="0"/>
        <w:pageBreakBefore w:val="0"/>
        <w:kinsoku/>
        <w:overflowPunct/>
        <w:topLinePunct w:val="0"/>
        <w:bidi w:val="0"/>
        <w:spacing w:line="560" w:lineRule="exact"/>
        <w:jc w:val="both"/>
        <w:textAlignment w:val="auto"/>
        <w:rPr>
          <w:rFonts w:ascii="Times New Roman" w:hAnsi="Times New Roman"/>
        </w:rPr>
      </w:pPr>
    </w:p>
    <w:p>
      <w:pPr>
        <w:pStyle w:val="25"/>
        <w:keepNext w:val="0"/>
        <w:keepLines w:val="0"/>
        <w:pageBreakBefore w:val="0"/>
        <w:kinsoku/>
        <w:overflowPunct/>
        <w:topLinePunct w:val="0"/>
        <w:bidi w:val="0"/>
        <w:spacing w:line="560" w:lineRule="exact"/>
        <w:jc w:val="both"/>
        <w:textAlignment w:val="auto"/>
        <w:rPr>
          <w:rFonts w:ascii="Times New Roman" w:hAnsi="Times New Roman"/>
        </w:rPr>
      </w:pPr>
    </w:p>
    <w:p>
      <w:pPr>
        <w:pStyle w:val="25"/>
        <w:keepNext w:val="0"/>
        <w:keepLines w:val="0"/>
        <w:pageBreakBefore w:val="0"/>
        <w:kinsoku/>
        <w:overflowPunct/>
        <w:topLinePunct w:val="0"/>
        <w:bidi w:val="0"/>
        <w:spacing w:line="560" w:lineRule="exact"/>
        <w:jc w:val="both"/>
        <w:textAlignment w:val="auto"/>
        <w:rPr>
          <w:rFonts w:ascii="Times New Roman" w:hAnsi="Times New Roman"/>
        </w:rPr>
      </w:pPr>
    </w:p>
    <w:p>
      <w:pPr>
        <w:pStyle w:val="25"/>
        <w:keepNext w:val="0"/>
        <w:keepLines w:val="0"/>
        <w:pageBreakBefore w:val="0"/>
        <w:kinsoku/>
        <w:overflowPunct/>
        <w:topLinePunct w:val="0"/>
        <w:bidi w:val="0"/>
        <w:spacing w:line="560" w:lineRule="exact"/>
        <w:jc w:val="both"/>
        <w:textAlignment w:val="auto"/>
        <w:rPr>
          <w:rFonts w:ascii="Times New Roman" w:hAnsi="Times New Roman"/>
        </w:rPr>
      </w:pPr>
    </w:p>
    <w:p>
      <w:pPr>
        <w:pStyle w:val="25"/>
        <w:keepNext w:val="0"/>
        <w:keepLines w:val="0"/>
        <w:pageBreakBefore w:val="0"/>
        <w:kinsoku/>
        <w:overflowPunct/>
        <w:topLinePunct w:val="0"/>
        <w:bidi w:val="0"/>
        <w:spacing w:line="560" w:lineRule="exact"/>
        <w:jc w:val="both"/>
        <w:textAlignment w:val="auto"/>
        <w:rPr>
          <w:rFonts w:ascii="Times New Roman" w:hAnsi="Times New Roman"/>
        </w:rPr>
      </w:pPr>
    </w:p>
    <w:p>
      <w:pPr>
        <w:pStyle w:val="25"/>
        <w:keepNext w:val="0"/>
        <w:keepLines w:val="0"/>
        <w:pageBreakBefore w:val="0"/>
        <w:kinsoku/>
        <w:overflowPunct/>
        <w:topLinePunct w:val="0"/>
        <w:bidi w:val="0"/>
        <w:spacing w:line="560" w:lineRule="exact"/>
        <w:jc w:val="both"/>
        <w:textAlignment w:val="auto"/>
        <w:rPr>
          <w:rFonts w:ascii="Times New Roman" w:hAnsi="Times New Roman"/>
        </w:rPr>
      </w:pPr>
    </w:p>
    <w:p>
      <w:pPr>
        <w:pStyle w:val="25"/>
        <w:keepNext w:val="0"/>
        <w:keepLines w:val="0"/>
        <w:pageBreakBefore w:val="0"/>
        <w:kinsoku/>
        <w:overflowPunct/>
        <w:topLinePunct w:val="0"/>
        <w:bidi w:val="0"/>
        <w:spacing w:line="560" w:lineRule="exact"/>
        <w:jc w:val="both"/>
        <w:textAlignment w:val="auto"/>
        <w:rPr>
          <w:rFonts w:ascii="Times New Roman" w:hAnsi="Times New Roman"/>
        </w:rPr>
      </w:pPr>
    </w:p>
    <w:p>
      <w:pPr>
        <w:pStyle w:val="25"/>
        <w:keepNext w:val="0"/>
        <w:keepLines w:val="0"/>
        <w:pageBreakBefore w:val="0"/>
        <w:kinsoku/>
        <w:overflowPunct/>
        <w:topLinePunct w:val="0"/>
        <w:bidi w:val="0"/>
        <w:spacing w:line="560" w:lineRule="exact"/>
        <w:jc w:val="both"/>
        <w:textAlignment w:val="auto"/>
        <w:rPr>
          <w:rFonts w:ascii="Times New Roman" w:hAnsi="Times New Roman"/>
        </w:rPr>
      </w:pPr>
    </w:p>
    <w:p>
      <w:pPr>
        <w:pStyle w:val="25"/>
        <w:keepNext w:val="0"/>
        <w:keepLines w:val="0"/>
        <w:pageBreakBefore w:val="0"/>
        <w:kinsoku/>
        <w:overflowPunct/>
        <w:topLinePunct w:val="0"/>
        <w:bidi w:val="0"/>
        <w:spacing w:line="560" w:lineRule="exact"/>
        <w:jc w:val="both"/>
        <w:textAlignment w:val="auto"/>
        <w:rPr>
          <w:rFonts w:ascii="Times New Roman" w:hAnsi="Times New Roman"/>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480" w:lineRule="exact"/>
        <w:rPr>
          <w:rFonts w:ascii="Times New Roman" w:hAnsi="Times New Roman" w:eastAsia="仿宋_GB2312" w:cs="Times New Roman"/>
          <w:color w:val="auto"/>
          <w:szCs w:val="32"/>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480" w:lineRule="exact"/>
        <w:rPr>
          <w:rFonts w:ascii="Times New Roman" w:hAnsi="Times New Roman" w:eastAsia="仿宋_GB2312"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center"/>
        <w:rPr>
          <w:rFonts w:hint="eastAsia" w:ascii="仿宋" w:hAnsi="仿宋" w:eastAsia="仿宋_GB2312"/>
          <w:color w:val="auto"/>
          <w:sz w:val="28"/>
          <w:szCs w:val="28"/>
          <w:lang w:eastAsia="zh-CN"/>
        </w:rPr>
      </w:pPr>
      <w:r>
        <w:rPr>
          <w:rFonts w:ascii="Times New Roman" w:hAnsi="Times New Roman" w:eastAsia="仿宋_GB2312" w:cs="Times New Roman"/>
          <w:color w:val="auto"/>
          <w:sz w:val="28"/>
          <w:szCs w:val="28"/>
        </w:rPr>
        <w:t>抄送：区委办公室，区人大常委会办公室，区政协办公室，</w:t>
      </w:r>
      <w:r>
        <w:rPr>
          <w:rFonts w:hint="eastAsia" w:ascii="仿宋" w:hAnsi="仿宋" w:eastAsia="仿宋_GB2312"/>
          <w:color w:val="auto"/>
          <w:sz w:val="28"/>
          <w:szCs w:val="28"/>
          <w:lang w:eastAsia="zh-CN"/>
        </w:rPr>
        <w:t>区监委，</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center"/>
        <w:rPr>
          <w:rFonts w:ascii="Times New Roman" w:hAnsi="Times New Roman" w:eastAsia="仿宋_GB2312" w:cs="Times New Roman"/>
          <w:color w:val="auto"/>
          <w:szCs w:val="32"/>
        </w:rPr>
      </w:pPr>
      <w:r>
        <w:rPr>
          <w:rFonts w:ascii="Times New Roman" w:hAnsi="Times New Roman" w:eastAsia="仿宋_GB2312" w:cs="Times New Roman"/>
          <w:color w:val="auto"/>
          <w:sz w:val="28"/>
          <w:szCs w:val="28"/>
        </w:rPr>
        <w:t>区法院，区检察院。</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ind w:firstLine="280" w:firstLineChars="100"/>
        <w:textAlignment w:val="center"/>
        <w:rPr>
          <w:rFonts w:ascii="Times New Roman" w:hAnsi="Times New Roman" w:cs="Times New Roman"/>
          <w:color w:val="auto"/>
        </w:rPr>
      </w:pPr>
      <w:r>
        <w:rPr>
          <w:rFonts w:ascii="Times New Roman" w:hAnsi="Times New Roman" w:eastAsia="仿宋_GB2312" w:cs="Times New Roman"/>
          <w:color w:val="auto"/>
          <w:sz w:val="28"/>
          <w:szCs w:val="28"/>
        </w:rPr>
        <w:t>淄博市张店区人民政府办公室            2021年1</w:t>
      </w:r>
      <w:r>
        <w:rPr>
          <w:rFonts w:hint="eastAsia" w:ascii="Times New Roman" w:hAnsi="Times New Roman" w:eastAsia="仿宋_GB2312" w:cs="Times New Roman"/>
          <w:color w:val="auto"/>
          <w:sz w:val="28"/>
          <w:szCs w:val="28"/>
          <w:lang w:val="en-US" w:eastAsia="zh-CN"/>
        </w:rPr>
        <w:t>2</w:t>
      </w:r>
      <w:r>
        <w:rPr>
          <w:rFonts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31</w:t>
      </w:r>
      <w:r>
        <w:rPr>
          <w:rFonts w:ascii="Times New Roman" w:hAnsi="Times New Roman" w:eastAsia="仿宋_GB2312" w:cs="Times New Roman"/>
          <w:color w:val="auto"/>
          <w:sz w:val="28"/>
          <w:szCs w:val="28"/>
        </w:rPr>
        <w:t>日印发</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ZDDR-2021-0010005</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仿宋_GB2312" w:cs="仿宋_GB2312"/>
          <w:sz w:val="32"/>
          <w:szCs w:val="32"/>
          <w:lang w:val="en-US" w:eastAsia="zh-CN"/>
        </w:rPr>
      </w:pPr>
    </w:p>
    <w:p>
      <w:pPr>
        <w:pStyle w:val="12"/>
        <w:ind w:left="0" w:leftChars="0" w:firstLine="0" w:firstLineChars="0"/>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仿宋_GB2312"/>
          <w:spacing w:val="10"/>
          <w:sz w:val="32"/>
        </w:rPr>
      </w:pPr>
      <w:r>
        <w:rPr>
          <w:rFonts w:hint="eastAsia" w:ascii="Times New Roman" w:hAnsi="Times New Roman" w:eastAsia="仿宋_GB2312"/>
          <w:spacing w:val="10"/>
          <w:sz w:val="32"/>
        </w:rPr>
        <w:t>张政字〔20</w:t>
      </w:r>
      <w:r>
        <w:rPr>
          <w:rFonts w:hint="eastAsia" w:ascii="Times New Roman" w:hAnsi="Times New Roman" w:eastAsia="仿宋_GB2312"/>
          <w:spacing w:val="10"/>
          <w:sz w:val="32"/>
          <w:lang w:val="en-US" w:eastAsia="zh-CN"/>
        </w:rPr>
        <w:t>21</w:t>
      </w:r>
      <w:r>
        <w:rPr>
          <w:rFonts w:hint="eastAsia" w:ascii="Times New Roman" w:hAnsi="Times New Roman" w:eastAsia="仿宋_GB2312"/>
          <w:spacing w:val="10"/>
          <w:sz w:val="32"/>
        </w:rPr>
        <w:t>〕</w:t>
      </w:r>
      <w:r>
        <w:rPr>
          <w:rFonts w:hint="eastAsia" w:ascii="Times New Roman" w:hAnsi="Times New Roman" w:eastAsia="仿宋_GB2312"/>
          <w:spacing w:val="10"/>
          <w:sz w:val="32"/>
          <w:lang w:val="en-US" w:eastAsia="zh-CN"/>
        </w:rPr>
        <w:t>88</w:t>
      </w:r>
      <w:r>
        <w:rPr>
          <w:rFonts w:hint="eastAsia" w:ascii="Times New Roman" w:hAnsi="Times New Roman" w:eastAsia="仿宋_GB2312"/>
          <w:spacing w:val="10"/>
          <w:sz w:val="32"/>
        </w:rPr>
        <w:t>号</w:t>
      </w:r>
    </w:p>
    <w:p>
      <w:pPr>
        <w:pStyle w:val="12"/>
        <w:rPr>
          <w:rFonts w:hint="default" w:ascii="Times New Roman" w:hAnsi="Times New Roman"/>
          <w:sz w:val="32"/>
          <w:szCs w:val="32"/>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28"/>
        </w:rPr>
      </w:pPr>
      <w:r>
        <w:rPr>
          <w:rFonts w:hint="default" w:ascii="Times New Roman" w:hAnsi="Times New Roman" w:eastAsia="方正小标宋简体" w:cs="Times New Roman"/>
          <w:sz w:val="44"/>
          <w:szCs w:val="28"/>
          <w:lang w:val="en-US" w:eastAsia="zh-CN"/>
        </w:rPr>
        <w:t>张店区</w:t>
      </w:r>
      <w:r>
        <w:rPr>
          <w:rFonts w:hint="default" w:ascii="Times New Roman" w:hAnsi="Times New Roman" w:eastAsia="方正小标宋简体" w:cs="Times New Roman"/>
          <w:sz w:val="44"/>
          <w:szCs w:val="28"/>
        </w:rPr>
        <w:t>人民政府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rPr>
      </w:pPr>
      <w:r>
        <w:rPr>
          <w:rFonts w:hint="default" w:ascii="Times New Roman" w:hAnsi="Times New Roman" w:eastAsia="方正小标宋简体" w:cs="Times New Roman"/>
          <w:sz w:val="44"/>
          <w:szCs w:val="28"/>
        </w:rPr>
        <w:t>关于印发</w:t>
      </w:r>
      <w:r>
        <w:rPr>
          <w:rFonts w:hint="eastAsia" w:ascii="Times New Roman" w:hAnsi="Times New Roman" w:eastAsia="方正小标宋简体" w:cs="方正小标宋简体"/>
          <w:color w:val="auto"/>
          <w:sz w:val="44"/>
          <w:szCs w:val="44"/>
        </w:rPr>
        <w:t>张店区公职人员诚信建设工作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文星标宋" w:cs="Times New Roman"/>
          <w:sz w:val="44"/>
          <w:szCs w:val="28"/>
        </w:rPr>
      </w:pPr>
      <w:r>
        <w:rPr>
          <w:rFonts w:hint="eastAsia" w:ascii="Times New Roman" w:hAnsi="Times New Roman" w:eastAsia="方正小标宋简体" w:cs="方正小标宋简体"/>
          <w:color w:val="auto"/>
          <w:sz w:val="44"/>
          <w:szCs w:val="44"/>
        </w:rPr>
        <w:t>实施方案</w:t>
      </w:r>
      <w:r>
        <w:rPr>
          <w:rFonts w:hint="eastAsia" w:ascii="Times New Roman" w:hAnsi="Times New Roman" w:eastAsia="方正小标宋简体" w:cs="方正小标宋简体"/>
          <w:bCs/>
          <w:color w:val="auto"/>
          <w:sz w:val="44"/>
          <w:szCs w:val="44"/>
        </w:rPr>
        <w:t>（</w:t>
      </w:r>
      <w:r>
        <w:rPr>
          <w:rFonts w:hint="eastAsia" w:ascii="Times New Roman" w:hAnsi="Times New Roman" w:eastAsia="方正小标宋简体" w:cs="方正小标宋简体"/>
          <w:bCs/>
          <w:color w:val="auto"/>
          <w:sz w:val="44"/>
          <w:szCs w:val="44"/>
          <w:lang w:val="en-US" w:eastAsia="zh-CN"/>
        </w:rPr>
        <w:t>试行</w:t>
      </w:r>
      <w:r>
        <w:rPr>
          <w:rFonts w:hint="eastAsia" w:ascii="Times New Roman" w:hAnsi="Times New Roman" w:eastAsia="方正小标宋简体" w:cs="方正小标宋简体"/>
          <w:bCs/>
          <w:color w:val="auto"/>
          <w:sz w:val="44"/>
          <w:szCs w:val="44"/>
        </w:rPr>
        <w:t>）</w:t>
      </w:r>
      <w:r>
        <w:rPr>
          <w:rFonts w:hint="eastAsia" w:ascii="Times New Roman" w:hAnsi="Times New Roman" w:eastAsia="方正小标宋简体" w:cs="方正小标宋简体"/>
          <w:bCs/>
          <w:color w:val="auto"/>
          <w:sz w:val="44"/>
          <w:szCs w:val="44"/>
          <w:lang w:eastAsia="zh-CN"/>
        </w:rPr>
        <w:t>的</w:t>
      </w:r>
      <w:r>
        <w:rPr>
          <w:rFonts w:hint="default" w:ascii="Times New Roman" w:hAnsi="Times New Roman" w:eastAsia="方正小标宋简体" w:cs="Times New Roman"/>
          <w:sz w:val="44"/>
          <w:szCs w:val="28"/>
        </w:rPr>
        <w:t>通知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各</w:t>
      </w:r>
      <w:r>
        <w:rPr>
          <w:rFonts w:hint="default" w:ascii="Times New Roman" w:hAnsi="Times New Roman" w:eastAsia="仿宋_GB2312" w:cs="Times New Roman"/>
          <w:sz w:val="32"/>
          <w:szCs w:val="28"/>
          <w:lang w:val="en-US" w:eastAsia="zh-CN"/>
        </w:rPr>
        <w:t>镇政府、街道办事处</w:t>
      </w:r>
      <w:r>
        <w:rPr>
          <w:rFonts w:hint="eastAsia" w:ascii="Times New Roman" w:hAnsi="Times New Roman" w:eastAsia="仿宋_GB2312" w:cs="Times New Roman"/>
          <w:sz w:val="32"/>
          <w:szCs w:val="28"/>
          <w:lang w:val="en-US" w:eastAsia="zh-CN"/>
        </w:rPr>
        <w:t>，</w:t>
      </w:r>
      <w:r>
        <w:rPr>
          <w:rFonts w:hint="default" w:ascii="Times New Roman" w:hAnsi="Times New Roman" w:eastAsia="仿宋_GB2312" w:cs="Times New Roman"/>
          <w:sz w:val="32"/>
          <w:szCs w:val="28"/>
          <w:lang w:val="en-US" w:eastAsia="zh-CN"/>
        </w:rPr>
        <w:t>区</w:t>
      </w:r>
      <w:r>
        <w:rPr>
          <w:rFonts w:hint="default" w:ascii="Times New Roman" w:hAnsi="Times New Roman" w:eastAsia="仿宋_GB2312" w:cs="Times New Roman"/>
          <w:sz w:val="32"/>
          <w:szCs w:val="28"/>
        </w:rPr>
        <w:t>政府各部门，各有关单位：</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现将</w:t>
      </w:r>
      <w:r>
        <w:rPr>
          <w:rFonts w:hint="default" w:ascii="Times New Roman" w:hAnsi="Times New Roman" w:eastAsia="仿宋_GB2312" w:cs="Times New Roman"/>
          <w:sz w:val="32"/>
          <w:szCs w:val="28"/>
          <w:lang w:val="en-US" w:eastAsia="zh-CN"/>
        </w:rPr>
        <w:t>《</w:t>
      </w:r>
      <w:r>
        <w:rPr>
          <w:rFonts w:hint="eastAsia" w:ascii="Times New Roman" w:hAnsi="Times New Roman" w:eastAsia="仿宋_GB2312" w:cs="Times New Roman"/>
          <w:sz w:val="32"/>
          <w:szCs w:val="28"/>
        </w:rPr>
        <w:t>张店区公职人员诚信建设工作实施方案（</w:t>
      </w:r>
      <w:r>
        <w:rPr>
          <w:rFonts w:hint="eastAsia" w:ascii="Times New Roman" w:hAnsi="Times New Roman" w:eastAsia="仿宋_GB2312" w:cs="Times New Roman"/>
          <w:sz w:val="32"/>
          <w:szCs w:val="28"/>
          <w:lang w:val="en-US" w:eastAsia="zh-CN"/>
        </w:rPr>
        <w:t>试行</w:t>
      </w:r>
      <w:r>
        <w:rPr>
          <w:rFonts w:hint="eastAsia" w:ascii="Times New Roman" w:hAnsi="Times New Roman" w:eastAsia="仿宋_GB2312" w:cs="Times New Roman"/>
          <w:sz w:val="32"/>
          <w:szCs w:val="28"/>
        </w:rPr>
        <w:t>）</w:t>
      </w:r>
      <w:r>
        <w:rPr>
          <w:rFonts w:hint="default" w:ascii="Times New Roman" w:hAnsi="Times New Roman" w:eastAsia="仿宋_GB2312" w:cs="Times New Roman"/>
          <w:sz w:val="32"/>
          <w:szCs w:val="28"/>
        </w:rPr>
        <w:t>》印发给你们，请认真贯彻执行。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right"/>
        <w:textAlignment w:val="auto"/>
        <w:outlineLvl w:val="9"/>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 xml:space="preserve">                    </w:t>
      </w:r>
      <w:r>
        <w:rPr>
          <w:rFonts w:hint="eastAsia" w:ascii="Times New Roman" w:hAnsi="Times New Roman" w:eastAsia="仿宋_GB2312" w:cs="Times New Roman"/>
          <w:sz w:val="32"/>
          <w:szCs w:val="28"/>
          <w:lang w:val="en-US" w:eastAsia="zh-CN"/>
        </w:rPr>
        <w:t>淄博市</w:t>
      </w:r>
      <w:r>
        <w:rPr>
          <w:rFonts w:hint="default" w:ascii="Times New Roman" w:hAnsi="Times New Roman" w:eastAsia="仿宋_GB2312" w:cs="Times New Roman"/>
          <w:sz w:val="32"/>
          <w:szCs w:val="28"/>
          <w:lang w:val="en-US" w:eastAsia="zh-CN"/>
        </w:rPr>
        <w:t>张店区</w:t>
      </w:r>
      <w:r>
        <w:rPr>
          <w:rFonts w:hint="default" w:ascii="Times New Roman" w:hAnsi="Times New Roman" w:eastAsia="仿宋_GB2312" w:cs="Times New Roman"/>
          <w:sz w:val="32"/>
          <w:szCs w:val="28"/>
        </w:rPr>
        <w:t>人民政府</w:t>
      </w:r>
      <w:r>
        <w:rPr>
          <w:rFonts w:hint="eastAsia" w:ascii="Times New Roman" w:hAnsi="Times New Roman" w:eastAsia="仿宋_GB2312" w:cs="Times New Roman"/>
          <w:sz w:val="32"/>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lang w:val="en-US" w:eastAsia="zh-CN"/>
        </w:rPr>
        <w:t xml:space="preserve">                    </w:t>
      </w:r>
      <w:r>
        <w:rPr>
          <w:rFonts w:hint="eastAsia" w:ascii="Times New Roman" w:hAnsi="Times New Roman" w:eastAsia="仿宋_GB2312" w:cs="Times New Roman"/>
          <w:sz w:val="32"/>
          <w:szCs w:val="28"/>
          <w:lang w:val="en-US" w:eastAsia="zh-CN"/>
        </w:rPr>
        <w:t xml:space="preserve">       </w:t>
      </w:r>
      <w:r>
        <w:rPr>
          <w:rFonts w:hint="eastAsia" w:ascii="Times New Roman" w:hAnsi="Times New Roman" w:eastAsia="仿宋_GB2312" w:cs="仿宋_GB2312"/>
          <w:sz w:val="32"/>
          <w:szCs w:val="28"/>
          <w:lang w:val="en-US" w:eastAsia="zh-CN"/>
        </w:rPr>
        <w:t>2021</w:t>
      </w:r>
      <w:r>
        <w:rPr>
          <w:rFonts w:hint="default" w:ascii="Times New Roman" w:hAnsi="Times New Roman" w:eastAsia="仿宋_GB2312" w:cs="Times New Roman"/>
          <w:sz w:val="32"/>
          <w:szCs w:val="28"/>
          <w:lang w:val="en-US" w:eastAsia="zh-CN"/>
        </w:rPr>
        <w:t>年</w:t>
      </w:r>
      <w:r>
        <w:rPr>
          <w:rFonts w:hint="eastAsia" w:ascii="Times New Roman" w:hAnsi="Times New Roman" w:eastAsia="仿宋_GB2312" w:cs="仿宋_GB2312"/>
          <w:sz w:val="32"/>
          <w:szCs w:val="28"/>
          <w:lang w:val="en-US" w:eastAsia="zh-CN"/>
        </w:rPr>
        <w:t>12</w:t>
      </w:r>
      <w:r>
        <w:rPr>
          <w:rFonts w:hint="default" w:ascii="Times New Roman" w:hAnsi="Times New Roman" w:eastAsia="仿宋_GB2312" w:cs="Times New Roman"/>
          <w:sz w:val="32"/>
          <w:szCs w:val="28"/>
          <w:lang w:val="en-US" w:eastAsia="zh-CN"/>
        </w:rPr>
        <w:t>月</w:t>
      </w:r>
      <w:r>
        <w:rPr>
          <w:rFonts w:hint="eastAsia" w:ascii="Times New Roman" w:hAnsi="Times New Roman" w:eastAsia="仿宋_GB2312" w:cs="Times New Roman"/>
          <w:sz w:val="32"/>
          <w:szCs w:val="28"/>
          <w:lang w:val="en-US" w:eastAsia="zh-CN"/>
        </w:rPr>
        <w:t>31</w:t>
      </w:r>
      <w:r>
        <w:rPr>
          <w:rFonts w:hint="default" w:ascii="Times New Roman" w:hAnsi="Times New Roman" w:eastAsia="仿宋_GB2312" w:cs="Times New Roman"/>
          <w:sz w:val="32"/>
          <w:szCs w:val="28"/>
        </w:rPr>
        <w:t>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（此件公开发布）</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方正小标宋简体"/>
          <w:color w:val="auto"/>
          <w:sz w:val="44"/>
          <w:szCs w:val="44"/>
        </w:rPr>
        <w:sectPr>
          <w:footerReference r:id="rId8" w:type="default"/>
          <w:pgSz w:w="11906" w:h="16838"/>
          <w:pgMar w:top="2098" w:right="1474" w:bottom="1984" w:left="1587" w:header="851" w:footer="1531" w:gutter="0"/>
          <w:pgNumType w:fmt="decimal"/>
          <w:cols w:space="720" w:num="1"/>
          <w:docGrid w:type="lines" w:linePitch="312" w:charSpace="0"/>
        </w:sectPr>
      </w:pPr>
    </w:p>
    <w:p>
      <w:pPr>
        <w:pStyle w:val="12"/>
        <w:ind w:left="0" w:leftChars="0" w:firstLine="0" w:firstLineChars="0"/>
        <w:rPr>
          <w:rFonts w:hint="eastAsia" w:ascii="Times New Roman" w:hAnsi="Times New Roman"/>
        </w:rPr>
      </w:pPr>
    </w:p>
    <w:p>
      <w:pPr>
        <w:keepNext w:val="0"/>
        <w:keepLines w:val="0"/>
        <w:pageBreakBefore w:val="0"/>
        <w:kinsoku/>
        <w:wordWrap/>
        <w:overflowPunct/>
        <w:topLinePunct w:val="0"/>
        <w:autoSpaceDE/>
        <w:autoSpaceDN/>
        <w:bidi w:val="0"/>
        <w:adjustRightInd/>
        <w:spacing w:line="560" w:lineRule="exact"/>
        <w:jc w:val="center"/>
        <w:textAlignment w:val="auto"/>
        <w:rPr>
          <w:rFonts w:ascii="Times New Roman" w:hAnsi="Times New Roman" w:eastAsia="楷体_GB2312" w:cs="楷体_GB2312"/>
          <w:bCs/>
          <w:color w:val="auto"/>
          <w:sz w:val="32"/>
          <w:szCs w:val="32"/>
        </w:rPr>
      </w:pPr>
      <w:r>
        <w:rPr>
          <w:rFonts w:hint="eastAsia" w:ascii="Times New Roman" w:hAnsi="Times New Roman" w:eastAsia="方正小标宋简体" w:cs="方正小标宋简体"/>
          <w:color w:val="auto"/>
          <w:sz w:val="44"/>
          <w:szCs w:val="44"/>
        </w:rPr>
        <w:t>张店区公职人员诚信建设工作实施方案</w:t>
      </w:r>
      <w:r>
        <w:rPr>
          <w:rFonts w:hint="eastAsia" w:ascii="Times New Roman" w:hAnsi="Times New Roman" w:eastAsia="方正小标宋简体" w:cs="方正小标宋简体"/>
          <w:bCs/>
          <w:color w:val="auto"/>
          <w:sz w:val="44"/>
          <w:szCs w:val="44"/>
        </w:rPr>
        <w:t>（</w:t>
      </w:r>
      <w:r>
        <w:rPr>
          <w:rFonts w:hint="eastAsia" w:ascii="Times New Roman" w:hAnsi="Times New Roman" w:eastAsia="方正小标宋简体" w:cs="方正小标宋简体"/>
          <w:bCs/>
          <w:color w:val="auto"/>
          <w:sz w:val="44"/>
          <w:szCs w:val="44"/>
          <w:lang w:val="en-US" w:eastAsia="zh-CN"/>
        </w:rPr>
        <w:t>试行</w:t>
      </w:r>
      <w:r>
        <w:rPr>
          <w:rFonts w:hint="eastAsia" w:ascii="Times New Roman" w:hAnsi="Times New Roman" w:eastAsia="方正小标宋简体" w:cs="方正小标宋简体"/>
          <w:bCs/>
          <w:color w:val="auto"/>
          <w:sz w:val="44"/>
          <w:szCs w:val="44"/>
        </w:rPr>
        <w:t>）</w:t>
      </w:r>
    </w:p>
    <w:p>
      <w:pPr>
        <w:keepNext w:val="0"/>
        <w:keepLines w:val="0"/>
        <w:pageBreakBefore w:val="0"/>
        <w:kinsoku/>
        <w:wordWrap/>
        <w:overflowPunct/>
        <w:topLinePunct w:val="0"/>
        <w:autoSpaceDE/>
        <w:autoSpaceDN/>
        <w:bidi w:val="0"/>
        <w:adjustRightInd/>
        <w:spacing w:line="560" w:lineRule="exact"/>
        <w:jc w:val="center"/>
        <w:textAlignment w:val="auto"/>
        <w:rPr>
          <w:rFonts w:ascii="Times New Roman" w:hAnsi="Times New Roman"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为加强政务诚信建设，推动全区公职人员诚信体系建设，充分发挥政府和公职人员在社会信用体系建设中的表率和导向作用，持续深入优化全区营商环境，根据《国务院关于加强政务诚信建设的指导意见》（国发</w:t>
      </w:r>
      <w:r>
        <w:rPr>
          <w:rFonts w:hint="eastAsia" w:ascii="Times New Roman" w:hAnsi="Times New Roman" w:eastAsia="仿宋_GB2312" w:cs="Times New Roman"/>
          <w:b w:val="0"/>
          <w:bCs/>
          <w:color w:val="auto"/>
          <w:sz w:val="32"/>
          <w:szCs w:val="32"/>
          <w:highlight w:val="none"/>
          <w:shd w:val="clear" w:color="auto" w:fill="auto"/>
        </w:rPr>
        <w:t>〔</w:t>
      </w:r>
      <w:r>
        <w:rPr>
          <w:rFonts w:hint="eastAsia" w:ascii="Times New Roman" w:hAnsi="Times New Roman" w:eastAsia="仿宋_GB2312" w:cs="仿宋_GB2312"/>
          <w:bCs/>
          <w:color w:val="auto"/>
          <w:sz w:val="32"/>
          <w:szCs w:val="32"/>
        </w:rPr>
        <w:t>2016</w:t>
      </w:r>
      <w:r>
        <w:rPr>
          <w:rFonts w:hint="eastAsia" w:ascii="Times New Roman" w:hAnsi="Times New Roman" w:eastAsia="仿宋_GB2312" w:cs="Times New Roman"/>
          <w:b w:val="0"/>
          <w:bCs/>
          <w:color w:val="auto"/>
          <w:sz w:val="32"/>
          <w:szCs w:val="32"/>
          <w:highlight w:val="none"/>
          <w:shd w:val="clear" w:color="auto" w:fill="auto"/>
        </w:rPr>
        <w:t>〕</w:t>
      </w:r>
      <w:r>
        <w:rPr>
          <w:rFonts w:hint="eastAsia" w:ascii="Times New Roman" w:hAnsi="Times New Roman" w:eastAsia="仿宋_GB2312" w:cs="仿宋_GB2312"/>
          <w:bCs/>
          <w:color w:val="auto"/>
          <w:sz w:val="32"/>
          <w:szCs w:val="32"/>
        </w:rPr>
        <w:t>76号）、《国务院办公厅关于加强个人诚信体系建设的指导意见》（国办发</w:t>
      </w:r>
      <w:r>
        <w:rPr>
          <w:rFonts w:hint="eastAsia" w:ascii="Times New Roman" w:hAnsi="Times New Roman" w:eastAsia="仿宋_GB2312" w:cs="Times New Roman"/>
          <w:b w:val="0"/>
          <w:bCs/>
          <w:color w:val="auto"/>
          <w:sz w:val="32"/>
          <w:szCs w:val="32"/>
          <w:highlight w:val="none"/>
          <w:shd w:val="clear" w:color="auto" w:fill="auto"/>
        </w:rPr>
        <w:t>〔</w:t>
      </w:r>
      <w:r>
        <w:rPr>
          <w:rFonts w:hint="eastAsia" w:ascii="Times New Roman" w:hAnsi="Times New Roman" w:eastAsia="仿宋_GB2312" w:cs="仿宋_GB2312"/>
          <w:bCs/>
          <w:color w:val="auto"/>
          <w:sz w:val="32"/>
          <w:szCs w:val="32"/>
        </w:rPr>
        <w:t>2016</w:t>
      </w:r>
      <w:r>
        <w:rPr>
          <w:rFonts w:hint="eastAsia" w:ascii="Times New Roman" w:hAnsi="Times New Roman" w:eastAsia="仿宋_GB2312" w:cs="Times New Roman"/>
          <w:b w:val="0"/>
          <w:bCs/>
          <w:color w:val="auto"/>
          <w:sz w:val="32"/>
          <w:szCs w:val="32"/>
          <w:highlight w:val="none"/>
          <w:shd w:val="clear" w:color="auto" w:fill="auto"/>
        </w:rPr>
        <w:t>〕</w:t>
      </w:r>
      <w:r>
        <w:rPr>
          <w:rFonts w:hint="eastAsia" w:ascii="Times New Roman" w:hAnsi="Times New Roman" w:eastAsia="仿宋_GB2312" w:cs="仿宋_GB2312"/>
          <w:bCs/>
          <w:color w:val="auto"/>
          <w:sz w:val="32"/>
          <w:szCs w:val="32"/>
        </w:rPr>
        <w:t>98号）、《国务院关于建立完善守信联合激励和失信联合惩戒制度加快推进社会诚信建设的指导意见》（国发</w:t>
      </w:r>
      <w:r>
        <w:rPr>
          <w:rFonts w:hint="eastAsia" w:ascii="Times New Roman" w:hAnsi="Times New Roman" w:eastAsia="仿宋_GB2312" w:cs="Times New Roman"/>
          <w:b w:val="0"/>
          <w:bCs/>
          <w:color w:val="auto"/>
          <w:sz w:val="32"/>
          <w:szCs w:val="32"/>
          <w:highlight w:val="none"/>
          <w:shd w:val="clear" w:color="auto" w:fill="auto"/>
        </w:rPr>
        <w:t>〔</w:t>
      </w:r>
      <w:r>
        <w:rPr>
          <w:rFonts w:hint="eastAsia" w:ascii="Times New Roman" w:hAnsi="Times New Roman" w:eastAsia="仿宋_GB2312" w:cs="仿宋_GB2312"/>
          <w:bCs/>
          <w:color w:val="auto"/>
          <w:sz w:val="32"/>
          <w:szCs w:val="32"/>
        </w:rPr>
        <w:t>2016</w:t>
      </w:r>
      <w:r>
        <w:rPr>
          <w:rFonts w:hint="eastAsia" w:ascii="Times New Roman" w:hAnsi="Times New Roman" w:eastAsia="仿宋_GB2312" w:cs="Times New Roman"/>
          <w:b w:val="0"/>
          <w:bCs/>
          <w:color w:val="auto"/>
          <w:sz w:val="32"/>
          <w:szCs w:val="32"/>
          <w:highlight w:val="none"/>
          <w:shd w:val="clear" w:color="auto" w:fill="auto"/>
        </w:rPr>
        <w:t>〕</w:t>
      </w:r>
      <w:r>
        <w:rPr>
          <w:rFonts w:hint="eastAsia" w:ascii="Times New Roman" w:hAnsi="Times New Roman" w:eastAsia="仿宋_GB2312" w:cs="仿宋_GB2312"/>
          <w:bCs/>
          <w:color w:val="auto"/>
          <w:sz w:val="32"/>
          <w:szCs w:val="32"/>
        </w:rPr>
        <w:t>33号）、</w:t>
      </w:r>
      <w:r>
        <w:rPr>
          <w:rFonts w:hint="eastAsia" w:ascii="Times New Roman" w:hAnsi="Times New Roman" w:eastAsia="仿宋_GB2312" w:cs="仿宋_GB2312"/>
          <w:color w:val="auto"/>
          <w:spacing w:val="-3"/>
          <w:sz w:val="32"/>
          <w:szCs w:val="32"/>
          <w:lang w:val="zh-CN"/>
        </w:rPr>
        <w:t>《</w:t>
      </w:r>
      <w:r>
        <w:rPr>
          <w:rFonts w:hint="eastAsia" w:ascii="Times New Roman" w:hAnsi="Times New Roman" w:eastAsia="仿宋_GB2312" w:cs="仿宋_GB2312"/>
          <w:color w:val="auto"/>
          <w:spacing w:val="-3"/>
          <w:sz w:val="32"/>
          <w:szCs w:val="32"/>
        </w:rPr>
        <w:t>山东省社会信用条例</w:t>
      </w:r>
      <w:r>
        <w:rPr>
          <w:rFonts w:hint="eastAsia" w:ascii="Times New Roman" w:hAnsi="Times New Roman" w:eastAsia="仿宋_GB2312" w:cs="仿宋_GB2312"/>
          <w:color w:val="auto"/>
          <w:spacing w:val="-3"/>
          <w:sz w:val="32"/>
          <w:szCs w:val="32"/>
          <w:lang w:val="zh-CN"/>
        </w:rPr>
        <w:t>》</w:t>
      </w:r>
      <w:r>
        <w:rPr>
          <w:rFonts w:hint="eastAsia" w:ascii="Times New Roman" w:hAnsi="Times New Roman" w:eastAsia="仿宋_GB2312" w:cs="仿宋_GB2312"/>
          <w:color w:val="auto"/>
          <w:kern w:val="0"/>
          <w:sz w:val="32"/>
          <w:szCs w:val="32"/>
        </w:rPr>
        <w:t>《张店区人民政府关于加强政务诚信建设的实施意见》《张店区人民政府办公室关于加强个人诚信体系建设的实施意见》等文件精神</w:t>
      </w:r>
      <w:r>
        <w:rPr>
          <w:rFonts w:hint="eastAsia" w:ascii="Times New Roman" w:hAnsi="Times New Roman" w:eastAsia="仿宋_GB2312" w:cs="仿宋_GB2312"/>
          <w:bCs/>
          <w:color w:val="auto"/>
          <w:sz w:val="32"/>
          <w:szCs w:val="32"/>
        </w:rPr>
        <w:t>，结合我区实际，制定本方案。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bCs/>
          <w:color w:val="auto"/>
          <w:sz w:val="32"/>
          <w:szCs w:val="32"/>
        </w:rPr>
      </w:pPr>
      <w:r>
        <w:rPr>
          <w:rFonts w:hint="eastAsia" w:ascii="Times New Roman" w:hAnsi="Times New Roman" w:eastAsia="黑体" w:cs="黑体"/>
          <w:bCs/>
          <w:color w:val="auto"/>
          <w:sz w:val="32"/>
          <w:szCs w:val="32"/>
        </w:rPr>
        <w:t>一、总体要求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bCs/>
          <w:color w:val="auto"/>
          <w:sz w:val="32"/>
          <w:szCs w:val="32"/>
        </w:rPr>
      </w:pPr>
      <w:r>
        <w:rPr>
          <w:rFonts w:hint="eastAsia" w:ascii="Times New Roman" w:hAnsi="Times New Roman" w:eastAsia="楷体_GB2312" w:cs="楷体_GB2312"/>
          <w:bCs/>
          <w:color w:val="auto"/>
          <w:sz w:val="32"/>
          <w:szCs w:val="32"/>
        </w:rPr>
        <w:t>（一）指导思想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以习近平新时代中国特色社会主义思想为指导，全面贯彻党的十九大精神，按照党中央、国务院、省、市和区委、区政府关于加快推进社会信用体系建设的决策部署，加快推进政务诚信和个人信用体系建设，尤其是公职人员的诚信建设。将建立公职人员信用记录、进行诚信评估、实施守信激励和失信惩戒等措施作为推进政务诚信的主要工作，不断强化公职人员诚信履职意识，建立一支守法守信、高效廉洁的公职人员队伍，树立政府公开、公正、诚信、清廉的良好形象，营造风清气正的社会风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bCs/>
          <w:color w:val="auto"/>
          <w:sz w:val="32"/>
          <w:szCs w:val="32"/>
        </w:rPr>
      </w:pPr>
      <w:r>
        <w:rPr>
          <w:rFonts w:hint="eastAsia" w:ascii="Times New Roman" w:hAnsi="Times New Roman" w:eastAsia="楷体_GB2312" w:cs="楷体_GB2312"/>
          <w:bCs/>
          <w:color w:val="auto"/>
          <w:sz w:val="32"/>
          <w:szCs w:val="32"/>
        </w:rPr>
        <w:t>（二）实施原则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坚持依法实施，规范发展，切实做到法定职责必须为、法无授权不可为，严格保护公职人员的隐私和信息安全；坚持政务公开，推进阳光行政，加强公职人员诚信建设；坚持信用记录和信用评价，记录公职人员的各项信用信息，并以此进行诚信评价，确定公职人员的诚信状况；坚持守信激励，对诚信评价优秀的公职人员的事迹进行公开公示，优先进行评优评先、提升职级或工资档位；坚持失信惩戒，加大对诚信评价不合格的公职人员的惩处，追究责任，惩戒到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bCs/>
          <w:color w:val="auto"/>
          <w:sz w:val="32"/>
          <w:szCs w:val="32"/>
        </w:rPr>
      </w:pPr>
      <w:r>
        <w:rPr>
          <w:rFonts w:hint="eastAsia" w:ascii="Times New Roman" w:hAnsi="Times New Roman" w:eastAsia="楷体_GB2312" w:cs="楷体_GB2312"/>
          <w:bCs/>
          <w:color w:val="auto"/>
          <w:sz w:val="32"/>
          <w:szCs w:val="32"/>
        </w:rPr>
        <w:t>（三）适用范围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bCs/>
          <w:color w:val="auto"/>
          <w:sz w:val="32"/>
          <w:szCs w:val="32"/>
        </w:rPr>
        <w:t>张店区各级机关事业单位在编、在岗工作人员</w:t>
      </w:r>
      <w:r>
        <w:rPr>
          <w:rFonts w:hint="eastAsia" w:ascii="Times New Roman" w:hAnsi="Times New Roman" w:eastAsia="仿宋_GB2312" w:cs="仿宋_GB2312"/>
          <w:color w:val="auto"/>
          <w:sz w:val="32"/>
          <w:szCs w:val="32"/>
        </w:rPr>
        <w:t>，村（社区）工作人员，以及其他财政供养工作人员。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bCs/>
          <w:color w:val="auto"/>
          <w:sz w:val="32"/>
          <w:szCs w:val="32"/>
        </w:rPr>
      </w:pPr>
      <w:r>
        <w:rPr>
          <w:rFonts w:hint="eastAsia" w:ascii="Times New Roman" w:hAnsi="Times New Roman" w:eastAsia="黑体" w:cs="黑体"/>
          <w:bCs/>
          <w:color w:val="auto"/>
          <w:sz w:val="32"/>
          <w:szCs w:val="32"/>
        </w:rPr>
        <w:t>二、主要任务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color w:val="auto"/>
          <w:sz w:val="32"/>
          <w:szCs w:val="32"/>
        </w:rPr>
      </w:pPr>
      <w:r>
        <w:rPr>
          <w:rFonts w:hint="eastAsia" w:ascii="Times New Roman" w:hAnsi="Times New Roman" w:eastAsia="楷体_GB2312" w:cs="楷体_GB2312"/>
          <w:bCs/>
          <w:color w:val="auto"/>
          <w:sz w:val="32"/>
          <w:szCs w:val="32"/>
        </w:rPr>
        <w:t>（一）建立公职人员信用信息数据库。</w:t>
      </w:r>
      <w:r>
        <w:rPr>
          <w:rFonts w:hint="eastAsia" w:ascii="Times New Roman" w:hAnsi="Times New Roman" w:eastAsia="仿宋_GB2312" w:cs="仿宋_GB2312"/>
          <w:bCs/>
          <w:color w:val="auto"/>
          <w:sz w:val="32"/>
          <w:szCs w:val="32"/>
        </w:rPr>
        <w:t>依托张店区公用信用信息平台</w:t>
      </w:r>
      <w:r>
        <w:rPr>
          <w:rFonts w:hint="eastAsia" w:ascii="Times New Roman" w:hAnsi="Times New Roman" w:eastAsia="仿宋_GB2312" w:cs="仿宋_GB2312"/>
          <w:bCs/>
          <w:color w:val="auto"/>
          <w:sz w:val="32"/>
          <w:szCs w:val="32"/>
          <w:lang w:eastAsia="zh-CN"/>
        </w:rPr>
        <w:t>，</w:t>
      </w:r>
      <w:r>
        <w:rPr>
          <w:rFonts w:hint="eastAsia" w:ascii="Times New Roman" w:hAnsi="Times New Roman" w:eastAsia="仿宋_GB2312" w:cs="仿宋_GB2312"/>
          <w:bCs/>
          <w:color w:val="auto"/>
          <w:sz w:val="32"/>
          <w:szCs w:val="32"/>
        </w:rPr>
        <w:t>逐步实现归集、整合公职人员的基础信息、日常信息及社会信息，构建公职人员信用信息大数据库，为开展公职人员诚信评价以及信用监管提供数据支撑。</w:t>
      </w:r>
      <w:r>
        <w:rPr>
          <w:rFonts w:hint="eastAsia" w:ascii="Times New Roman" w:hAnsi="Times New Roman" w:eastAsia="仿宋_GB2312" w:cs="仿宋_GB2312"/>
          <w:b w:val="0"/>
          <w:bCs/>
          <w:color w:val="auto"/>
          <w:sz w:val="32"/>
          <w:szCs w:val="32"/>
          <w:lang w:eastAsia="zh-CN"/>
        </w:rPr>
        <w:t>（</w:t>
      </w:r>
      <w:r>
        <w:rPr>
          <w:rFonts w:hint="eastAsia" w:ascii="Times New Roman" w:hAnsi="Times New Roman" w:eastAsia="楷体_GB2312" w:cs="楷体_GB2312"/>
          <w:b w:val="0"/>
          <w:bCs/>
          <w:color w:val="auto"/>
          <w:sz w:val="32"/>
          <w:szCs w:val="32"/>
        </w:rPr>
        <w:t>责任部门：区委宣传部牵头，</w:t>
      </w:r>
      <w:r>
        <w:rPr>
          <w:rFonts w:hint="eastAsia" w:ascii="Times New Roman" w:hAnsi="Times New Roman" w:eastAsia="楷体_GB2312" w:cs="楷体_GB2312"/>
          <w:b w:val="0"/>
          <w:bCs/>
          <w:color w:val="auto"/>
          <w:sz w:val="32"/>
          <w:szCs w:val="32"/>
          <w:lang w:eastAsia="zh-CN"/>
        </w:rPr>
        <w:t>区纪委监委机关</w:t>
      </w:r>
      <w:r>
        <w:rPr>
          <w:rFonts w:hint="eastAsia" w:ascii="Times New Roman" w:hAnsi="Times New Roman" w:eastAsia="楷体_GB2312" w:cs="楷体_GB2312"/>
          <w:b w:val="0"/>
          <w:bCs/>
          <w:color w:val="auto"/>
          <w:sz w:val="32"/>
          <w:szCs w:val="32"/>
        </w:rPr>
        <w:t>、区委组织部、区委编办、区人力资源社会保障局、</w:t>
      </w:r>
      <w:r>
        <w:rPr>
          <w:rFonts w:hint="eastAsia" w:ascii="Times New Roman" w:hAnsi="Times New Roman" w:eastAsia="楷体_GB2312" w:cs="楷体_GB2312"/>
          <w:b w:val="0"/>
          <w:bCs/>
          <w:color w:val="auto"/>
          <w:sz w:val="32"/>
          <w:szCs w:val="32"/>
          <w:lang w:eastAsia="zh-CN"/>
        </w:rPr>
        <w:t>各镇办</w:t>
      </w:r>
      <w:r>
        <w:rPr>
          <w:rFonts w:hint="eastAsia" w:ascii="Times New Roman" w:hAnsi="Times New Roman" w:eastAsia="楷体_GB2312" w:cs="楷体_GB2312"/>
          <w:b w:val="0"/>
          <w:bCs/>
          <w:color w:val="auto"/>
          <w:sz w:val="32"/>
          <w:szCs w:val="32"/>
        </w:rPr>
        <w:t>、区直相关部门配合；完成时间：2021年</w:t>
      </w:r>
      <w:r>
        <w:rPr>
          <w:rFonts w:hint="eastAsia" w:ascii="Times New Roman" w:hAnsi="Times New Roman" w:eastAsia="楷体_GB2312" w:cs="楷体_GB2312"/>
          <w:b w:val="0"/>
          <w:bCs/>
          <w:color w:val="auto"/>
          <w:sz w:val="32"/>
          <w:szCs w:val="32"/>
          <w:lang w:val="en-US" w:eastAsia="zh-CN"/>
        </w:rPr>
        <w:t>12</w:t>
      </w:r>
      <w:r>
        <w:rPr>
          <w:rFonts w:hint="eastAsia" w:ascii="Times New Roman" w:hAnsi="Times New Roman" w:eastAsia="楷体_GB2312" w:cs="楷体_GB2312"/>
          <w:b w:val="0"/>
          <w:bCs/>
          <w:color w:val="auto"/>
          <w:sz w:val="32"/>
          <w:szCs w:val="32"/>
        </w:rPr>
        <w:t>月</w:t>
      </w:r>
      <w:r>
        <w:rPr>
          <w:rFonts w:hint="eastAsia" w:ascii="Times New Roman" w:hAnsi="Times New Roman" w:eastAsia="仿宋_GB2312" w:cs="仿宋_GB2312"/>
          <w:b w:val="0"/>
          <w:bCs/>
          <w:color w:val="auto"/>
          <w:spacing w:val="-11"/>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楷体_GB2312"/>
          <w:b w:val="0"/>
          <w:bCs/>
          <w:color w:val="auto"/>
          <w:sz w:val="32"/>
          <w:szCs w:val="32"/>
          <w:lang w:eastAsia="zh-CN"/>
        </w:rPr>
      </w:pPr>
      <w:r>
        <w:rPr>
          <w:rFonts w:hint="eastAsia" w:ascii="Times New Roman" w:hAnsi="Times New Roman" w:eastAsia="楷体_GB2312" w:cs="楷体_GB2312"/>
          <w:bCs/>
          <w:color w:val="auto"/>
          <w:sz w:val="32"/>
          <w:szCs w:val="32"/>
        </w:rPr>
        <w:t>（二）开展公职人员诚信评价工作。</w:t>
      </w:r>
      <w:r>
        <w:rPr>
          <w:rFonts w:hint="eastAsia" w:ascii="Times New Roman" w:hAnsi="Times New Roman" w:eastAsia="仿宋_GB2312" w:cs="仿宋_GB2312"/>
          <w:bCs/>
          <w:color w:val="auto"/>
          <w:sz w:val="32"/>
          <w:szCs w:val="32"/>
        </w:rPr>
        <w:t>根据国家、省、市、区的有关法规政策，依托平台归集、整理、存储的信息，形成公职人员诚信记录；组织开展公职人员诚信评价，出具公职人员诚信评价得分、等级以及诚信评价报告，并依法依规开展信用信息应用工作。</w:t>
      </w:r>
      <w:r>
        <w:rPr>
          <w:rFonts w:hint="eastAsia" w:ascii="Times New Roman" w:hAnsi="Times New Roman" w:eastAsia="仿宋_GB2312" w:cs="仿宋_GB2312"/>
          <w:b w:val="0"/>
          <w:bCs/>
          <w:color w:val="auto"/>
          <w:sz w:val="32"/>
          <w:szCs w:val="32"/>
          <w:lang w:eastAsia="zh-CN"/>
        </w:rPr>
        <w:t>（</w:t>
      </w:r>
      <w:r>
        <w:rPr>
          <w:rFonts w:hint="eastAsia" w:ascii="Times New Roman" w:hAnsi="Times New Roman" w:eastAsia="楷体_GB2312" w:cs="楷体_GB2312"/>
          <w:b w:val="0"/>
          <w:bCs/>
          <w:color w:val="auto"/>
          <w:sz w:val="32"/>
          <w:szCs w:val="32"/>
          <w:lang w:eastAsia="zh-CN"/>
        </w:rPr>
        <w:t>责任部门：区委宣传部牵头，区纪委监委机关、区委组织部、区人力资源社会保障局、各镇办、区直相关部门配合；完成时间：2021年</w:t>
      </w:r>
      <w:r>
        <w:rPr>
          <w:rFonts w:hint="eastAsia" w:ascii="Times New Roman" w:hAnsi="Times New Roman" w:eastAsia="楷体_GB2312" w:cs="楷体_GB2312"/>
          <w:b w:val="0"/>
          <w:bCs/>
          <w:color w:val="auto"/>
          <w:sz w:val="32"/>
          <w:szCs w:val="32"/>
          <w:lang w:val="en-US" w:eastAsia="zh-CN"/>
        </w:rPr>
        <w:t>12</w:t>
      </w:r>
      <w:r>
        <w:rPr>
          <w:rFonts w:hint="eastAsia" w:ascii="Times New Roman" w:hAnsi="Times New Roman" w:eastAsia="楷体_GB2312" w:cs="楷体_GB2312"/>
          <w:b w:val="0"/>
          <w:bCs/>
          <w:color w:val="auto"/>
          <w:sz w:val="32"/>
          <w:szCs w:val="32"/>
          <w:lang w:eastAsia="zh-CN"/>
        </w:rPr>
        <w:t>月</w:t>
      </w:r>
      <w:r>
        <w:rPr>
          <w:rFonts w:hint="eastAsia" w:ascii="Times New Roman" w:hAnsi="Times New Roman" w:eastAsia="仿宋_GB2312" w:cs="仿宋_GB2312"/>
          <w:b w:val="0"/>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color w:val="auto"/>
          <w:sz w:val="32"/>
          <w:szCs w:val="32"/>
          <w:lang w:eastAsia="zh-CN"/>
        </w:rPr>
      </w:pPr>
      <w:r>
        <w:rPr>
          <w:rFonts w:hint="eastAsia" w:ascii="Times New Roman" w:hAnsi="Times New Roman" w:eastAsia="楷体_GB2312" w:cs="楷体_GB2312"/>
          <w:bCs/>
          <w:color w:val="auto"/>
          <w:sz w:val="32"/>
          <w:szCs w:val="32"/>
        </w:rPr>
        <w:t>（三）构建公职人员守信激励和失信惩戒机制。</w:t>
      </w:r>
      <w:r>
        <w:rPr>
          <w:rFonts w:hint="eastAsia" w:ascii="Times New Roman" w:hAnsi="Times New Roman" w:eastAsia="仿宋_GB2312" w:cs="仿宋_GB2312"/>
          <w:bCs/>
          <w:color w:val="auto"/>
          <w:sz w:val="32"/>
          <w:szCs w:val="32"/>
        </w:rPr>
        <w:t>在评优评先、干部选拔、职务晋升、工资档位上调等工作中，依法依规对守信公职人员</w:t>
      </w:r>
      <w:r>
        <w:rPr>
          <w:rFonts w:hint="eastAsia" w:ascii="Times New Roman" w:hAnsi="Times New Roman" w:eastAsia="仿宋_GB2312" w:cs="仿宋_GB2312"/>
          <w:bCs/>
          <w:color w:val="auto"/>
          <w:sz w:val="32"/>
          <w:szCs w:val="32"/>
          <w:lang w:eastAsia="zh-CN"/>
        </w:rPr>
        <w:t>在同等条件下</w:t>
      </w:r>
      <w:r>
        <w:rPr>
          <w:rFonts w:hint="eastAsia" w:ascii="Times New Roman" w:hAnsi="Times New Roman" w:eastAsia="仿宋_GB2312" w:cs="仿宋_GB2312"/>
          <w:bCs/>
          <w:color w:val="auto"/>
          <w:sz w:val="32"/>
          <w:szCs w:val="32"/>
        </w:rPr>
        <w:t>提供优先权和推荐名额，对严重失信的公职人员依法采取相应限制或惩戒措施。</w:t>
      </w:r>
      <w:r>
        <w:rPr>
          <w:rFonts w:hint="eastAsia" w:ascii="Times New Roman" w:hAnsi="Times New Roman" w:eastAsia="仿宋_GB2312" w:cs="仿宋_GB2312"/>
          <w:b w:val="0"/>
          <w:bCs/>
          <w:color w:val="auto"/>
          <w:sz w:val="32"/>
          <w:szCs w:val="32"/>
          <w:lang w:eastAsia="zh-CN"/>
        </w:rPr>
        <w:t>（</w:t>
      </w:r>
      <w:r>
        <w:rPr>
          <w:rFonts w:hint="eastAsia" w:ascii="Times New Roman" w:hAnsi="Times New Roman" w:eastAsia="楷体_GB2312" w:cs="楷体_GB2312"/>
          <w:b w:val="0"/>
          <w:bCs/>
          <w:color w:val="auto"/>
          <w:sz w:val="32"/>
          <w:szCs w:val="32"/>
          <w:lang w:eastAsia="zh-CN"/>
        </w:rPr>
        <w:t>责任部门：区委组织部牵头，区纪委监委机关、区人力资源社会保障局、各镇办、区直相关部门配合；完成时间：实时推进</w:t>
      </w:r>
      <w:r>
        <w:rPr>
          <w:rFonts w:hint="eastAsia" w:ascii="Times New Roman" w:hAnsi="Times New Roman" w:eastAsia="仿宋_GB2312" w:cs="仿宋_GB2312"/>
          <w:b w:val="0"/>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color w:val="auto"/>
          <w:sz w:val="32"/>
          <w:szCs w:val="32"/>
          <w:lang w:eastAsia="zh-CN"/>
        </w:rPr>
      </w:pPr>
      <w:r>
        <w:rPr>
          <w:rFonts w:hint="eastAsia" w:ascii="Times New Roman" w:hAnsi="Times New Roman" w:eastAsia="楷体_GB2312" w:cs="楷体_GB2312"/>
          <w:bCs/>
          <w:color w:val="auto"/>
          <w:sz w:val="32"/>
          <w:szCs w:val="32"/>
        </w:rPr>
        <w:t>（四）建立公共信用信息纠错、修复机制。</w:t>
      </w:r>
      <w:r>
        <w:rPr>
          <w:rFonts w:hint="eastAsia" w:ascii="Times New Roman" w:hAnsi="Times New Roman" w:eastAsia="仿宋_GB2312" w:cs="仿宋_GB2312"/>
          <w:bCs/>
          <w:color w:val="auto"/>
          <w:sz w:val="32"/>
          <w:szCs w:val="32"/>
        </w:rPr>
        <w:t>明确各类公共信用信息展示期限，探索通过事后主动履约、申请延期、自主解释等方式减少失信损失，通过按时履约、志愿服务、慈善捐助等方式修复信用。</w:t>
      </w:r>
      <w:r>
        <w:rPr>
          <w:rFonts w:hint="eastAsia" w:ascii="Times New Roman" w:hAnsi="Times New Roman" w:eastAsia="仿宋_GB2312" w:cs="仿宋_GB2312"/>
          <w:b w:val="0"/>
          <w:bCs/>
          <w:color w:val="auto"/>
          <w:sz w:val="32"/>
          <w:szCs w:val="32"/>
          <w:lang w:eastAsia="zh-CN"/>
        </w:rPr>
        <w:t>（</w:t>
      </w:r>
      <w:r>
        <w:rPr>
          <w:rFonts w:hint="eastAsia" w:ascii="Times New Roman" w:hAnsi="Times New Roman" w:eastAsia="楷体_GB2312" w:cs="楷体_GB2312"/>
          <w:b w:val="0"/>
          <w:bCs/>
          <w:color w:val="auto"/>
          <w:sz w:val="32"/>
          <w:szCs w:val="32"/>
          <w:lang w:eastAsia="zh-CN"/>
        </w:rPr>
        <w:t>责任部门：区发展改革局牵头，区委组织部、区委编办、区人力资源社会保障局、区民政局、各镇办、区直相关部门配合；完成时间：实时推进</w:t>
      </w:r>
      <w:r>
        <w:rPr>
          <w:rFonts w:hint="eastAsia" w:ascii="Times New Roman" w:hAnsi="Times New Roman" w:eastAsia="仿宋_GB2312" w:cs="仿宋_GB2312"/>
          <w:b w:val="0"/>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color w:val="auto"/>
          <w:sz w:val="32"/>
          <w:szCs w:val="32"/>
          <w:lang w:eastAsia="zh-CN"/>
        </w:rPr>
      </w:pPr>
      <w:r>
        <w:rPr>
          <w:rFonts w:hint="eastAsia" w:ascii="Times New Roman" w:hAnsi="Times New Roman" w:eastAsia="楷体_GB2312" w:cs="楷体_GB2312"/>
          <w:bCs/>
          <w:color w:val="auto"/>
          <w:sz w:val="32"/>
          <w:szCs w:val="32"/>
        </w:rPr>
        <w:t>（五）加强公职人员的诚信教育培训。</w:t>
      </w:r>
      <w:r>
        <w:rPr>
          <w:rFonts w:hint="eastAsia" w:ascii="Times New Roman" w:hAnsi="Times New Roman" w:eastAsia="仿宋_GB2312" w:cs="仿宋_GB2312"/>
          <w:bCs/>
          <w:color w:val="auto"/>
          <w:sz w:val="32"/>
          <w:szCs w:val="32"/>
          <w:lang w:eastAsia="zh-CN"/>
        </w:rPr>
        <w:t>按照分级分类精准常态管理原则，根据公职人员干部管理权限，由各镇办、区直各部门（单位）</w:t>
      </w:r>
      <w:r>
        <w:rPr>
          <w:rFonts w:hint="eastAsia" w:ascii="Times New Roman" w:hAnsi="Times New Roman" w:eastAsia="仿宋_GB2312" w:cs="仿宋_GB2312"/>
          <w:bCs/>
          <w:color w:val="auto"/>
          <w:sz w:val="32"/>
          <w:szCs w:val="32"/>
        </w:rPr>
        <w:t>组织开展公职人员诚信培训活动，</w:t>
      </w:r>
      <w:r>
        <w:rPr>
          <w:rFonts w:hint="eastAsia" w:ascii="Times New Roman" w:hAnsi="Times New Roman" w:eastAsia="仿宋_GB2312" w:cs="仿宋_GB2312"/>
          <w:bCs/>
          <w:color w:val="auto"/>
          <w:sz w:val="32"/>
          <w:szCs w:val="32"/>
          <w:lang w:eastAsia="zh-CN"/>
        </w:rPr>
        <w:t>提升公职人员信用意识和诚信履职能力，进一步提升政府公信力</w:t>
      </w:r>
      <w:r>
        <w:rPr>
          <w:rFonts w:hint="eastAsia" w:ascii="Times New Roman" w:hAnsi="Times New Roman" w:eastAsia="仿宋_GB2312" w:cs="仿宋_GB2312"/>
          <w:bCs/>
          <w:color w:val="auto"/>
          <w:sz w:val="32"/>
          <w:szCs w:val="32"/>
        </w:rPr>
        <w:t>。</w:t>
      </w:r>
      <w:r>
        <w:rPr>
          <w:rFonts w:hint="eastAsia" w:ascii="Times New Roman" w:hAnsi="Times New Roman" w:eastAsia="仿宋_GB2312" w:cs="仿宋_GB2312"/>
          <w:b w:val="0"/>
          <w:bCs/>
          <w:color w:val="auto"/>
          <w:sz w:val="32"/>
          <w:szCs w:val="32"/>
          <w:lang w:eastAsia="zh-CN"/>
        </w:rPr>
        <w:t>（</w:t>
      </w:r>
      <w:r>
        <w:rPr>
          <w:rFonts w:hint="eastAsia" w:ascii="Times New Roman" w:hAnsi="Times New Roman" w:eastAsia="楷体_GB2312" w:cs="楷体_GB2312"/>
          <w:b w:val="0"/>
          <w:bCs/>
          <w:color w:val="auto"/>
          <w:sz w:val="32"/>
          <w:szCs w:val="32"/>
          <w:lang w:eastAsia="zh-CN"/>
        </w:rPr>
        <w:t>责任部门：区委宣传部牵头，区委组织部、区人力资源社会保障局、各镇办、区直相关部门配合；完成时间：实时推进</w:t>
      </w:r>
      <w:r>
        <w:rPr>
          <w:rFonts w:hint="eastAsia" w:ascii="Times New Roman" w:hAnsi="Times New Roman" w:eastAsia="仿宋_GB2312" w:cs="仿宋_GB2312"/>
          <w:b w:val="0"/>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三、信息采集认定和应用管理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楷体_GB2312" w:cs="楷体_GB2312"/>
          <w:color w:val="auto"/>
          <w:sz w:val="32"/>
          <w:szCs w:val="32"/>
        </w:rPr>
        <w:t>（一）</w:t>
      </w:r>
      <w:r>
        <w:rPr>
          <w:rFonts w:hint="eastAsia" w:ascii="Times New Roman" w:hAnsi="Times New Roman" w:eastAsia="楷体_GB2312" w:cs="楷体_GB2312"/>
          <w:bCs/>
          <w:color w:val="auto"/>
          <w:sz w:val="32"/>
          <w:szCs w:val="32"/>
        </w:rPr>
        <w:t>信用信息采集工作</w:t>
      </w:r>
      <w:r>
        <w:rPr>
          <w:rFonts w:hint="eastAsia" w:ascii="Times New Roman" w:hAnsi="Times New Roman" w:eastAsia="楷体_GB2312" w:cs="楷体_GB2312"/>
          <w:color w:val="auto"/>
          <w:sz w:val="32"/>
          <w:szCs w:val="32"/>
        </w:rPr>
        <w:t>。</w:t>
      </w:r>
      <w:r>
        <w:rPr>
          <w:rFonts w:hint="eastAsia" w:ascii="Times New Roman" w:hAnsi="Times New Roman" w:eastAsia="仿宋_GB2312" w:cs="仿宋_GB2312"/>
          <w:bCs/>
          <w:color w:val="auto"/>
          <w:sz w:val="32"/>
          <w:szCs w:val="32"/>
        </w:rPr>
        <w:t>由区</w:t>
      </w:r>
      <w:r>
        <w:rPr>
          <w:rFonts w:hint="eastAsia" w:ascii="Times New Roman" w:hAnsi="Times New Roman" w:eastAsia="仿宋_GB2312" w:cs="仿宋_GB2312"/>
          <w:bCs/>
          <w:color w:val="auto"/>
          <w:sz w:val="32"/>
          <w:szCs w:val="32"/>
          <w:lang w:eastAsia="zh-CN"/>
        </w:rPr>
        <w:t>社会</w:t>
      </w:r>
      <w:r>
        <w:rPr>
          <w:rFonts w:hint="eastAsia" w:ascii="Times New Roman" w:hAnsi="Times New Roman" w:eastAsia="仿宋_GB2312" w:cs="仿宋_GB2312"/>
          <w:bCs/>
          <w:color w:val="auto"/>
          <w:sz w:val="32"/>
          <w:szCs w:val="32"/>
        </w:rPr>
        <w:t>信用中心组织实施，按季度开展，相关责任主体进行采集汇总。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楷体_GB2312" w:cs="楷体_GB2312"/>
          <w:bCs/>
          <w:color w:val="auto"/>
          <w:sz w:val="32"/>
          <w:szCs w:val="32"/>
        </w:rPr>
        <w:t>（二）采集内容。</w:t>
      </w:r>
      <w:r>
        <w:rPr>
          <w:rFonts w:hint="eastAsia" w:ascii="Times New Roman" w:hAnsi="Times New Roman" w:eastAsia="仿宋_GB2312" w:cs="仿宋_GB2312"/>
          <w:bCs/>
          <w:color w:val="auto"/>
          <w:sz w:val="32"/>
          <w:szCs w:val="32"/>
        </w:rPr>
        <w:t>信息采集内容包括基础信息、日常信息和社会信息。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基础信息是指公职人员的姓名、性别、民族、身份证号码、政治面貌、工作单位、担任职务等信息。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日常信息分为守信信息和失信信息。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守信信息是指公职人员在党建领域、国防建设、招商引资、志愿服务、社会公益、公职人员考核、表彰奖励和文体活动等方面的正面信息。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失信信息是指公职人员在政治品质和道德品行、履行职责、工作作风、廉洁自律、共产党员管理、党纪处分、政务处分和其他处理等方面的负面信息。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社会信息是指从有关部门获取的公职人员在经济社会活动中形成的守信信息和失信信息。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楷体_GB2312" w:cs="楷体_GB2312"/>
          <w:bCs/>
          <w:color w:val="auto"/>
          <w:sz w:val="32"/>
          <w:szCs w:val="32"/>
        </w:rPr>
        <w:t>（三）采集程序。</w:t>
      </w:r>
      <w:r>
        <w:rPr>
          <w:rFonts w:hint="eastAsia" w:ascii="Times New Roman" w:hAnsi="Times New Roman" w:eastAsia="仿宋_GB2312" w:cs="仿宋_GB2312"/>
          <w:bCs/>
          <w:color w:val="auto"/>
          <w:sz w:val="32"/>
          <w:szCs w:val="32"/>
        </w:rPr>
        <w:t>公职人员社会守信失信行为由相关责任主体部门采集后，将信息报区</w:t>
      </w:r>
      <w:r>
        <w:rPr>
          <w:rFonts w:hint="eastAsia" w:ascii="Times New Roman" w:hAnsi="Times New Roman" w:eastAsia="仿宋_GB2312" w:cs="仿宋_GB2312"/>
          <w:bCs/>
          <w:color w:val="auto"/>
          <w:sz w:val="32"/>
          <w:szCs w:val="32"/>
          <w:lang w:eastAsia="zh-CN"/>
        </w:rPr>
        <w:t>社会</w:t>
      </w:r>
      <w:r>
        <w:rPr>
          <w:rFonts w:hint="eastAsia" w:ascii="Times New Roman" w:hAnsi="Times New Roman" w:eastAsia="仿宋_GB2312" w:cs="仿宋_GB2312"/>
          <w:bCs/>
          <w:color w:val="auto"/>
          <w:sz w:val="32"/>
          <w:szCs w:val="32"/>
        </w:rPr>
        <w:t>信用中心和该公职人员所在单位。由区</w:t>
      </w:r>
      <w:r>
        <w:rPr>
          <w:rFonts w:hint="eastAsia" w:ascii="Times New Roman" w:hAnsi="Times New Roman" w:eastAsia="仿宋_GB2312" w:cs="仿宋_GB2312"/>
          <w:bCs/>
          <w:color w:val="auto"/>
          <w:sz w:val="32"/>
          <w:szCs w:val="32"/>
          <w:lang w:eastAsia="zh-CN"/>
        </w:rPr>
        <w:t>社会</w:t>
      </w:r>
      <w:r>
        <w:rPr>
          <w:rFonts w:hint="eastAsia" w:ascii="Times New Roman" w:hAnsi="Times New Roman" w:eastAsia="仿宋_GB2312" w:cs="仿宋_GB2312"/>
          <w:bCs/>
          <w:color w:val="auto"/>
          <w:sz w:val="32"/>
          <w:szCs w:val="32"/>
        </w:rPr>
        <w:t>信用中心进行信息审核归集和评价使用。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对于公职人员日常工作守信和失信行为，由本单位记录，报区</w:t>
      </w:r>
      <w:r>
        <w:rPr>
          <w:rFonts w:hint="eastAsia" w:ascii="Times New Roman" w:hAnsi="Times New Roman" w:eastAsia="仿宋_GB2312" w:cs="仿宋_GB2312"/>
          <w:bCs/>
          <w:color w:val="auto"/>
          <w:sz w:val="32"/>
          <w:szCs w:val="32"/>
          <w:lang w:eastAsia="zh-CN"/>
        </w:rPr>
        <w:t>社会</w:t>
      </w:r>
      <w:r>
        <w:rPr>
          <w:rFonts w:hint="eastAsia" w:ascii="Times New Roman" w:hAnsi="Times New Roman" w:eastAsia="仿宋_GB2312" w:cs="仿宋_GB2312"/>
          <w:bCs/>
          <w:color w:val="auto"/>
          <w:sz w:val="32"/>
          <w:szCs w:val="32"/>
        </w:rPr>
        <w:t>信用中心进行评价。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楷体_GB2312" w:cs="楷体_GB2312"/>
          <w:bCs/>
          <w:color w:val="auto"/>
          <w:sz w:val="32"/>
          <w:szCs w:val="32"/>
        </w:rPr>
        <w:t>（四）信用信息认定使用。</w:t>
      </w:r>
      <w:r>
        <w:rPr>
          <w:rFonts w:hint="eastAsia" w:ascii="Times New Roman" w:hAnsi="Times New Roman" w:eastAsia="仿宋_GB2312" w:cs="仿宋_GB2312"/>
          <w:bCs/>
          <w:color w:val="auto"/>
          <w:sz w:val="32"/>
          <w:szCs w:val="32"/>
        </w:rPr>
        <w:t>各责任部门负责全区公职人员守信失信信息的采集及认定。</w:t>
      </w:r>
      <w:r>
        <w:rPr>
          <w:rFonts w:hint="eastAsia" w:ascii="Times New Roman" w:hAnsi="Times New Roman" w:eastAsia="仿宋_GB2312" w:cs="仿宋_GB2312"/>
          <w:bCs/>
          <w:color w:val="auto"/>
          <w:sz w:val="32"/>
          <w:szCs w:val="32"/>
          <w:lang w:eastAsia="zh-CN"/>
        </w:rPr>
        <w:t>区社会信用中心</w:t>
      </w:r>
      <w:r>
        <w:rPr>
          <w:rFonts w:hint="eastAsia" w:ascii="Times New Roman" w:hAnsi="Times New Roman" w:eastAsia="仿宋_GB2312" w:cs="仿宋_GB2312"/>
          <w:bCs/>
          <w:color w:val="auto"/>
          <w:sz w:val="32"/>
          <w:szCs w:val="32"/>
        </w:rPr>
        <w:t>负责将认定结果记录在公职人员信用管理系统及个人诚信档案，定期将全区公职人员信用情况进行通报，并按本规定由相关部门对守信失信人员实施激励或惩戒。</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仿宋_GB2312"/>
          <w:bCs/>
          <w:color w:val="auto"/>
          <w:sz w:val="32"/>
          <w:szCs w:val="32"/>
        </w:rPr>
      </w:pPr>
      <w:r>
        <w:rPr>
          <w:rFonts w:hint="eastAsia" w:ascii="Times New Roman" w:hAnsi="Times New Roman" w:eastAsia="楷体_GB2312" w:cs="楷体_GB2312"/>
          <w:bCs/>
          <w:color w:val="auto"/>
          <w:sz w:val="32"/>
          <w:szCs w:val="32"/>
        </w:rPr>
        <w:t>（五）信用评价时效。</w:t>
      </w:r>
      <w:r>
        <w:rPr>
          <w:rFonts w:hint="eastAsia" w:ascii="Times New Roman" w:hAnsi="Times New Roman" w:eastAsia="仿宋_GB2312" w:cs="仿宋_GB2312"/>
          <w:bCs/>
          <w:color w:val="auto"/>
          <w:sz w:val="32"/>
          <w:szCs w:val="32"/>
        </w:rPr>
        <w:t>信用评价有效期一般为1年，情节较为严重的，经</w:t>
      </w:r>
      <w:r>
        <w:rPr>
          <w:rFonts w:hint="eastAsia" w:ascii="Times New Roman" w:hAnsi="Times New Roman" w:eastAsia="仿宋_GB2312" w:cs="仿宋_GB2312"/>
          <w:bCs/>
          <w:color w:val="auto"/>
          <w:sz w:val="32"/>
          <w:szCs w:val="32"/>
          <w:lang w:eastAsia="zh-CN"/>
        </w:rPr>
        <w:t>区社会信用中心</w:t>
      </w:r>
      <w:r>
        <w:rPr>
          <w:rFonts w:hint="eastAsia" w:ascii="Times New Roman" w:hAnsi="Times New Roman" w:eastAsia="仿宋_GB2312" w:cs="仿宋_GB2312"/>
          <w:bCs/>
          <w:color w:val="auto"/>
          <w:sz w:val="32"/>
          <w:szCs w:val="32"/>
        </w:rPr>
        <w:t>决定，延长至2年。</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仿宋_GB2312"/>
          <w:bCs/>
          <w:color w:val="auto"/>
          <w:sz w:val="32"/>
          <w:szCs w:val="32"/>
        </w:rPr>
      </w:pPr>
      <w:r>
        <w:rPr>
          <w:rFonts w:hint="eastAsia" w:ascii="Times New Roman" w:hAnsi="Times New Roman" w:eastAsia="楷体_GB2312" w:cs="楷体_GB2312"/>
          <w:bCs/>
          <w:color w:val="auto"/>
          <w:sz w:val="32"/>
          <w:szCs w:val="32"/>
        </w:rPr>
        <w:t>（六）信用管理评价结果的确定和发布。</w:t>
      </w:r>
      <w:r>
        <w:rPr>
          <w:rFonts w:hint="eastAsia" w:ascii="Times New Roman" w:hAnsi="Times New Roman" w:eastAsia="仿宋_GB2312" w:cs="仿宋_GB2312"/>
          <w:bCs/>
          <w:color w:val="auto"/>
          <w:sz w:val="32"/>
          <w:szCs w:val="32"/>
        </w:rPr>
        <w:t>每年1月确定上一年度公职人员信用评价结果，并对有异议的评价结果进行复评，对全区公职人员信用级别实行动态调整。相关部门认为信用信息应该记录的，可以向</w:t>
      </w:r>
      <w:r>
        <w:rPr>
          <w:rFonts w:hint="eastAsia" w:ascii="Times New Roman" w:hAnsi="Times New Roman" w:eastAsia="仿宋_GB2312" w:cs="仿宋_GB2312"/>
          <w:bCs/>
          <w:color w:val="auto"/>
          <w:sz w:val="32"/>
          <w:szCs w:val="32"/>
          <w:lang w:eastAsia="zh-CN"/>
        </w:rPr>
        <w:t>区社会信用中心</w:t>
      </w:r>
      <w:r>
        <w:rPr>
          <w:rFonts w:hint="eastAsia" w:ascii="Times New Roman" w:hAnsi="Times New Roman" w:eastAsia="仿宋_GB2312" w:cs="仿宋_GB2312"/>
          <w:bCs/>
          <w:color w:val="auto"/>
          <w:sz w:val="32"/>
          <w:szCs w:val="32"/>
        </w:rPr>
        <w:t>申请补充单位信用评价信息，</w:t>
      </w:r>
      <w:r>
        <w:rPr>
          <w:rFonts w:hint="eastAsia" w:ascii="Times New Roman" w:hAnsi="Times New Roman" w:eastAsia="仿宋_GB2312" w:cs="仿宋_GB2312"/>
          <w:bCs/>
          <w:color w:val="auto"/>
          <w:sz w:val="32"/>
          <w:szCs w:val="32"/>
          <w:lang w:eastAsia="zh-CN"/>
        </w:rPr>
        <w:t>区社会信用中心</w:t>
      </w:r>
      <w:r>
        <w:rPr>
          <w:rFonts w:hint="eastAsia" w:ascii="Times New Roman" w:hAnsi="Times New Roman" w:eastAsia="仿宋_GB2312" w:cs="仿宋_GB2312"/>
          <w:bCs/>
          <w:color w:val="auto"/>
          <w:sz w:val="32"/>
          <w:szCs w:val="32"/>
        </w:rPr>
        <w:t>应按相关规定处理。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四、信用信息评价标准及应用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公职人员信用管理采取积分制，并依据积分开展信用评价，实行星级管理：</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仿宋_GB2312"/>
          <w:color w:val="auto"/>
          <w:kern w:val="0"/>
          <w:sz w:val="32"/>
          <w:szCs w:val="32"/>
          <w:lang w:val="zh-CN"/>
        </w:rPr>
      </w:pPr>
      <w:r>
        <w:rPr>
          <w:rFonts w:hint="eastAsia" w:ascii="Times New Roman" w:hAnsi="Times New Roman" w:eastAsia="仿宋_GB2312" w:cs="仿宋_GB2312"/>
          <w:color w:val="auto"/>
          <w:kern w:val="0"/>
          <w:sz w:val="32"/>
          <w:szCs w:val="32"/>
          <w:lang w:val="zh-CN"/>
        </w:rPr>
        <w:t>依据公职人员年度信用得分，自高到低依次设六星、五星、四星、三星、二星、一星六个等次。六星为最高信用等次，一星为最低信用等次。基础星为三星，表示该工作人员无不良信息记录，或有不良记录但已经修复。</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仿宋_GB2312"/>
          <w:color w:val="auto"/>
          <w:kern w:val="0"/>
          <w:sz w:val="32"/>
          <w:szCs w:val="32"/>
          <w:lang w:val="zh-CN"/>
        </w:rPr>
      </w:pPr>
      <w:r>
        <w:rPr>
          <w:rFonts w:hint="eastAsia" w:ascii="Times New Roman" w:hAnsi="Times New Roman" w:eastAsia="仿宋_GB2312" w:cs="仿宋_GB2312"/>
          <w:color w:val="auto"/>
          <w:kern w:val="0"/>
          <w:sz w:val="32"/>
          <w:szCs w:val="32"/>
          <w:lang w:val="zh-CN"/>
        </w:rPr>
        <w:t>公职人员年度信用基础分为1000分，其信用积分按照“基础分</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zh-CN"/>
        </w:rPr>
        <w:t>减分分值+加分分值”方式计算而成，实时积分、动态调整。指标得分的具体评价指标与赋分标准见附件。</w:t>
      </w:r>
    </w:p>
    <w:p>
      <w:pPr>
        <w:pStyle w:val="28"/>
        <w:keepNext w:val="0"/>
        <w:keepLines w:val="0"/>
        <w:pageBreakBefore w:val="0"/>
        <w:shd w:val="clear" w:color="auto" w:fill="auto"/>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各级别对应的具体分值如下：</w:t>
      </w:r>
    </w:p>
    <w:p>
      <w:pPr>
        <w:pStyle w:val="28"/>
        <w:keepNext w:val="0"/>
        <w:keepLines w:val="0"/>
        <w:pageBreakBefore w:val="0"/>
        <w:shd w:val="clear" w:color="auto" w:fill="auto"/>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rPr>
        <w:t>（一）六星</w:t>
      </w:r>
      <w:r>
        <w:rPr>
          <w:rFonts w:hint="eastAsia" w:ascii="Times New Roman" w:hAnsi="Times New Roman" w:eastAsia="仿宋_GB2312" w:cs="仿宋_GB2312"/>
          <w:color w:val="auto"/>
          <w:kern w:val="0"/>
          <w:sz w:val="32"/>
          <w:szCs w:val="32"/>
        </w:rPr>
        <w:t>级为诚信模范级，分值为</w:t>
      </w:r>
      <w:r>
        <w:rPr>
          <w:rFonts w:hint="eastAsia" w:ascii="Times New Roman" w:hAnsi="Times New Roman" w:eastAsia="仿宋_GB2312" w:cs="仿宋_GB2312"/>
          <w:color w:val="auto"/>
          <w:kern w:val="0"/>
          <w:sz w:val="32"/>
          <w:szCs w:val="32"/>
          <w:lang w:val="en-US"/>
        </w:rPr>
        <w:t>1090</w:t>
      </w:r>
      <w:r>
        <w:rPr>
          <w:rFonts w:hint="eastAsia" w:ascii="Times New Roman" w:hAnsi="Times New Roman" w:eastAsia="仿宋_GB2312" w:cs="仿宋_GB2312"/>
          <w:color w:val="auto"/>
          <w:kern w:val="0"/>
          <w:sz w:val="32"/>
          <w:szCs w:val="32"/>
        </w:rPr>
        <w:t>分</w:t>
      </w:r>
      <w:r>
        <w:rPr>
          <w:rFonts w:hint="eastAsia" w:ascii="Times New Roman" w:hAnsi="Times New Roman" w:eastAsia="仿宋_GB2312" w:cs="仿宋_GB2312"/>
          <w:color w:val="auto"/>
          <w:kern w:val="0"/>
          <w:sz w:val="32"/>
          <w:szCs w:val="32"/>
          <w:lang w:val="en-US"/>
        </w:rPr>
        <w:t>及</w:t>
      </w:r>
      <w:r>
        <w:rPr>
          <w:rFonts w:hint="eastAsia" w:ascii="Times New Roman" w:hAnsi="Times New Roman" w:eastAsia="仿宋_GB2312" w:cs="仿宋_GB2312"/>
          <w:color w:val="auto"/>
          <w:kern w:val="0"/>
          <w:sz w:val="32"/>
          <w:szCs w:val="32"/>
        </w:rPr>
        <w:t>以上。</w:t>
      </w:r>
    </w:p>
    <w:p>
      <w:pPr>
        <w:pStyle w:val="28"/>
        <w:keepNext w:val="0"/>
        <w:keepLines w:val="0"/>
        <w:pageBreakBefore w:val="0"/>
        <w:shd w:val="clear" w:color="auto" w:fill="auto"/>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rPr>
        <w:t>（二）五星</w:t>
      </w:r>
      <w:r>
        <w:rPr>
          <w:rFonts w:hint="eastAsia" w:ascii="Times New Roman" w:hAnsi="Times New Roman" w:eastAsia="仿宋_GB2312" w:cs="仿宋_GB2312"/>
          <w:color w:val="auto"/>
          <w:kern w:val="0"/>
          <w:sz w:val="32"/>
          <w:szCs w:val="32"/>
        </w:rPr>
        <w:t>级为诚信优秀级，分值为</w:t>
      </w:r>
      <w:r>
        <w:rPr>
          <w:rFonts w:hint="eastAsia" w:ascii="Times New Roman" w:hAnsi="Times New Roman" w:eastAsia="仿宋_GB2312" w:cs="仿宋_GB2312"/>
          <w:color w:val="auto"/>
          <w:kern w:val="0"/>
          <w:sz w:val="32"/>
          <w:szCs w:val="32"/>
          <w:lang w:val="en-US"/>
        </w:rPr>
        <w:t>1060</w:t>
      </w:r>
      <w:r>
        <w:rPr>
          <w:rFonts w:hint="eastAsia" w:ascii="Times New Roman" w:hAnsi="Times New Roman" w:eastAsia="仿宋_GB2312" w:cs="仿宋_GB2312"/>
          <w:color w:val="auto"/>
          <w:kern w:val="0"/>
          <w:sz w:val="32"/>
          <w:szCs w:val="32"/>
        </w:rPr>
        <w:t>至</w:t>
      </w:r>
      <w:r>
        <w:rPr>
          <w:rFonts w:hint="eastAsia" w:ascii="Times New Roman" w:hAnsi="Times New Roman" w:eastAsia="仿宋_GB2312" w:cs="仿宋_GB2312"/>
          <w:color w:val="auto"/>
          <w:kern w:val="0"/>
          <w:sz w:val="32"/>
          <w:szCs w:val="32"/>
          <w:lang w:val="en-US"/>
        </w:rPr>
        <w:t>1089</w:t>
      </w:r>
      <w:r>
        <w:rPr>
          <w:rFonts w:hint="eastAsia" w:ascii="Times New Roman" w:hAnsi="Times New Roman" w:eastAsia="仿宋_GB2312" w:cs="仿宋_GB2312"/>
          <w:color w:val="auto"/>
          <w:kern w:val="0"/>
          <w:sz w:val="32"/>
          <w:szCs w:val="32"/>
        </w:rPr>
        <w:t>分。</w:t>
      </w:r>
    </w:p>
    <w:p>
      <w:pPr>
        <w:pStyle w:val="28"/>
        <w:keepNext w:val="0"/>
        <w:keepLines w:val="0"/>
        <w:pageBreakBefore w:val="0"/>
        <w:shd w:val="clear" w:color="auto" w:fill="auto"/>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rPr>
        <w:t>三</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rPr>
        <w:t>四星</w:t>
      </w:r>
      <w:r>
        <w:rPr>
          <w:rFonts w:hint="eastAsia" w:ascii="Times New Roman" w:hAnsi="Times New Roman" w:eastAsia="仿宋_GB2312" w:cs="仿宋_GB2312"/>
          <w:color w:val="auto"/>
          <w:kern w:val="0"/>
          <w:sz w:val="32"/>
          <w:szCs w:val="32"/>
        </w:rPr>
        <w:t>级为诚信</w:t>
      </w:r>
      <w:r>
        <w:rPr>
          <w:rFonts w:hint="eastAsia" w:ascii="Times New Roman" w:hAnsi="Times New Roman" w:eastAsia="仿宋_GB2312" w:cs="仿宋_GB2312"/>
          <w:color w:val="auto"/>
          <w:kern w:val="0"/>
          <w:sz w:val="32"/>
          <w:szCs w:val="32"/>
          <w:lang w:val="en-US"/>
        </w:rPr>
        <w:t>良好</w:t>
      </w:r>
      <w:r>
        <w:rPr>
          <w:rFonts w:hint="eastAsia" w:ascii="Times New Roman" w:hAnsi="Times New Roman" w:eastAsia="仿宋_GB2312" w:cs="仿宋_GB2312"/>
          <w:color w:val="auto"/>
          <w:kern w:val="0"/>
          <w:sz w:val="32"/>
          <w:szCs w:val="32"/>
        </w:rPr>
        <w:t>级，分值为</w:t>
      </w:r>
      <w:r>
        <w:rPr>
          <w:rFonts w:hint="eastAsia" w:ascii="Times New Roman" w:hAnsi="Times New Roman" w:eastAsia="仿宋_GB2312" w:cs="仿宋_GB2312"/>
          <w:color w:val="auto"/>
          <w:kern w:val="0"/>
          <w:sz w:val="32"/>
          <w:szCs w:val="32"/>
          <w:lang w:val="en-US"/>
        </w:rPr>
        <w:t>1020</w:t>
      </w:r>
      <w:r>
        <w:rPr>
          <w:rFonts w:hint="eastAsia" w:ascii="Times New Roman" w:hAnsi="Times New Roman" w:eastAsia="仿宋_GB2312" w:cs="仿宋_GB2312"/>
          <w:color w:val="auto"/>
          <w:kern w:val="0"/>
          <w:sz w:val="32"/>
          <w:szCs w:val="32"/>
        </w:rPr>
        <w:t>至</w:t>
      </w:r>
      <w:r>
        <w:rPr>
          <w:rFonts w:hint="eastAsia" w:ascii="Times New Roman" w:hAnsi="Times New Roman" w:eastAsia="仿宋_GB2312" w:cs="仿宋_GB2312"/>
          <w:color w:val="auto"/>
          <w:kern w:val="0"/>
          <w:sz w:val="32"/>
          <w:szCs w:val="32"/>
          <w:lang w:val="en-US"/>
        </w:rPr>
        <w:t>1059</w:t>
      </w:r>
      <w:r>
        <w:rPr>
          <w:rFonts w:hint="eastAsia" w:ascii="Times New Roman" w:hAnsi="Times New Roman" w:eastAsia="仿宋_GB2312" w:cs="仿宋_GB2312"/>
          <w:color w:val="auto"/>
          <w:kern w:val="0"/>
          <w:sz w:val="32"/>
          <w:szCs w:val="32"/>
        </w:rPr>
        <w:t>分。</w:t>
      </w:r>
    </w:p>
    <w:p>
      <w:pPr>
        <w:pStyle w:val="28"/>
        <w:keepNext w:val="0"/>
        <w:keepLines w:val="0"/>
        <w:pageBreakBefore w:val="0"/>
        <w:shd w:val="clear" w:color="auto" w:fill="auto"/>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rPr>
        <w:t>四</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rPr>
        <w:t>三星</w:t>
      </w:r>
      <w:r>
        <w:rPr>
          <w:rFonts w:hint="eastAsia" w:ascii="Times New Roman" w:hAnsi="Times New Roman" w:eastAsia="仿宋_GB2312" w:cs="仿宋_GB2312"/>
          <w:color w:val="auto"/>
          <w:kern w:val="0"/>
          <w:sz w:val="32"/>
          <w:szCs w:val="32"/>
        </w:rPr>
        <w:t>级为诚信级，分值为</w:t>
      </w:r>
      <w:r>
        <w:rPr>
          <w:rFonts w:hint="eastAsia" w:ascii="Times New Roman" w:hAnsi="Times New Roman" w:eastAsia="仿宋_GB2312" w:cs="仿宋_GB2312"/>
          <w:color w:val="auto"/>
          <w:kern w:val="0"/>
          <w:sz w:val="32"/>
          <w:szCs w:val="32"/>
          <w:lang w:val="en-US"/>
        </w:rPr>
        <w:t>980</w:t>
      </w:r>
      <w:r>
        <w:rPr>
          <w:rFonts w:hint="eastAsia" w:ascii="Times New Roman" w:hAnsi="Times New Roman" w:eastAsia="仿宋_GB2312" w:cs="仿宋_GB2312"/>
          <w:color w:val="auto"/>
          <w:kern w:val="0"/>
          <w:sz w:val="32"/>
          <w:szCs w:val="32"/>
        </w:rPr>
        <w:t>至</w:t>
      </w:r>
      <w:r>
        <w:rPr>
          <w:rFonts w:hint="eastAsia" w:ascii="Times New Roman" w:hAnsi="Times New Roman" w:eastAsia="仿宋_GB2312" w:cs="仿宋_GB2312"/>
          <w:color w:val="auto"/>
          <w:kern w:val="0"/>
          <w:sz w:val="32"/>
          <w:szCs w:val="32"/>
          <w:lang w:val="en-US"/>
        </w:rPr>
        <w:t>1019</w:t>
      </w:r>
      <w:r>
        <w:rPr>
          <w:rFonts w:hint="eastAsia" w:ascii="Times New Roman" w:hAnsi="Times New Roman" w:eastAsia="仿宋_GB2312" w:cs="仿宋_GB2312"/>
          <w:color w:val="auto"/>
          <w:kern w:val="0"/>
          <w:sz w:val="32"/>
          <w:szCs w:val="32"/>
        </w:rPr>
        <w:t>分。</w:t>
      </w:r>
    </w:p>
    <w:p>
      <w:pPr>
        <w:pStyle w:val="28"/>
        <w:keepNext w:val="0"/>
        <w:keepLines w:val="0"/>
        <w:pageBreakBefore w:val="0"/>
        <w:shd w:val="clear" w:color="auto" w:fill="auto"/>
        <w:tabs>
          <w:tab w:val="left" w:pos="1602"/>
        </w:tab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rPr>
        <w:t>（五）二星</w:t>
      </w:r>
      <w:r>
        <w:rPr>
          <w:rFonts w:hint="eastAsia" w:ascii="Times New Roman" w:hAnsi="Times New Roman" w:eastAsia="仿宋_GB2312" w:cs="仿宋_GB2312"/>
          <w:color w:val="auto"/>
          <w:kern w:val="0"/>
          <w:sz w:val="32"/>
          <w:szCs w:val="32"/>
        </w:rPr>
        <w:t>级为</w:t>
      </w:r>
      <w:r>
        <w:rPr>
          <w:rFonts w:hint="eastAsia" w:ascii="Times New Roman" w:hAnsi="Times New Roman" w:eastAsia="仿宋_GB2312" w:cs="仿宋_GB2312"/>
          <w:color w:val="auto"/>
          <w:kern w:val="0"/>
          <w:sz w:val="32"/>
          <w:szCs w:val="32"/>
          <w:lang w:val="en-US"/>
        </w:rPr>
        <w:t>较</w:t>
      </w:r>
      <w:r>
        <w:rPr>
          <w:rFonts w:hint="eastAsia" w:ascii="Times New Roman" w:hAnsi="Times New Roman" w:eastAsia="仿宋_GB2312" w:cs="仿宋_GB2312"/>
          <w:color w:val="auto"/>
          <w:kern w:val="0"/>
          <w:sz w:val="32"/>
          <w:szCs w:val="32"/>
        </w:rPr>
        <w:t>诚信级，分值为</w:t>
      </w:r>
      <w:r>
        <w:rPr>
          <w:rFonts w:hint="eastAsia" w:ascii="Times New Roman" w:hAnsi="Times New Roman" w:eastAsia="仿宋_GB2312" w:cs="仿宋_GB2312"/>
          <w:color w:val="auto"/>
          <w:kern w:val="0"/>
          <w:sz w:val="32"/>
          <w:szCs w:val="32"/>
          <w:lang w:val="en-US"/>
        </w:rPr>
        <w:t>830</w:t>
      </w:r>
      <w:r>
        <w:rPr>
          <w:rFonts w:hint="eastAsia" w:ascii="Times New Roman" w:hAnsi="Times New Roman" w:eastAsia="仿宋_GB2312" w:cs="仿宋_GB2312"/>
          <w:color w:val="auto"/>
          <w:kern w:val="0"/>
          <w:sz w:val="32"/>
          <w:szCs w:val="32"/>
        </w:rPr>
        <w:t>至</w:t>
      </w:r>
      <w:r>
        <w:rPr>
          <w:rFonts w:hint="eastAsia" w:ascii="Times New Roman" w:hAnsi="Times New Roman" w:eastAsia="仿宋_GB2312" w:cs="仿宋_GB2312"/>
          <w:color w:val="auto"/>
          <w:kern w:val="0"/>
          <w:sz w:val="32"/>
          <w:szCs w:val="32"/>
          <w:lang w:val="en-US"/>
        </w:rPr>
        <w:t>979</w:t>
      </w:r>
      <w:r>
        <w:rPr>
          <w:rFonts w:hint="eastAsia" w:ascii="Times New Roman" w:hAnsi="Times New Roman" w:eastAsia="仿宋_GB2312" w:cs="仿宋_GB2312"/>
          <w:color w:val="auto"/>
          <w:kern w:val="0"/>
          <w:sz w:val="32"/>
          <w:szCs w:val="32"/>
        </w:rPr>
        <w:t>分。</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color w:val="auto"/>
          <w:kern w:val="0"/>
          <w:sz w:val="32"/>
          <w:szCs w:val="32"/>
        </w:rPr>
        <w:t>（六）一星级为不诚信级，分值为829分及以下。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信用信息积分和评价原则：</w:t>
      </w:r>
    </w:p>
    <w:p>
      <w:pPr>
        <w:pStyle w:val="28"/>
        <w:keepNext w:val="0"/>
        <w:keepLines w:val="0"/>
        <w:pageBreakBefore w:val="0"/>
        <w:shd w:val="clear" w:color="auto" w:fill="auto"/>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lang w:val="en-US"/>
        </w:rPr>
      </w:pPr>
      <w:r>
        <w:rPr>
          <w:rFonts w:hint="eastAsia" w:ascii="Times New Roman" w:hAnsi="Times New Roman" w:eastAsia="仿宋_GB2312" w:cs="仿宋_GB2312"/>
          <w:bCs/>
          <w:color w:val="auto"/>
          <w:sz w:val="32"/>
          <w:szCs w:val="32"/>
          <w:lang w:val="en-US"/>
        </w:rPr>
        <w:t>（一）守信或失信行为同时适用两项及以上不同指标的，按最高加（减）分计算，不重复累计。</w:t>
      </w:r>
    </w:p>
    <w:p>
      <w:pPr>
        <w:pStyle w:val="28"/>
        <w:keepNext w:val="0"/>
        <w:keepLines w:val="0"/>
        <w:pageBreakBefore w:val="0"/>
        <w:shd w:val="clear" w:color="auto" w:fill="auto"/>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lang w:val="en-US"/>
        </w:rPr>
      </w:pPr>
      <w:r>
        <w:rPr>
          <w:rFonts w:hint="eastAsia" w:ascii="Times New Roman" w:hAnsi="Times New Roman" w:eastAsia="仿宋_GB2312" w:cs="仿宋_GB2312"/>
          <w:bCs/>
          <w:color w:val="auto"/>
          <w:sz w:val="32"/>
          <w:szCs w:val="32"/>
          <w:lang w:val="en-US"/>
        </w:rPr>
        <w:t>（二）失信行为因受到多种处分、处罚等产生两项及以上不同积分指标的，累计计分。</w:t>
      </w:r>
    </w:p>
    <w:p>
      <w:pPr>
        <w:pStyle w:val="28"/>
        <w:keepNext w:val="0"/>
        <w:keepLines w:val="0"/>
        <w:pageBreakBefore w:val="0"/>
        <w:shd w:val="clear" w:color="auto" w:fill="auto"/>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lang w:val="en-US"/>
        </w:rPr>
      </w:pPr>
      <w:r>
        <w:rPr>
          <w:rFonts w:hint="eastAsia" w:ascii="Times New Roman" w:hAnsi="Times New Roman" w:eastAsia="仿宋_GB2312" w:cs="仿宋_GB2312"/>
          <w:bCs/>
          <w:color w:val="auto"/>
          <w:sz w:val="32"/>
          <w:szCs w:val="32"/>
          <w:lang w:val="en-US"/>
        </w:rPr>
        <w:t>（三）因失信信息减分后，在信息评价有效期内又重复发生同一类失信信息的，在原减分分值基础上加倍减分。</w:t>
      </w:r>
    </w:p>
    <w:p>
      <w:pPr>
        <w:pStyle w:val="28"/>
        <w:keepNext w:val="0"/>
        <w:keepLines w:val="0"/>
        <w:pageBreakBefore w:val="0"/>
        <w:shd w:val="clear" w:color="auto" w:fill="auto"/>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lang w:val="en-US"/>
        </w:rPr>
      </w:pPr>
      <w:r>
        <w:rPr>
          <w:rFonts w:hint="eastAsia" w:ascii="Times New Roman" w:hAnsi="Times New Roman" w:eastAsia="仿宋_GB2312" w:cs="仿宋_GB2312"/>
          <w:bCs/>
          <w:color w:val="auto"/>
          <w:sz w:val="32"/>
          <w:szCs w:val="32"/>
          <w:lang w:val="en-US"/>
        </w:rPr>
        <w:t>（四）本办法未明确的“以上”“以下”均含本级、本数。</w:t>
      </w:r>
    </w:p>
    <w:p>
      <w:pPr>
        <w:pStyle w:val="28"/>
        <w:keepNext w:val="0"/>
        <w:keepLines w:val="0"/>
        <w:pageBreakBefore w:val="0"/>
        <w:shd w:val="clear" w:color="auto" w:fill="auto"/>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lang w:val="en-US"/>
        </w:rPr>
      </w:pPr>
      <w:r>
        <w:rPr>
          <w:rFonts w:hint="eastAsia" w:ascii="Times New Roman" w:hAnsi="Times New Roman" w:eastAsia="仿宋_GB2312" w:cs="仿宋_GB2312"/>
          <w:bCs/>
          <w:color w:val="auto"/>
          <w:sz w:val="32"/>
          <w:szCs w:val="32"/>
          <w:lang w:val="en-US"/>
        </w:rPr>
        <w:t>（五）凡属减分、加分事项，均按每项、起、次计算。</w:t>
      </w:r>
    </w:p>
    <w:p>
      <w:pPr>
        <w:pStyle w:val="28"/>
        <w:keepNext w:val="0"/>
        <w:keepLines w:val="0"/>
        <w:pageBreakBefore w:val="0"/>
        <w:shd w:val="clear" w:color="auto" w:fill="auto"/>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
          <w:bCs/>
          <w:color w:val="auto"/>
          <w:sz w:val="32"/>
          <w:szCs w:val="32"/>
        </w:rPr>
      </w:pPr>
      <w:r>
        <w:rPr>
          <w:rFonts w:hint="eastAsia" w:ascii="Times New Roman" w:hAnsi="Times New Roman" w:eastAsia="仿宋_GB2312" w:cs="仿宋_GB2312"/>
          <w:bCs/>
          <w:color w:val="auto"/>
          <w:sz w:val="32"/>
          <w:szCs w:val="32"/>
          <w:lang w:val="en-US"/>
        </w:rPr>
        <w:t>（六）其他未明确加分或减分的信息，按一事一议的方式确定分值。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对公职人员个人信用等级五星级、六星级及以上的，采取以下激励措施：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（一）在干部推荐考察中重点关注，在提拔使用上优先考虑。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（二）在各级组织的挂职锻炼、专业培训、学习深造等工作中，根据工作需要和本人意愿，优先安排。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（三）在各级各类评先评优中，</w:t>
      </w:r>
      <w:r>
        <w:rPr>
          <w:rFonts w:hint="eastAsia" w:ascii="Times New Roman" w:hAnsi="Times New Roman" w:eastAsia="仿宋_GB2312" w:cs="仿宋_GB2312"/>
          <w:bCs/>
          <w:color w:val="auto"/>
          <w:sz w:val="32"/>
          <w:szCs w:val="32"/>
          <w:lang w:eastAsia="zh-CN"/>
        </w:rPr>
        <w:t>同等条件的</w:t>
      </w:r>
      <w:r>
        <w:rPr>
          <w:rFonts w:hint="eastAsia" w:ascii="Times New Roman" w:hAnsi="Times New Roman" w:eastAsia="仿宋_GB2312" w:cs="仿宋_GB2312"/>
          <w:bCs/>
          <w:color w:val="auto"/>
          <w:sz w:val="32"/>
          <w:szCs w:val="32"/>
        </w:rPr>
        <w:t>优先予以推荐。对典型示范作用明显的，在一定范围内进行宣传表彰。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（四）优先推荐参加专业技术职称评聘。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（五）</w:t>
      </w:r>
      <w:r>
        <w:rPr>
          <w:rFonts w:hint="eastAsia" w:ascii="Times New Roman" w:hAnsi="Times New Roman" w:eastAsia="仿宋_GB2312" w:cs="仿宋_GB2312"/>
          <w:bCs/>
          <w:color w:val="auto"/>
          <w:sz w:val="32"/>
          <w:szCs w:val="32"/>
          <w:lang w:eastAsia="zh-CN"/>
        </w:rPr>
        <w:t>符合公示条件的，</w:t>
      </w:r>
      <w:r>
        <w:rPr>
          <w:rFonts w:hint="eastAsia" w:ascii="Times New Roman" w:hAnsi="Times New Roman" w:eastAsia="仿宋_GB2312" w:cs="仿宋_GB2312"/>
          <w:bCs/>
          <w:color w:val="auto"/>
          <w:sz w:val="32"/>
          <w:szCs w:val="32"/>
        </w:rPr>
        <w:t>在张店区人民政府官网、信用张店、各单位网络平台、本单位公示栏表彰公示。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对公职人员个人信用等级为二星级的，采取以下惩戒措施：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（一）干部调整使用中，不得作为推荐对象。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（二）不得确定为党员发展对象。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（三）当年年度考核不得评为优秀等次，取消年度各类评先选优资格。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（四）在各级组织的挂职锻炼、专业培训、学习深造等工作中，不予推荐。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（五）在单位不得分管或从事具有审批权、执法权以及掌管人、财、物、工程等重要岗位的工作。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（六）根据个人失信情节，领导干部由单位主要负责人采取监督执纪“第一种形态”，一般干部由分管负责人采取监督执纪“第一种形态”，或按照有关规定做出相应处理。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对公职人员个人信用等级为一星级的，除实施二星级有关规定外，再采取以下惩戒措施：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（一）</w:t>
      </w:r>
      <w:r>
        <w:rPr>
          <w:rFonts w:hint="eastAsia" w:ascii="Times New Roman" w:hAnsi="Times New Roman" w:eastAsia="仿宋_GB2312" w:cs="仿宋_GB2312"/>
          <w:color w:val="auto"/>
          <w:sz w:val="32"/>
          <w:szCs w:val="32"/>
        </w:rPr>
        <w:t>当年年度考核不得评为称职（合格）及以上等次。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（二）</w:t>
      </w:r>
      <w:r>
        <w:rPr>
          <w:rFonts w:hint="eastAsia" w:ascii="Times New Roman" w:hAnsi="Times New Roman" w:eastAsia="仿宋_GB2312" w:cs="仿宋_GB2312"/>
          <w:color w:val="auto"/>
          <w:sz w:val="32"/>
          <w:szCs w:val="32"/>
        </w:rPr>
        <w:t>不能参加各类专业技术职称评聘。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根据失信情节，属领导干部的，由组织部门给予诫勉谈话、调离原岗位、改任非领导职务或降免职处理；属一般干部的，由有关部门进行约谈、通报批评、调离原岗位，或按有关规定给予相应的党纪政纪处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bCs/>
          <w:color w:val="auto"/>
          <w:sz w:val="32"/>
          <w:szCs w:val="32"/>
        </w:rPr>
      </w:pPr>
      <w:r>
        <w:rPr>
          <w:rFonts w:hint="eastAsia" w:ascii="Times New Roman" w:hAnsi="Times New Roman" w:eastAsia="黑体" w:cs="黑体"/>
          <w:color w:val="auto"/>
          <w:sz w:val="32"/>
          <w:szCs w:val="32"/>
        </w:rPr>
        <w:t>五、</w:t>
      </w:r>
      <w:r>
        <w:rPr>
          <w:rFonts w:hint="eastAsia" w:ascii="Times New Roman" w:hAnsi="Times New Roman" w:eastAsia="黑体" w:cs="黑体"/>
          <w:bCs/>
          <w:color w:val="auto"/>
          <w:sz w:val="32"/>
          <w:szCs w:val="32"/>
        </w:rPr>
        <w:t>保障机制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楷体_GB2312" w:cs="楷体_GB2312"/>
          <w:bCs/>
          <w:color w:val="auto"/>
          <w:sz w:val="32"/>
          <w:szCs w:val="32"/>
        </w:rPr>
        <w:t>（一）加强组织领导。</w:t>
      </w:r>
      <w:r>
        <w:rPr>
          <w:rFonts w:hint="eastAsia" w:ascii="Times New Roman" w:hAnsi="Times New Roman" w:eastAsia="仿宋_GB2312" w:cs="仿宋_GB2312"/>
          <w:bCs/>
          <w:color w:val="auto"/>
          <w:sz w:val="32"/>
          <w:szCs w:val="32"/>
        </w:rPr>
        <w:t>区公职人员诚信建设工作领导小组统筹协调公职人员信用建设各项工作。各成员单位要切实配合做好相关工作，安排专人负责本部门公职人员诚信建设工作以及分派到该部门的各项任务，通过公职人员引领、示范和带动作用，推动全区政务诚信建设快速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楷体_GB2312" w:cs="楷体_GB2312"/>
          <w:bCs/>
          <w:color w:val="auto"/>
          <w:sz w:val="32"/>
          <w:szCs w:val="32"/>
        </w:rPr>
        <w:t>（二）保障信息安全。</w:t>
      </w:r>
      <w:r>
        <w:rPr>
          <w:rFonts w:hint="eastAsia" w:ascii="Times New Roman" w:hAnsi="Times New Roman" w:eastAsia="仿宋_GB2312" w:cs="仿宋_GB2312"/>
          <w:bCs/>
          <w:color w:val="auto"/>
          <w:sz w:val="32"/>
          <w:szCs w:val="32"/>
        </w:rPr>
        <w:t>进一步健全公职人员信用信息安全管理制度，加强信用信息安全基础设施建设，强化信息资源和个人信息保护，加大信用信息安全教育培训，提升信用信息安全监管能力，依法依规做好信用信息安全管理。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color w:val="auto"/>
          <w:sz w:val="32"/>
          <w:szCs w:val="32"/>
        </w:rPr>
      </w:pPr>
      <w:r>
        <w:rPr>
          <w:rFonts w:hint="eastAsia" w:ascii="Times New Roman" w:hAnsi="Times New Roman" w:eastAsia="楷体_GB2312" w:cs="楷体_GB2312"/>
          <w:color w:val="auto"/>
          <w:kern w:val="0"/>
          <w:sz w:val="32"/>
          <w:szCs w:val="32"/>
        </w:rPr>
        <w:t>（三）加强舆论宣传。</w:t>
      </w:r>
      <w:r>
        <w:rPr>
          <w:rFonts w:hint="eastAsia" w:ascii="Times New Roman" w:hAnsi="Times New Roman" w:eastAsia="仿宋_GB2312" w:cs="仿宋_GB2312"/>
          <w:bCs/>
          <w:color w:val="auto"/>
          <w:sz w:val="32"/>
          <w:szCs w:val="32"/>
        </w:rPr>
        <w:t>各部门单位要采取多种有效形式，开展内容丰富的诚信宣传活动，加大对政府诚信建设工作的宣传力度。充分利用报刊、广播、电视、网络等媒体，加大对政务领域守信典型的宣传和失信典型的曝光力度，营造全社会关心、支持、参与政务诚信建设工作的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仿宋_GB2312"/>
          <w:bCs/>
          <w:color w:val="auto"/>
          <w:sz w:val="32"/>
          <w:szCs w:val="32"/>
          <w:lang w:eastAsia="zh-CN"/>
        </w:rPr>
        <w:t>本方案自</w:t>
      </w:r>
      <w:r>
        <w:rPr>
          <w:rFonts w:hint="eastAsia" w:ascii="Times New Roman" w:hAnsi="Times New Roman" w:eastAsia="仿宋_GB2312" w:cs="Times New Roman"/>
          <w:b w:val="0"/>
          <w:bCs/>
          <w:color w:val="auto"/>
          <w:sz w:val="32"/>
          <w:szCs w:val="32"/>
          <w:highlight w:val="none"/>
          <w:shd w:val="clear" w:color="auto" w:fill="auto"/>
          <w:lang w:val="en-US" w:eastAsia="zh-CN"/>
        </w:rPr>
        <w:t>2022年2月1日起试行，有效期至2024年2月1日。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附件：张店区公职人员信用信息评价标准</w:t>
      </w:r>
    </w:p>
    <w:p>
      <w:pPr>
        <w:spacing w:line="560" w:lineRule="exact"/>
        <w:rPr>
          <w:rFonts w:ascii="Times New Roman" w:hAnsi="Times New Roman" w:eastAsia="黑体" w:cs="黑体"/>
          <w:color w:val="auto"/>
          <w:sz w:val="36"/>
          <w:szCs w:val="36"/>
        </w:rPr>
      </w:pPr>
      <w:r>
        <w:rPr>
          <w:rFonts w:hint="eastAsia" w:ascii="Times New Roman" w:hAnsi="Times New Roman" w:eastAsia="仿宋_GB2312" w:cs="仿宋_GB2312"/>
          <w:color w:val="auto"/>
          <w:sz w:val="32"/>
          <w:szCs w:val="32"/>
        </w:rPr>
        <w:br w:type="page"/>
      </w:r>
      <w:r>
        <w:rPr>
          <w:rFonts w:hint="eastAsia" w:ascii="黑体" w:hAnsi="黑体" w:eastAsia="黑体" w:cs="黑体"/>
          <w:color w:val="auto"/>
          <w:sz w:val="32"/>
          <w:szCs w:val="32"/>
        </w:rPr>
        <w:t>附件</w:t>
      </w:r>
    </w:p>
    <w:p>
      <w:pPr>
        <w:spacing w:line="560" w:lineRule="exact"/>
        <w:jc w:val="center"/>
        <w:rPr>
          <w:rFonts w:hint="eastAsia" w:ascii="Times New Roman" w:hAnsi="Times New Roman" w:eastAsia="方正小标宋简体" w:cs="方正小标宋简体"/>
          <w:color w:val="auto"/>
          <w:sz w:val="44"/>
          <w:szCs w:val="44"/>
          <w:lang w:val="zh-CN"/>
        </w:rPr>
      </w:pPr>
      <w:r>
        <w:rPr>
          <w:rFonts w:hint="eastAsia" w:ascii="Times New Roman" w:hAnsi="Times New Roman" w:eastAsia="方正小标宋简体" w:cs="方正小标宋简体"/>
          <w:color w:val="auto"/>
          <w:sz w:val="44"/>
          <w:szCs w:val="44"/>
        </w:rPr>
        <w:t>张店区公职人员</w:t>
      </w:r>
      <w:r>
        <w:rPr>
          <w:rFonts w:hint="eastAsia" w:ascii="Times New Roman" w:hAnsi="Times New Roman" w:eastAsia="方正小标宋简体" w:cs="方正小标宋简体"/>
          <w:color w:val="auto"/>
          <w:sz w:val="44"/>
          <w:szCs w:val="44"/>
          <w:lang w:val="zh-CN"/>
        </w:rPr>
        <w:t>信用信息评价标准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050"/>
        <w:gridCol w:w="4784"/>
        <w:gridCol w:w="1170"/>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5" w:hRule="atLeast"/>
          <w:tblHeader/>
          <w:jc w:val="center"/>
        </w:trPr>
        <w:tc>
          <w:tcPr>
            <w:tcW w:w="1227" w:type="dxa"/>
            <w:noWrap w:val="0"/>
            <w:vAlign w:val="center"/>
          </w:tcPr>
          <w:p>
            <w:pPr>
              <w:spacing w:line="300" w:lineRule="exact"/>
              <w:jc w:val="center"/>
              <w:rPr>
                <w:rFonts w:ascii="Times New Roman" w:hAnsi="Times New Roman" w:eastAsia="黑体" w:cs="黑体"/>
                <w:color w:val="auto"/>
                <w:sz w:val="24"/>
              </w:rPr>
            </w:pPr>
            <w:r>
              <w:rPr>
                <w:rFonts w:hint="eastAsia" w:ascii="Times New Roman" w:hAnsi="Times New Roman" w:eastAsia="黑体" w:cs="黑体"/>
                <w:color w:val="auto"/>
                <w:sz w:val="24"/>
              </w:rPr>
              <w:t>评价事项</w:t>
            </w:r>
          </w:p>
          <w:p>
            <w:pPr>
              <w:spacing w:line="300" w:lineRule="exact"/>
              <w:jc w:val="center"/>
              <w:rPr>
                <w:rFonts w:ascii="Times New Roman" w:hAnsi="Times New Roman" w:eastAsia="黑体" w:cs="黑体"/>
                <w:color w:val="auto"/>
                <w:sz w:val="24"/>
              </w:rPr>
            </w:pPr>
            <w:r>
              <w:rPr>
                <w:rFonts w:hint="eastAsia" w:ascii="Times New Roman" w:hAnsi="Times New Roman" w:eastAsia="黑体" w:cs="黑体"/>
                <w:color w:val="auto"/>
                <w:sz w:val="24"/>
              </w:rPr>
              <w:t>类别</w:t>
            </w:r>
          </w:p>
        </w:tc>
        <w:tc>
          <w:tcPr>
            <w:tcW w:w="1050" w:type="dxa"/>
            <w:noWrap w:val="0"/>
            <w:vAlign w:val="center"/>
          </w:tcPr>
          <w:p>
            <w:pPr>
              <w:spacing w:line="300" w:lineRule="exact"/>
              <w:jc w:val="center"/>
              <w:rPr>
                <w:rFonts w:ascii="Times New Roman" w:hAnsi="Times New Roman" w:eastAsia="黑体" w:cs="黑体"/>
                <w:color w:val="auto"/>
                <w:sz w:val="24"/>
              </w:rPr>
            </w:pPr>
            <w:r>
              <w:rPr>
                <w:rFonts w:hint="eastAsia" w:ascii="Times New Roman" w:hAnsi="Times New Roman" w:eastAsia="黑体" w:cs="黑体"/>
                <w:color w:val="auto"/>
                <w:sz w:val="24"/>
              </w:rPr>
              <w:t>所属</w:t>
            </w:r>
          </w:p>
          <w:p>
            <w:pPr>
              <w:spacing w:line="300" w:lineRule="exact"/>
              <w:jc w:val="center"/>
              <w:rPr>
                <w:rFonts w:ascii="Times New Roman" w:hAnsi="Times New Roman" w:eastAsia="黑体" w:cs="黑体"/>
                <w:color w:val="auto"/>
                <w:sz w:val="24"/>
              </w:rPr>
            </w:pPr>
            <w:r>
              <w:rPr>
                <w:rFonts w:hint="eastAsia" w:ascii="Times New Roman" w:hAnsi="Times New Roman" w:eastAsia="黑体" w:cs="黑体"/>
                <w:color w:val="auto"/>
                <w:sz w:val="24"/>
              </w:rPr>
              <w:t>分项</w:t>
            </w:r>
          </w:p>
        </w:tc>
        <w:tc>
          <w:tcPr>
            <w:tcW w:w="4784" w:type="dxa"/>
            <w:noWrap w:val="0"/>
            <w:vAlign w:val="center"/>
          </w:tcPr>
          <w:p>
            <w:pPr>
              <w:spacing w:line="300" w:lineRule="exact"/>
              <w:jc w:val="center"/>
              <w:rPr>
                <w:rFonts w:ascii="Times New Roman" w:hAnsi="Times New Roman" w:eastAsia="黑体" w:cs="黑体"/>
                <w:color w:val="auto"/>
                <w:sz w:val="24"/>
              </w:rPr>
            </w:pPr>
            <w:r>
              <w:rPr>
                <w:rFonts w:hint="eastAsia" w:ascii="Times New Roman" w:hAnsi="Times New Roman" w:eastAsia="黑体" w:cs="黑体"/>
                <w:color w:val="auto"/>
                <w:sz w:val="24"/>
              </w:rPr>
              <w:t>评价标准</w:t>
            </w:r>
          </w:p>
        </w:tc>
        <w:tc>
          <w:tcPr>
            <w:tcW w:w="1170" w:type="dxa"/>
            <w:noWrap w:val="0"/>
            <w:vAlign w:val="center"/>
          </w:tcPr>
          <w:p>
            <w:pPr>
              <w:spacing w:line="300" w:lineRule="exact"/>
              <w:jc w:val="center"/>
              <w:rPr>
                <w:rFonts w:ascii="Times New Roman" w:hAnsi="Times New Roman" w:eastAsia="黑体" w:cs="黑体"/>
                <w:color w:val="auto"/>
                <w:sz w:val="24"/>
              </w:rPr>
            </w:pPr>
            <w:r>
              <w:rPr>
                <w:rFonts w:hint="eastAsia" w:ascii="Times New Roman" w:hAnsi="Times New Roman" w:eastAsia="黑体" w:cs="黑体"/>
                <w:color w:val="auto"/>
                <w:sz w:val="24"/>
              </w:rPr>
              <w:t>加减分</w:t>
            </w:r>
          </w:p>
          <w:p>
            <w:pPr>
              <w:spacing w:line="300" w:lineRule="exact"/>
              <w:jc w:val="center"/>
              <w:rPr>
                <w:rFonts w:ascii="Times New Roman" w:hAnsi="Times New Roman" w:eastAsia="黑体" w:cs="黑体"/>
                <w:color w:val="auto"/>
                <w:sz w:val="24"/>
              </w:rPr>
            </w:pPr>
            <w:r>
              <w:rPr>
                <w:rFonts w:hint="eastAsia" w:ascii="Times New Roman" w:hAnsi="Times New Roman" w:eastAsia="黑体" w:cs="黑体"/>
                <w:color w:val="auto"/>
                <w:sz w:val="24"/>
              </w:rPr>
              <w:t>标准</w:t>
            </w:r>
          </w:p>
        </w:tc>
        <w:tc>
          <w:tcPr>
            <w:tcW w:w="829" w:type="dxa"/>
            <w:noWrap w:val="0"/>
            <w:vAlign w:val="center"/>
          </w:tcPr>
          <w:p>
            <w:pPr>
              <w:spacing w:line="300" w:lineRule="exact"/>
              <w:jc w:val="center"/>
              <w:rPr>
                <w:rFonts w:ascii="Times New Roman" w:hAnsi="Times New Roman" w:eastAsia="黑体" w:cs="黑体"/>
                <w:color w:val="auto"/>
                <w:sz w:val="24"/>
              </w:rPr>
            </w:pPr>
            <w:r>
              <w:rPr>
                <w:rFonts w:hint="eastAsia" w:ascii="Times New Roman" w:hAnsi="Times New Roman" w:eastAsia="黑体" w:cs="黑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守信</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信息</w:t>
            </w:r>
          </w:p>
        </w:tc>
        <w:tc>
          <w:tcPr>
            <w:tcW w:w="1050"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党建</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领域</w:t>
            </w: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自主开展廉政文化宣传活动的组织者</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w:t>
            </w:r>
          </w:p>
        </w:tc>
        <w:tc>
          <w:tcPr>
            <w:tcW w:w="829" w:type="dxa"/>
            <w:vMerge w:val="restart"/>
            <w:noWrap w:val="0"/>
            <w:vAlign w:val="center"/>
          </w:tcPr>
          <w:p>
            <w:pPr>
              <w:spacing w:line="300" w:lineRule="exact"/>
              <w:jc w:val="center"/>
              <w:rPr>
                <w:rFonts w:ascii="Times New Roman" w:hAnsi="Times New Roman" w:eastAsia="仿宋" w:cs="仿宋_GB2312"/>
                <w:color w:val="auto"/>
                <w:sz w:val="24"/>
              </w:rPr>
            </w:pPr>
            <w:r>
              <w:rPr>
                <w:rFonts w:hint="eastAsia" w:ascii="Times New Roman" w:hAnsi="Times New Roman" w:eastAsia="仿宋_GB2312" w:cs="仿宋_GB2312"/>
                <w:color w:val="auto"/>
                <w:sz w:val="24"/>
              </w:rPr>
              <w:t>每年最高累计10分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自主开展廉政文化宣传活动的参与者</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w:t>
            </w:r>
          </w:p>
        </w:tc>
        <w:tc>
          <w:tcPr>
            <w:tcW w:w="829" w:type="dxa"/>
            <w:vMerge w:val="continue"/>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党员在民主评议中被评为优秀等级的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w:t>
            </w:r>
          </w:p>
        </w:tc>
        <w:tc>
          <w:tcPr>
            <w:tcW w:w="829" w:type="dxa"/>
            <w:vMerge w:val="continue"/>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守信</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信息</w:t>
            </w:r>
          </w:p>
        </w:tc>
        <w:tc>
          <w:tcPr>
            <w:tcW w:w="1050"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志愿</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服务</w:t>
            </w: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志愿服务时间累计达到10小时</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志愿服务时间累计达到20小时</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志愿服务时间累计达到50小时</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志愿服务时间累计达到80小时</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志愿服务时间累计达到100小时</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志愿服务时间累计达到150小时</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志愿服务时间累计达到200小时</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+30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top"/>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志愿服务时间累计达到250小时</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+40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top"/>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志愿服务时间累计达到300小时</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0" w:hRule="exact"/>
          <w:jc w:val="center"/>
        </w:trPr>
        <w:tc>
          <w:tcPr>
            <w:tcW w:w="1227"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守信</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信息</w:t>
            </w:r>
          </w:p>
        </w:tc>
        <w:tc>
          <w:tcPr>
            <w:tcW w:w="1050"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个人</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品德</w:t>
            </w: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在抢险救灾中奋力排除险情，保护国家、集体和群众生命财产安全做出突出贡献的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在急、难、险、重工作中表现突出的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227"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守信</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信息</w:t>
            </w:r>
          </w:p>
        </w:tc>
        <w:tc>
          <w:tcPr>
            <w:tcW w:w="1050"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社会</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公益</w:t>
            </w: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捐款100—1000元的，每100元加1分</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+1至+10</w:t>
            </w:r>
          </w:p>
        </w:tc>
        <w:tc>
          <w:tcPr>
            <w:tcW w:w="829" w:type="dxa"/>
            <w:vMerge w:val="restart"/>
            <w:noWrap w:val="0"/>
            <w:vAlign w:val="center"/>
          </w:tcPr>
          <w:p>
            <w:pPr>
              <w:spacing w:line="300" w:lineRule="exact"/>
              <w:jc w:val="center"/>
              <w:rPr>
                <w:rFonts w:ascii="Times New Roman" w:hAnsi="Times New Roman" w:eastAsia="仿宋" w:cs="仿宋_GB2312"/>
                <w:color w:val="auto"/>
                <w:sz w:val="24"/>
              </w:rPr>
            </w:pPr>
            <w:r>
              <w:rPr>
                <w:rFonts w:hint="eastAsia" w:ascii="Times New Roman" w:hAnsi="Times New Roman" w:eastAsia="仿宋_GB2312" w:cs="仿宋_GB2312"/>
                <w:color w:val="auto"/>
                <w:sz w:val="24"/>
              </w:rPr>
              <w:t>每年最高累计40分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捐款1001—5000元的，超过1000元部分，每400元加1分；</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+11至+20</w:t>
            </w:r>
          </w:p>
        </w:tc>
        <w:tc>
          <w:tcPr>
            <w:tcW w:w="829" w:type="dxa"/>
            <w:vMerge w:val="continue"/>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捐款5001—10000元的，超过5000元部分，每500元加1分</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+21至+30</w:t>
            </w:r>
          </w:p>
        </w:tc>
        <w:tc>
          <w:tcPr>
            <w:tcW w:w="829" w:type="dxa"/>
            <w:vMerge w:val="continue"/>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3"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捐款10000元以上的，超过10000元部分，每1000元加1分；</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+31至+40</w:t>
            </w:r>
          </w:p>
        </w:tc>
        <w:tc>
          <w:tcPr>
            <w:tcW w:w="829" w:type="dxa"/>
            <w:vMerge w:val="continue"/>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捐献造血干细胞的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+80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无偿捐献遗体、器官的（父母或配偶作为加分对象）</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8" w:hRule="exact"/>
          <w:jc w:val="center"/>
        </w:trPr>
        <w:tc>
          <w:tcPr>
            <w:tcW w:w="1227"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守信</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信息</w:t>
            </w:r>
          </w:p>
        </w:tc>
        <w:tc>
          <w:tcPr>
            <w:tcW w:w="1050"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表彰</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奖励</w:t>
            </w: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被确定为区级示范点（该工作的主要负责人、分管负责人和具体工作人员）</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8"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被确定为淄博市级示范点（该工作的主要负责人、分管负责人和具体工作人员）</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被确定为省部级示范点（该工作的主要负责人、分管负责人和具体工作人员）</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+30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0"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被确定为国家级示范点（该工作的主要负责人、分管负责人和具体工作人员）</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+40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1"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在工作中有发明创造或者提出合理化建议，对改进部门工作有显著成效，经党委（党组）认定的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受到张店区级、淄博市级部门表彰奖励的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受到淄博市级、省部门级表彰奖励的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+30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受到省部级表彰奖励的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受到国家级表彰奖励的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+80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守信</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信息</w:t>
            </w:r>
          </w:p>
        </w:tc>
        <w:tc>
          <w:tcPr>
            <w:tcW w:w="1050"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国防</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建设</w:t>
            </w: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编入基干民兵队伍分队且训练成绩合格的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1"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参军入伍的</w:t>
            </w:r>
          </w:p>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（服役期间奖励个人及父母）</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（每年）</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7"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服役期间被评为优秀士兵及相当表彰奖励的</w:t>
            </w:r>
          </w:p>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（奖励个人及父母）</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8" w:hRule="exact"/>
          <w:jc w:val="center"/>
        </w:trPr>
        <w:tc>
          <w:tcPr>
            <w:tcW w:w="1227" w:type="dxa"/>
            <w:vMerge w:val="continue"/>
            <w:noWrap w:val="0"/>
            <w:vAlign w:val="center"/>
          </w:tcPr>
          <w:p>
            <w:pPr>
              <w:spacing w:line="300" w:lineRule="exact"/>
              <w:jc w:val="center"/>
              <w:rPr>
                <w:rFonts w:ascii="Times New Roman" w:hAnsi="Times New Roman" w:eastAsia="仿宋"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服役期间荣立三等功的</w:t>
            </w:r>
          </w:p>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（奖励个人及父母）</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4" w:hRule="exact"/>
          <w:jc w:val="center"/>
        </w:trPr>
        <w:tc>
          <w:tcPr>
            <w:tcW w:w="1227" w:type="dxa"/>
            <w:vMerge w:val="continue"/>
            <w:noWrap w:val="0"/>
            <w:vAlign w:val="center"/>
          </w:tcPr>
          <w:p>
            <w:pPr>
              <w:spacing w:line="300" w:lineRule="exact"/>
              <w:jc w:val="center"/>
              <w:rPr>
                <w:rFonts w:ascii="Times New Roman" w:hAnsi="Times New Roman" w:eastAsia="仿宋"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服役期间荣立二等功的</w:t>
            </w:r>
          </w:p>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（奖励个人及父母）</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+30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0" w:hRule="exact"/>
          <w:jc w:val="center"/>
        </w:trPr>
        <w:tc>
          <w:tcPr>
            <w:tcW w:w="1227" w:type="dxa"/>
            <w:vMerge w:val="continue"/>
            <w:noWrap w:val="0"/>
            <w:vAlign w:val="center"/>
          </w:tcPr>
          <w:p>
            <w:pPr>
              <w:spacing w:line="300" w:lineRule="exact"/>
              <w:jc w:val="center"/>
              <w:rPr>
                <w:rFonts w:ascii="Times New Roman" w:hAnsi="Times New Roman" w:eastAsia="仿宋"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服役期间荣立一等功的</w:t>
            </w:r>
          </w:p>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（奖励个人及父母）</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7" w:hRule="exact"/>
          <w:jc w:val="center"/>
        </w:trPr>
        <w:tc>
          <w:tcPr>
            <w:tcW w:w="1227"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守信</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信息</w:t>
            </w:r>
          </w:p>
        </w:tc>
        <w:tc>
          <w:tcPr>
            <w:tcW w:w="1050"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公职人员考核</w:t>
            </w: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公务员、参照公务员法管理单位工作人员受到嘉奖的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8"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公务员、参照公务员法管理单位工作人员记三等功的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公务员、参照公务员法管理单位工作人员记二等功的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+40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1"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公务员、参照公务员法管理单位工作人员记一等功的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+60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机关工勤、事业单位工作人员受到嘉奖的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机关工勤、事业单位工作人员受到记功的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机关工勤、事业单位工作人员受到记大功的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+40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7" w:hRule="exact"/>
          <w:jc w:val="center"/>
        </w:trPr>
        <w:tc>
          <w:tcPr>
            <w:tcW w:w="1227"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守信</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信息</w:t>
            </w:r>
          </w:p>
        </w:tc>
        <w:tc>
          <w:tcPr>
            <w:tcW w:w="1050"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招商</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引资</w:t>
            </w: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招商引资工商业投资达到500至1000万元、农业达到200至500万元的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+20</w:t>
            </w:r>
          </w:p>
        </w:tc>
        <w:tc>
          <w:tcPr>
            <w:tcW w:w="829" w:type="dxa"/>
            <w:vMerge w:val="restart"/>
            <w:noWrap w:val="0"/>
            <w:vAlign w:val="center"/>
          </w:tcPr>
          <w:p>
            <w:pPr>
              <w:spacing w:line="300" w:lineRule="exact"/>
              <w:jc w:val="center"/>
              <w:rPr>
                <w:rFonts w:ascii="Times New Roman" w:hAnsi="Times New Roman" w:eastAsia="仿宋" w:cs="仿宋_GB2312"/>
                <w:color w:val="auto"/>
                <w:sz w:val="24"/>
              </w:rPr>
            </w:pPr>
            <w:r>
              <w:rPr>
                <w:rFonts w:hint="eastAsia" w:ascii="Times New Roman" w:hAnsi="Times New Roman" w:eastAsia="仿宋_GB2312" w:cs="仿宋_GB2312"/>
                <w:color w:val="auto"/>
                <w:sz w:val="24"/>
              </w:rPr>
              <w:t>专业部门除外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8"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招商引资工商业投资达到1000万元以上、农业达到500万元以上的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+50</w:t>
            </w:r>
          </w:p>
        </w:tc>
        <w:tc>
          <w:tcPr>
            <w:tcW w:w="829" w:type="dxa"/>
            <w:vMerge w:val="continue"/>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守信</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信息</w:t>
            </w:r>
          </w:p>
        </w:tc>
        <w:tc>
          <w:tcPr>
            <w:tcW w:w="1050"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文体</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活动</w:t>
            </w:r>
          </w:p>
        </w:tc>
        <w:tc>
          <w:tcPr>
            <w:tcW w:w="4784" w:type="dxa"/>
            <w:vMerge w:val="restart"/>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荣获区级组织的文体活动前三名的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+3</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vMerge w:val="restart"/>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荣获淄博市级组织的文体活动前三名的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+6</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+4</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vMerge w:val="restart"/>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荣获省部级组织的文体活动前三名的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 w:cs="仿宋_GB2312"/>
                <w:color w:val="auto"/>
                <w:sz w:val="24"/>
              </w:rPr>
            </w:pPr>
          </w:p>
        </w:tc>
        <w:tc>
          <w:tcPr>
            <w:tcW w:w="4784" w:type="dxa"/>
            <w:vMerge w:val="continue"/>
            <w:noWrap w:val="0"/>
            <w:vAlign w:val="center"/>
          </w:tcPr>
          <w:p>
            <w:pPr>
              <w:spacing w:line="300" w:lineRule="exact"/>
              <w:jc w:val="left"/>
              <w:rPr>
                <w:rFonts w:ascii="Times New Roman" w:hAnsi="Times New Roman" w:eastAsia="仿宋" w:cs="仿宋_GB2312"/>
                <w:color w:val="auto"/>
                <w:sz w:val="24"/>
              </w:rPr>
            </w:pP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+12</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4" w:hRule="exact"/>
          <w:jc w:val="center"/>
        </w:trPr>
        <w:tc>
          <w:tcPr>
            <w:tcW w:w="1227" w:type="dxa"/>
            <w:vMerge w:val="continue"/>
            <w:noWrap w:val="0"/>
            <w:vAlign w:val="center"/>
          </w:tcPr>
          <w:p>
            <w:pPr>
              <w:spacing w:line="300" w:lineRule="exact"/>
              <w:jc w:val="center"/>
              <w:rPr>
                <w:rFonts w:ascii="Times New Roman" w:hAnsi="Times New Roman" w:eastAsia="仿宋"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 w:cs="仿宋_GB2312"/>
                <w:color w:val="auto"/>
                <w:sz w:val="24"/>
              </w:rPr>
            </w:pPr>
          </w:p>
        </w:tc>
        <w:tc>
          <w:tcPr>
            <w:tcW w:w="4784" w:type="dxa"/>
            <w:vMerge w:val="continue"/>
            <w:noWrap w:val="0"/>
            <w:vAlign w:val="center"/>
          </w:tcPr>
          <w:p>
            <w:pPr>
              <w:spacing w:line="300" w:lineRule="exact"/>
              <w:jc w:val="left"/>
              <w:rPr>
                <w:rFonts w:ascii="Times New Roman" w:hAnsi="Times New Roman" w:eastAsia="仿宋" w:cs="仿宋_GB2312"/>
                <w:color w:val="auto"/>
                <w:sz w:val="24"/>
              </w:rPr>
            </w:pP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+8</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 w:cs="仿宋_GB2312"/>
                <w:color w:val="auto"/>
                <w:sz w:val="24"/>
              </w:rPr>
            </w:pPr>
          </w:p>
        </w:tc>
        <w:tc>
          <w:tcPr>
            <w:tcW w:w="4784" w:type="dxa"/>
            <w:vMerge w:val="restart"/>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荣获国家级组织的文体活动前三名的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+40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 w:cs="仿宋_GB2312"/>
                <w:color w:val="auto"/>
                <w:sz w:val="24"/>
              </w:rPr>
            </w:pPr>
          </w:p>
        </w:tc>
        <w:tc>
          <w:tcPr>
            <w:tcW w:w="4784"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+30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 w:cs="仿宋_GB2312"/>
                <w:color w:val="auto"/>
                <w:sz w:val="24"/>
              </w:rPr>
            </w:pPr>
          </w:p>
        </w:tc>
        <w:tc>
          <w:tcPr>
            <w:tcW w:w="4784"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9" w:hRule="exact"/>
          <w:jc w:val="center"/>
        </w:trPr>
        <w:tc>
          <w:tcPr>
            <w:tcW w:w="1227"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守信</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信息</w:t>
            </w:r>
          </w:p>
        </w:tc>
        <w:tc>
          <w:tcPr>
            <w:tcW w:w="1050"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其他</w:t>
            </w: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当选为“两代表一委员”并合格履职的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+15</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(每年)</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227" w:type="dxa"/>
            <w:vMerge w:val="continue"/>
            <w:noWrap w:val="0"/>
            <w:vAlign w:val="center"/>
          </w:tcPr>
          <w:p>
            <w:pPr>
              <w:spacing w:line="300" w:lineRule="exact"/>
              <w:jc w:val="center"/>
              <w:rPr>
                <w:rFonts w:ascii="Times New Roman" w:hAnsi="Times New Roman" w:eastAsia="仿宋"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其他应当予以奖励的，视情节加分</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+10至+50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1" w:hRule="exact"/>
          <w:jc w:val="center"/>
        </w:trPr>
        <w:tc>
          <w:tcPr>
            <w:tcW w:w="1227"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失信</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信息</w:t>
            </w:r>
          </w:p>
        </w:tc>
        <w:tc>
          <w:tcPr>
            <w:tcW w:w="1050"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政治品质和道德品行</w:t>
            </w: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不关心、不了解党和国家的路线、方针、政策，不学习马克思列宁主义、毛泽东思想、邓小平理论、“三个代表”重要思想、科学发展观、习近平新时代中国特色社会主义思想，缺乏政策水平及理论水平的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9"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在大是大非问题上置身事外、无动于衷，在错误言行面前不抵制、不发声、当老好人的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52"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不明真相被裹挟参加非法集会、游行、示威、讲座、论坛、报告会等活动，经批评教育后确有悔改表现的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3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取得各类资格、职务、荣誉过程中或在各类考核、考试、培训、竞聘、招聘等人事管理活动中出现失信行为的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无正当理由不服从工作安排或调整的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闹不团结，搞无原则纠纷的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3"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侮辱服务对象、殴打他人或者唆使他人打人的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9"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煽动、教唆他人采取扰乱公共秩序、危害公共安全等非法手段解决争议的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-30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拒绝执行各级党委政府做出的决定和命令的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7"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故意不完成任务给工作造成损失、造成不良影响的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弄虚作假，误导、欺骗领导和公众的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压制批评，打击报复，诬告陷害他人的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2" w:hRule="exact"/>
          <w:jc w:val="center"/>
        </w:trPr>
        <w:tc>
          <w:tcPr>
            <w:tcW w:w="1227" w:type="dxa"/>
            <w:vMerge w:val="continue"/>
            <w:noWrap w:val="0"/>
            <w:vAlign w:val="center"/>
          </w:tcPr>
          <w:p>
            <w:pPr>
              <w:spacing w:line="300" w:lineRule="exact"/>
              <w:jc w:val="center"/>
              <w:rPr>
                <w:rFonts w:ascii="Times New Roman" w:hAnsi="Times New Roman" w:eastAsia="仿宋"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国家财产和群众生命财产受到威胁时，能救而不救的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其他违反政治品质和道德品行的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-5至-20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3" w:hRule="exact"/>
          <w:jc w:val="center"/>
        </w:trPr>
        <w:tc>
          <w:tcPr>
            <w:tcW w:w="1227"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失信</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信息</w:t>
            </w:r>
          </w:p>
        </w:tc>
        <w:tc>
          <w:tcPr>
            <w:tcW w:w="1050"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履行</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职责</w:t>
            </w: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不认真执行首问责任制，对群众合理诉求置之不理，遇事推诿扯皮、敷衍塞责，办事超过规定时限的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1"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对各级移送的信访件、批示件、转办件、督办件及通过政务服务热线、市长信箱等反映的问题非因客观原因未及时反馈，未及时办结或不认真办理的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-6</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7"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弄虚作假及其他不作为、乱作为等损害群众利益的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-6</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工作调动未按照规定进行工作交接的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-6</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7"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收缴罚款不出具罚款收据或者不如实填写罚款数额的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8"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违反规定乱检查、乱收费、乱罚款、乱摊派等的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6"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实施行政许可、行政处罚或行政强制措施不当造成不良影响的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-8</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违反法定程序实施行政处罚、行政许可的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33"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行使行政权力不规范，存在“吃拿卡要报”“执法不力”“只罚不管”“管而不放”等现象的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未按规定报送信用信息的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未按规定报送信用信息，造成不良影响的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8"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违反规定应当回避而不回避，影响公正执行公务的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-8</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exact"/>
          <w:jc w:val="center"/>
        </w:trPr>
        <w:tc>
          <w:tcPr>
            <w:tcW w:w="1227" w:type="dxa"/>
            <w:vMerge w:val="continue"/>
            <w:noWrap w:val="0"/>
            <w:vAlign w:val="center"/>
          </w:tcPr>
          <w:p>
            <w:pPr>
              <w:spacing w:line="300" w:lineRule="exact"/>
              <w:jc w:val="center"/>
              <w:rPr>
                <w:rFonts w:ascii="Times New Roman" w:hAnsi="Times New Roman" w:eastAsia="仿宋"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对群众来信来访反映的问题和内容未做到保密，或扣压举报信件的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-9</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exact"/>
          <w:jc w:val="center"/>
        </w:trPr>
        <w:tc>
          <w:tcPr>
            <w:tcW w:w="1227" w:type="dxa"/>
            <w:vMerge w:val="continue"/>
            <w:noWrap w:val="0"/>
            <w:vAlign w:val="center"/>
          </w:tcPr>
          <w:p>
            <w:pPr>
              <w:spacing w:line="300" w:lineRule="exact"/>
              <w:jc w:val="center"/>
              <w:rPr>
                <w:rFonts w:ascii="Times New Roman" w:hAnsi="Times New Roman" w:eastAsia="仿宋"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宣传工作审稿不严，报道失实，造成负面影响的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-9</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3" w:hRule="exact"/>
          <w:jc w:val="center"/>
        </w:trPr>
        <w:tc>
          <w:tcPr>
            <w:tcW w:w="1227" w:type="dxa"/>
            <w:vMerge w:val="continue"/>
            <w:noWrap w:val="0"/>
            <w:vAlign w:val="center"/>
          </w:tcPr>
          <w:p>
            <w:pPr>
              <w:spacing w:line="300" w:lineRule="exact"/>
              <w:jc w:val="center"/>
              <w:rPr>
                <w:rFonts w:ascii="Times New Roman" w:hAnsi="Times New Roman" w:eastAsia="仿宋"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年度考核被评定为基本称职（基本合格）等次的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-30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其他不履行或不正确履行岗位职责的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-5至-20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失信</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信息</w:t>
            </w:r>
          </w:p>
        </w:tc>
        <w:tc>
          <w:tcPr>
            <w:tcW w:w="1050"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工作</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作风</w:t>
            </w: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违反在公共场所禁烟规定的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6"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在配电室、设备机房、档案库、仓库、会议室等重点防火区域吸烟的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-8</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上班、值班无故迟到、早退的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3"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值班人员不按规定交接班的，在值班期间擅自脱岗、离岗的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50"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开会无故迟到、早退或未办理准假手续不参加会议，以及会议期间不遵守会议纪律和要求的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5"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不执行请销假制度，未经领导批准，擅自脱岗、离岗，或上班期间随意串岗的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上班时间上网聊天、打牌、下棋、打麻将、炒股、玩电脑游戏等做与工作无关事情的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1"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旷工或者因公外出、请假期满无正当理由逾期不归的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2"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私自外接电线、电话、网线，更改电器线路和设备，使用非办公大功率电器的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擅自移动或破坏办公楼内消防设施，擅自占用、堵塞封闭消防通道的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-8</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3"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在办公室和公共区域堆放易燃、易爆、有毒等危险物品的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-8</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未按规定漏报、迟报各类报表、计划、总结、信息等材料，影响工作进展的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3" w:hRule="exact"/>
          <w:jc w:val="center"/>
        </w:trPr>
        <w:tc>
          <w:tcPr>
            <w:tcW w:w="1227" w:type="dxa"/>
            <w:vMerge w:val="continue"/>
            <w:noWrap w:val="0"/>
            <w:vAlign w:val="center"/>
          </w:tcPr>
          <w:p>
            <w:pPr>
              <w:spacing w:line="300" w:lineRule="exact"/>
              <w:jc w:val="center"/>
              <w:rPr>
                <w:rFonts w:ascii="Times New Roman" w:hAnsi="Times New Roman" w:eastAsia="仿宋"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申领出境证照后，未按规定交由单位或相关部门统一保管的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2" w:hRule="exact"/>
          <w:jc w:val="center"/>
        </w:trPr>
        <w:tc>
          <w:tcPr>
            <w:tcW w:w="1227" w:type="dxa"/>
            <w:vMerge w:val="continue"/>
            <w:noWrap w:val="0"/>
            <w:vAlign w:val="center"/>
          </w:tcPr>
          <w:p>
            <w:pPr>
              <w:spacing w:line="300" w:lineRule="exact"/>
              <w:jc w:val="center"/>
              <w:rPr>
                <w:rFonts w:ascii="Times New Roman" w:hAnsi="Times New Roman" w:eastAsia="仿宋"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未按规定要求做好财务票据的申领、使用和管理，经监督核查违反财务管理规定行为的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-3</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2" w:hRule="exact"/>
          <w:jc w:val="center"/>
        </w:trPr>
        <w:tc>
          <w:tcPr>
            <w:tcW w:w="1227" w:type="dxa"/>
            <w:vMerge w:val="continue"/>
            <w:noWrap w:val="0"/>
            <w:vAlign w:val="center"/>
          </w:tcPr>
          <w:p>
            <w:pPr>
              <w:spacing w:line="300" w:lineRule="exact"/>
              <w:jc w:val="center"/>
              <w:rPr>
                <w:rFonts w:ascii="Times New Roman" w:hAnsi="Times New Roman" w:eastAsia="仿宋"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未经批准私自使用印章，用印章开具空白信件，或印章丢失不上报的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向无关人员透露应当保密的事项的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69" w:hRule="exact"/>
          <w:jc w:val="center"/>
        </w:trPr>
        <w:tc>
          <w:tcPr>
            <w:tcW w:w="1227" w:type="dxa"/>
            <w:vMerge w:val="continue"/>
            <w:noWrap w:val="0"/>
            <w:vAlign w:val="center"/>
          </w:tcPr>
          <w:p>
            <w:pPr>
              <w:spacing w:line="300" w:lineRule="exact"/>
              <w:jc w:val="center"/>
              <w:rPr>
                <w:rFonts w:ascii="Times New Roman" w:hAnsi="Times New Roman" w:eastAsia="仿宋"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处理问题时态度消极，未能及时调查处理群众反映的问题或未按照相关规定进行实地查勘，不了解群众反映的具体情况，做出不负责任的处理决定或解释回复的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-6</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7" w:hRule="exact"/>
          <w:jc w:val="center"/>
        </w:trPr>
        <w:tc>
          <w:tcPr>
            <w:tcW w:w="1227" w:type="dxa"/>
            <w:vMerge w:val="continue"/>
            <w:noWrap w:val="0"/>
            <w:vAlign w:val="center"/>
          </w:tcPr>
          <w:p>
            <w:pPr>
              <w:spacing w:line="300" w:lineRule="exact"/>
              <w:jc w:val="center"/>
              <w:rPr>
                <w:rFonts w:ascii="Times New Roman" w:hAnsi="Times New Roman" w:eastAsia="仿宋"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接待群众、接听电话时，用语不文明或态度生硬，甚至出现辱骂群众行为的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-6</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办公区内不服从交通管理的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其他工作作风不严不实行为的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-1至-10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93" w:hRule="exact"/>
          <w:jc w:val="center"/>
        </w:trPr>
        <w:tc>
          <w:tcPr>
            <w:tcW w:w="1227"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失信</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信息</w:t>
            </w:r>
          </w:p>
        </w:tc>
        <w:tc>
          <w:tcPr>
            <w:tcW w:w="1050"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共产</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党员</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管理</w:t>
            </w: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无故不参加支部“三会一课”、组织生活会、主题党日、到社区报到等活动，因正当理由请假但事后不补课的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无正当理由，不按规定缴纳党费</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党建材料造假的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其他不符合党员要求的行为</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-1至-10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失信</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信息</w:t>
            </w:r>
          </w:p>
        </w:tc>
        <w:tc>
          <w:tcPr>
            <w:tcW w:w="1050"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党纪</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处分</w:t>
            </w:r>
          </w:p>
        </w:tc>
        <w:tc>
          <w:tcPr>
            <w:tcW w:w="4784" w:type="dxa"/>
            <w:noWrap w:val="0"/>
            <w:vAlign w:val="center"/>
          </w:tcPr>
          <w:p>
            <w:pPr>
              <w:spacing w:line="300" w:lineRule="exact"/>
              <w:jc w:val="left"/>
              <w:rPr>
                <w:rFonts w:ascii="Times New Roman" w:hAnsi="Times New Roman" w:eastAsia="仿宋_GB2312" w:cs="仿宋_GB2312"/>
                <w:color w:val="auto"/>
                <w:kern w:val="2"/>
                <w:sz w:val="24"/>
                <w:szCs w:val="24"/>
                <w:lang w:val="en-US" w:eastAsia="zh-CN"/>
              </w:rPr>
            </w:pPr>
            <w:r>
              <w:rPr>
                <w:rFonts w:hint="eastAsia" w:ascii="Times New Roman" w:hAnsi="Times New Roman" w:eastAsia="仿宋_GB2312" w:cs="仿宋_GB2312"/>
                <w:color w:val="auto"/>
                <w:sz w:val="24"/>
              </w:rPr>
              <w:t>受到警告处分的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kern w:val="2"/>
                <w:sz w:val="24"/>
                <w:szCs w:val="24"/>
                <w:lang w:val="en-US" w:eastAsia="zh-CN"/>
              </w:rPr>
            </w:pPr>
            <w:r>
              <w:rPr>
                <w:rFonts w:hint="eastAsia" w:ascii="Times New Roman" w:hAnsi="Times New Roman" w:eastAsia="仿宋_GB2312" w:cs="仿宋_GB2312"/>
                <w:color w:val="auto"/>
                <w:sz w:val="24"/>
              </w:rPr>
              <w:t>受到严重警告处分的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kern w:val="2"/>
                <w:sz w:val="24"/>
                <w:szCs w:val="24"/>
                <w:lang w:val="en-US" w:eastAsia="zh-CN"/>
              </w:rPr>
            </w:pPr>
            <w:r>
              <w:rPr>
                <w:rFonts w:hint="eastAsia" w:ascii="Times New Roman" w:hAnsi="Times New Roman" w:eastAsia="仿宋_GB2312" w:cs="仿宋_GB2312"/>
                <w:color w:val="auto"/>
                <w:sz w:val="24"/>
              </w:rPr>
              <w:t>受到撤销党内职务处分的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kern w:val="2"/>
                <w:sz w:val="24"/>
                <w:szCs w:val="24"/>
                <w:lang w:val="en-US" w:eastAsia="zh-CN"/>
              </w:rPr>
            </w:pPr>
            <w:r>
              <w:rPr>
                <w:rFonts w:hint="eastAsia" w:ascii="Times New Roman" w:hAnsi="Times New Roman" w:eastAsia="仿宋_GB2312" w:cs="仿宋_GB2312"/>
                <w:color w:val="auto"/>
                <w:sz w:val="24"/>
              </w:rPr>
              <w:t>受到留党察看处分的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-30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受到开除党籍处分的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失信</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信息</w:t>
            </w:r>
          </w:p>
        </w:tc>
        <w:tc>
          <w:tcPr>
            <w:tcW w:w="1050"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政务</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处分</w:t>
            </w: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受到警告处分的</w:t>
            </w:r>
          </w:p>
        </w:tc>
        <w:tc>
          <w:tcPr>
            <w:tcW w:w="1170" w:type="dxa"/>
            <w:noWrap w:val="0"/>
            <w:vAlign w:val="center"/>
          </w:tcPr>
          <w:p>
            <w:pPr>
              <w:spacing w:line="300" w:lineRule="exact"/>
              <w:jc w:val="center"/>
              <w:rPr>
                <w:rFonts w:hint="eastAsia" w:ascii="Times New Roman" w:hAnsi="Times New Roman" w:eastAsia="仿宋_GB2312" w:cs="仿宋_GB2312"/>
                <w:color w:val="auto"/>
                <w:sz w:val="24"/>
                <w:lang w:eastAsia="zh-CN"/>
              </w:rPr>
            </w:pPr>
            <w:r>
              <w:rPr>
                <w:rFonts w:hint="eastAsia" w:ascii="Times New Roman" w:hAnsi="Times New Roman" w:eastAsia="仿宋_GB2312" w:cs="仿宋_GB2312"/>
                <w:color w:val="auto"/>
                <w:sz w:val="24"/>
              </w:rPr>
              <w:t>-1</w:t>
            </w:r>
            <w:r>
              <w:rPr>
                <w:rFonts w:hint="eastAsia" w:ascii="Times New Roman" w:hAnsi="Times New Roman" w:eastAsia="仿宋_GB2312" w:cs="仿宋_GB2312"/>
                <w:color w:val="auto"/>
                <w:sz w:val="24"/>
                <w:lang w:val="en-US" w:eastAsia="zh-CN"/>
              </w:rPr>
              <w:t>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受到记过处分的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受到记大过处分的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center"/>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受到降级、</w:t>
            </w:r>
            <w:r>
              <w:rPr>
                <w:rFonts w:hint="eastAsia" w:ascii="Times New Roman" w:hAnsi="Times New Roman" w:eastAsia="仿宋_GB2312" w:cs="仿宋_GB2312"/>
                <w:color w:val="auto"/>
                <w:sz w:val="24"/>
                <w:lang w:eastAsia="zh-CN"/>
              </w:rPr>
              <w:t>撤职</w:t>
            </w:r>
            <w:r>
              <w:rPr>
                <w:rFonts w:hint="eastAsia" w:ascii="Times New Roman" w:hAnsi="Times New Roman" w:eastAsia="仿宋_GB2312" w:cs="仿宋_GB2312"/>
                <w:color w:val="auto"/>
                <w:sz w:val="24"/>
              </w:rPr>
              <w:t>处分的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-30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失信</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信息</w:t>
            </w:r>
          </w:p>
        </w:tc>
        <w:tc>
          <w:tcPr>
            <w:tcW w:w="1050" w:type="dxa"/>
            <w:vMerge w:val="restart"/>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其他</w:t>
            </w:r>
          </w:p>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处理</w:t>
            </w: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受到效能告诫、待岗学习等措施的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-3</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受到谈话提醒的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-3</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受到批评教育的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-3</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被责令作出书面检查的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受到诫勉谈话的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被本单位通报批评的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被区级通报批评的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被淄博市级通报批评的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被省部级通报批评的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-25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停职检查和职务调整的</w:t>
            </w:r>
          </w:p>
        </w:tc>
        <w:tc>
          <w:tcPr>
            <w:tcW w:w="1170" w:type="dxa"/>
            <w:noWrap w:val="0"/>
            <w:vAlign w:val="center"/>
          </w:tcPr>
          <w:p>
            <w:pPr>
              <w:spacing w:line="300" w:lineRule="exact"/>
              <w:jc w:val="center"/>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-15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受到责令辞职、降职、免职的</w:t>
            </w:r>
          </w:p>
        </w:tc>
        <w:tc>
          <w:tcPr>
            <w:tcW w:w="1170" w:type="dxa"/>
            <w:noWrap w:val="0"/>
            <w:vAlign w:val="center"/>
          </w:tcPr>
          <w:p>
            <w:pPr>
              <w:spacing w:line="300" w:lineRule="exact"/>
              <w:jc w:val="center"/>
              <w:rPr>
                <w:rFonts w:hint="default" w:ascii="Times New Roman" w:hAnsi="Times New Roman" w:eastAsia="仿宋_GB2312" w:cs="仿宋_GB2312"/>
                <w:color w:val="auto"/>
                <w:sz w:val="24"/>
                <w:lang w:val="en-US" w:eastAsia="zh-CN"/>
              </w:rPr>
            </w:pPr>
            <w:r>
              <w:rPr>
                <w:rFonts w:hint="eastAsia" w:ascii="Times New Roman" w:hAnsi="Times New Roman" w:eastAsia="仿宋_GB2312" w:cs="仿宋_GB2312"/>
                <w:color w:val="auto"/>
                <w:sz w:val="24"/>
              </w:rPr>
              <w:t>-</w:t>
            </w:r>
            <w:r>
              <w:rPr>
                <w:rFonts w:hint="eastAsia" w:ascii="Times New Roman" w:hAnsi="Times New Roman" w:eastAsia="仿宋_GB2312" w:cs="仿宋_GB2312"/>
                <w:color w:val="auto"/>
                <w:sz w:val="24"/>
                <w:lang w:val="en-US" w:eastAsia="zh-CN"/>
              </w:rPr>
              <w:t>15</w:t>
            </w:r>
          </w:p>
        </w:tc>
        <w:tc>
          <w:tcPr>
            <w:tcW w:w="829" w:type="dxa"/>
            <w:noWrap w:val="0"/>
            <w:vAlign w:val="center"/>
          </w:tcPr>
          <w:p>
            <w:pPr>
              <w:spacing w:line="300" w:lineRule="exact"/>
              <w:jc w:val="center"/>
              <w:rPr>
                <w:rFonts w:ascii="Times New Roman" w:hAnsi="Times New Roman"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227"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1050" w:type="dxa"/>
            <w:vMerge w:val="continue"/>
            <w:noWrap w:val="0"/>
            <w:vAlign w:val="center"/>
          </w:tcPr>
          <w:p>
            <w:pPr>
              <w:spacing w:line="300" w:lineRule="exact"/>
              <w:jc w:val="left"/>
              <w:rPr>
                <w:rFonts w:ascii="Times New Roman" w:hAnsi="Times New Roman" w:eastAsia="仿宋_GB2312" w:cs="仿宋_GB2312"/>
                <w:color w:val="auto"/>
                <w:sz w:val="24"/>
              </w:rPr>
            </w:pPr>
          </w:p>
        </w:tc>
        <w:tc>
          <w:tcPr>
            <w:tcW w:w="4784" w:type="dxa"/>
            <w:noWrap w:val="0"/>
            <w:vAlign w:val="center"/>
          </w:tcPr>
          <w:p>
            <w:pPr>
              <w:spacing w:line="300" w:lineRule="exact"/>
              <w:jc w:val="left"/>
              <w:rPr>
                <w:rFonts w:hint="eastAsia" w:ascii="Times New Roman" w:hAnsi="Times New Roman" w:eastAsia="仿宋_GB2312" w:cs="仿宋_GB2312"/>
                <w:color w:val="auto"/>
                <w:sz w:val="24"/>
                <w:lang w:eastAsia="zh-CN"/>
              </w:rPr>
            </w:pPr>
            <w:r>
              <w:rPr>
                <w:rFonts w:hint="eastAsia" w:ascii="Times New Roman" w:hAnsi="Times New Roman" w:eastAsia="仿宋_GB2312" w:cs="仿宋_GB2312"/>
                <w:color w:val="auto"/>
                <w:sz w:val="24"/>
                <w:lang w:eastAsia="zh-CN"/>
              </w:rPr>
              <w:t>受到其他组织处理的</w:t>
            </w:r>
          </w:p>
        </w:tc>
        <w:tc>
          <w:tcPr>
            <w:tcW w:w="1170" w:type="dxa"/>
            <w:noWrap w:val="0"/>
            <w:vAlign w:val="center"/>
          </w:tcPr>
          <w:p>
            <w:pPr>
              <w:spacing w:line="300" w:lineRule="exact"/>
              <w:jc w:val="center"/>
              <w:rPr>
                <w:rFonts w:hint="default" w:ascii="Times New Roman" w:hAnsi="Times New Roman" w:eastAsia="仿宋_GB2312" w:cs="仿宋_GB2312"/>
                <w:color w:val="auto"/>
                <w:sz w:val="24"/>
                <w:lang w:val="en-US" w:eastAsia="zh-CN"/>
              </w:rPr>
            </w:pPr>
            <w:r>
              <w:rPr>
                <w:rFonts w:hint="eastAsia" w:ascii="Times New Roman" w:hAnsi="Times New Roman" w:eastAsia="仿宋_GB2312" w:cs="仿宋_GB2312"/>
                <w:color w:val="auto"/>
                <w:sz w:val="24"/>
                <w:lang w:val="en-US" w:eastAsia="zh-CN"/>
              </w:rPr>
              <w:t>-1至-10</w:t>
            </w:r>
          </w:p>
        </w:tc>
        <w:tc>
          <w:tcPr>
            <w:tcW w:w="829" w:type="dxa"/>
            <w:noWrap w:val="0"/>
            <w:vAlign w:val="center"/>
          </w:tcPr>
          <w:p>
            <w:pPr>
              <w:spacing w:line="300" w:lineRule="exact"/>
              <w:jc w:val="center"/>
              <w:rPr>
                <w:rFonts w:ascii="Times New Roman" w:hAnsi="Times New Roman" w:eastAsia="仿宋" w:cs="仿宋_GB2312"/>
                <w:color w:val="auto"/>
                <w:sz w:val="24"/>
              </w:rPr>
            </w:pPr>
          </w:p>
        </w:tc>
      </w:tr>
    </w:tbl>
    <w:p>
      <w:pPr>
        <w:spacing w:line="560" w:lineRule="exact"/>
        <w:rPr>
          <w:rFonts w:ascii="Times New Roman" w:hAnsi="Times New Roman" w:eastAsia="仿宋" w:cs="仿宋_GB2312"/>
          <w:color w:val="auto"/>
          <w:sz w:val="32"/>
          <w:szCs w:val="32"/>
        </w:rPr>
      </w:pPr>
    </w:p>
    <w:p>
      <w:pPr>
        <w:rPr>
          <w:rFonts w:ascii="Times New Roman" w:hAnsi="Times New Roman"/>
        </w:rPr>
      </w:pPr>
    </w:p>
    <w:p>
      <w:pPr>
        <w:pStyle w:val="12"/>
        <w:rPr>
          <w:rFonts w:ascii="Times New Roman" w:hAnsi="Times New Roman"/>
        </w:rPr>
      </w:pPr>
    </w:p>
    <w:p>
      <w:pPr>
        <w:rPr>
          <w:rFonts w:ascii="Times New Roman" w:hAnsi="Times New Roman"/>
        </w:rPr>
      </w:pPr>
    </w:p>
    <w:p>
      <w:pPr>
        <w:pStyle w:val="12"/>
        <w:rPr>
          <w:rFonts w:ascii="Times New Roman" w:hAnsi="Times New Roman"/>
        </w:rPr>
      </w:pPr>
    </w:p>
    <w:p>
      <w:pPr>
        <w:rPr>
          <w:rFonts w:ascii="Times New Roman" w:hAnsi="Times New Roman"/>
        </w:rPr>
      </w:pPr>
    </w:p>
    <w:p>
      <w:pPr>
        <w:pStyle w:val="12"/>
        <w:rPr>
          <w:rFonts w:ascii="Times New Roman" w:hAnsi="Times New Roman"/>
        </w:rPr>
      </w:pPr>
    </w:p>
    <w:p>
      <w:pPr>
        <w:rPr>
          <w:rFonts w:ascii="Times New Roman" w:hAnsi="Times New Roman"/>
        </w:rPr>
      </w:pPr>
    </w:p>
    <w:p>
      <w:pPr>
        <w:pStyle w:val="12"/>
        <w:rPr>
          <w:rFonts w:ascii="Times New Roman" w:hAnsi="Times New Roman"/>
        </w:rPr>
      </w:pPr>
    </w:p>
    <w:p>
      <w:pPr>
        <w:rPr>
          <w:rFonts w:ascii="Times New Roman" w:hAnsi="Times New Roman"/>
        </w:rPr>
      </w:pPr>
    </w:p>
    <w:p>
      <w:pPr>
        <w:pStyle w:val="12"/>
        <w:rPr>
          <w:rFonts w:ascii="Times New Roman" w:hAnsi="Times New Roman"/>
        </w:rPr>
      </w:pPr>
    </w:p>
    <w:p>
      <w:pPr>
        <w:rPr>
          <w:rFonts w:ascii="Times New Roman" w:hAnsi="Times New Roman"/>
        </w:rPr>
      </w:pPr>
    </w:p>
    <w:p>
      <w:pPr>
        <w:pStyle w:val="12"/>
        <w:rPr>
          <w:rFonts w:ascii="Times New Roman" w:hAnsi="Times New Roman"/>
        </w:rPr>
      </w:pPr>
    </w:p>
    <w:p>
      <w:pPr>
        <w:rPr>
          <w:rFonts w:ascii="Times New Roman" w:hAnsi="Times New Roman"/>
        </w:rPr>
      </w:pPr>
    </w:p>
    <w:p>
      <w:pPr>
        <w:pStyle w:val="12"/>
        <w:rPr>
          <w:rFonts w:ascii="Times New Roman" w:hAnsi="Times New Roman"/>
        </w:rPr>
      </w:pPr>
    </w:p>
    <w:p>
      <w:pPr>
        <w:rPr>
          <w:rFonts w:ascii="Times New Roman" w:hAnsi="Times New Roman"/>
        </w:rPr>
      </w:pPr>
    </w:p>
    <w:p>
      <w:pPr>
        <w:pStyle w:val="12"/>
        <w:rPr>
          <w:rFonts w:ascii="Times New Roman" w:hAnsi="Times New Roman"/>
        </w:rPr>
      </w:pPr>
    </w:p>
    <w:p>
      <w:pPr>
        <w:rPr>
          <w:rFonts w:ascii="Times New Roman" w:hAnsi="Times New Roman"/>
        </w:rPr>
      </w:pPr>
    </w:p>
    <w:p>
      <w:pPr>
        <w:pStyle w:val="12"/>
        <w:rPr>
          <w:rFonts w:ascii="Times New Roman" w:hAnsi="Times New Roman"/>
        </w:rPr>
      </w:pPr>
    </w:p>
    <w:p/>
    <w:p>
      <w:pPr>
        <w:keepNext w:val="0"/>
        <w:keepLines w:val="0"/>
        <w:pageBreakBefore w:val="0"/>
        <w:widowControl w:val="0"/>
        <w:pBdr>
          <w:bottom w:val="single" w:color="auto" w:sz="4" w:space="0"/>
        </w:pBdr>
        <w:kinsoku/>
        <w:wordWrap/>
        <w:overflowPunct/>
        <w:topLinePunct w:val="0"/>
        <w:autoSpaceDE/>
        <w:autoSpaceDN/>
        <w:bidi w:val="0"/>
        <w:adjustRightInd/>
        <w:snapToGrid/>
        <w:spacing w:line="480" w:lineRule="exact"/>
        <w:rPr>
          <w:rFonts w:ascii="Times New Roman" w:hAnsi="Times New Roman" w:eastAsia="仿宋_GB2312"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center"/>
        <w:rPr>
          <w:rFonts w:hint="eastAsia" w:ascii="仿宋" w:hAnsi="仿宋" w:eastAsia="仿宋_GB2312"/>
          <w:color w:val="auto"/>
          <w:sz w:val="28"/>
          <w:szCs w:val="28"/>
          <w:lang w:eastAsia="zh-CN"/>
        </w:rPr>
      </w:pPr>
      <w:r>
        <w:rPr>
          <w:rFonts w:ascii="Times New Roman" w:hAnsi="Times New Roman" w:eastAsia="仿宋_GB2312" w:cs="Times New Roman"/>
          <w:color w:val="auto"/>
          <w:sz w:val="28"/>
          <w:szCs w:val="28"/>
        </w:rPr>
        <w:t>抄送：区委办公室，区人大常委会办公室，区政协办公室，</w:t>
      </w:r>
      <w:r>
        <w:rPr>
          <w:rFonts w:hint="eastAsia" w:ascii="仿宋" w:hAnsi="仿宋" w:eastAsia="仿宋_GB2312"/>
          <w:color w:val="auto"/>
          <w:sz w:val="28"/>
          <w:szCs w:val="28"/>
          <w:lang w:eastAsia="zh-CN"/>
        </w:rPr>
        <w:t>区监委，</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center"/>
        <w:rPr>
          <w:rFonts w:ascii="Times New Roman" w:hAnsi="Times New Roman" w:eastAsia="仿宋_GB2312" w:cs="Times New Roman"/>
          <w:color w:val="auto"/>
          <w:szCs w:val="32"/>
        </w:rPr>
      </w:pPr>
      <w:r>
        <w:rPr>
          <w:rFonts w:ascii="Times New Roman" w:hAnsi="Times New Roman" w:eastAsia="仿宋_GB2312" w:cs="Times New Roman"/>
          <w:color w:val="auto"/>
          <w:sz w:val="28"/>
          <w:szCs w:val="28"/>
        </w:rPr>
        <w:t>区法院，区检察院。</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ind w:firstLine="280" w:firstLineChars="100"/>
        <w:textAlignment w:val="center"/>
        <w:rPr>
          <w:rFonts w:ascii="Times New Roman" w:hAnsi="Times New Roman" w:cs="Times New Roman"/>
          <w:color w:val="auto"/>
        </w:rPr>
      </w:pPr>
      <w:r>
        <w:rPr>
          <w:rFonts w:ascii="Times New Roman" w:hAnsi="Times New Roman" w:eastAsia="仿宋_GB2312" w:cs="Times New Roman"/>
          <w:color w:val="auto"/>
          <w:sz w:val="28"/>
          <w:szCs w:val="28"/>
        </w:rPr>
        <w:t>淄博市张店区人民政府办公室            2021年1</w:t>
      </w:r>
      <w:r>
        <w:rPr>
          <w:rFonts w:hint="eastAsia" w:ascii="Times New Roman" w:hAnsi="Times New Roman" w:eastAsia="仿宋_GB2312" w:cs="Times New Roman"/>
          <w:color w:val="auto"/>
          <w:sz w:val="28"/>
          <w:szCs w:val="28"/>
          <w:lang w:val="en-US" w:eastAsia="zh-CN"/>
        </w:rPr>
        <w:t>2</w:t>
      </w:r>
      <w:r>
        <w:rPr>
          <w:rFonts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31</w:t>
      </w:r>
      <w:r>
        <w:rPr>
          <w:rFonts w:ascii="Times New Roman" w:hAnsi="Times New Roman" w:eastAsia="仿宋_GB2312" w:cs="Times New Roman"/>
          <w:color w:val="auto"/>
          <w:sz w:val="28"/>
          <w:szCs w:val="28"/>
        </w:rPr>
        <w:t>日印发</w:t>
      </w:r>
    </w:p>
    <w:p>
      <w:pPr>
        <w:pStyle w:val="12"/>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ZDDR-2021-0010006</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仿宋_GB2312" w:cs="仿宋_GB2312"/>
          <w:sz w:val="32"/>
          <w:szCs w:val="32"/>
          <w:lang w:val="en-US" w:eastAsia="zh-CN"/>
        </w:rPr>
      </w:pPr>
    </w:p>
    <w:p>
      <w:pPr>
        <w:pStyle w:val="12"/>
        <w:ind w:left="0" w:leftChars="0" w:firstLine="0" w:firstLineChars="0"/>
        <w:rPr>
          <w:rFonts w:hint="eastAsia" w:ascii="Times New Roman" w:hAnsi="Times New Roman" w:eastAsia="仿宋_GB2312" w:cs="仿宋_GB2312"/>
          <w:sz w:val="32"/>
          <w:szCs w:val="32"/>
          <w:lang w:val="en-US" w:eastAsia="zh-CN"/>
        </w:rPr>
      </w:pPr>
    </w:p>
    <w:p>
      <w:pPr>
        <w:rPr>
          <w:rFonts w:hint="eastAsia" w:ascii="Times New Roman" w:hAnsi="Times New Roman" w:eastAsia="仿宋_GB2312" w:cs="仿宋_GB2312"/>
          <w:sz w:val="32"/>
          <w:szCs w:val="32"/>
          <w:lang w:val="en-US" w:eastAsia="zh-CN"/>
        </w:rPr>
      </w:pPr>
    </w:p>
    <w:p>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仿宋_GB2312"/>
          <w:spacing w:val="10"/>
          <w:sz w:val="32"/>
        </w:rPr>
      </w:pPr>
      <w:r>
        <w:rPr>
          <w:rFonts w:hint="eastAsia" w:ascii="Times New Roman" w:hAnsi="Times New Roman" w:eastAsia="仿宋_GB2312"/>
          <w:spacing w:val="10"/>
          <w:sz w:val="32"/>
        </w:rPr>
        <w:t>张政字〔20</w:t>
      </w:r>
      <w:r>
        <w:rPr>
          <w:rFonts w:hint="eastAsia" w:ascii="Times New Roman" w:hAnsi="Times New Roman" w:eastAsia="仿宋_GB2312"/>
          <w:spacing w:val="10"/>
          <w:sz w:val="32"/>
          <w:lang w:val="en-US" w:eastAsia="zh-CN"/>
        </w:rPr>
        <w:t>21</w:t>
      </w:r>
      <w:r>
        <w:rPr>
          <w:rFonts w:hint="eastAsia" w:ascii="Times New Roman" w:hAnsi="Times New Roman" w:eastAsia="仿宋_GB2312"/>
          <w:spacing w:val="10"/>
          <w:sz w:val="32"/>
        </w:rPr>
        <w:t>〕</w:t>
      </w:r>
      <w:r>
        <w:rPr>
          <w:rFonts w:hint="eastAsia" w:ascii="Times New Roman" w:hAnsi="Times New Roman" w:eastAsia="仿宋_GB2312"/>
          <w:spacing w:val="10"/>
          <w:sz w:val="32"/>
          <w:lang w:val="en-US" w:eastAsia="zh-CN"/>
        </w:rPr>
        <w:t>89</w:t>
      </w:r>
      <w:r>
        <w:rPr>
          <w:rFonts w:hint="eastAsia" w:ascii="Times New Roman" w:hAnsi="Times New Roman" w:eastAsia="仿宋_GB2312"/>
          <w:spacing w:val="10"/>
          <w:sz w:val="32"/>
        </w:rPr>
        <w:t>号</w:t>
      </w:r>
    </w:p>
    <w:p>
      <w:pPr>
        <w:rPr>
          <w:rFonts w:hint="eastAsia" w:ascii="Times New Roman" w:hAnsi="Times New Roman" w:eastAsia="仿宋_GB2312" w:cs="仿宋_GB2312"/>
          <w:sz w:val="32"/>
          <w:szCs w:val="32"/>
          <w:lang w:val="en-US" w:eastAsia="zh-CN"/>
        </w:rPr>
      </w:pPr>
    </w:p>
    <w:p>
      <w:pPr>
        <w:pStyle w:val="12"/>
        <w:rPr>
          <w:rFonts w:hint="eastAsia"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28"/>
        </w:rPr>
      </w:pPr>
      <w:r>
        <w:rPr>
          <w:rFonts w:hint="default" w:ascii="Times New Roman" w:hAnsi="Times New Roman" w:eastAsia="方正小标宋简体" w:cs="Times New Roman"/>
          <w:sz w:val="44"/>
          <w:szCs w:val="28"/>
          <w:lang w:val="en-US" w:eastAsia="zh-CN"/>
        </w:rPr>
        <w:t>张店区</w:t>
      </w:r>
      <w:r>
        <w:rPr>
          <w:rFonts w:hint="default" w:ascii="Times New Roman" w:hAnsi="Times New Roman" w:eastAsia="方正小标宋简体" w:cs="Times New Roman"/>
          <w:sz w:val="44"/>
          <w:szCs w:val="28"/>
        </w:rPr>
        <w:t>人民政府</w:t>
      </w:r>
    </w:p>
    <w:p>
      <w:pPr>
        <w:keepNext w:val="0"/>
        <w:keepLines w:val="0"/>
        <w:pageBreakBefore w:val="0"/>
        <w:widowControl w:val="0"/>
        <w:kinsoku/>
        <w:wordWrap/>
        <w:overflowPunct/>
        <w:topLinePunct w:val="0"/>
        <w:bidi w:val="0"/>
        <w:adjustRightInd w:val="0"/>
        <w:snapToGrid w:val="0"/>
        <w:spacing w:line="560" w:lineRule="exact"/>
        <w:ind w:left="880" w:hanging="880" w:hangingChars="200"/>
        <w:jc w:val="both"/>
        <w:textAlignment w:val="auto"/>
        <w:outlineLvl w:val="9"/>
        <w:rPr>
          <w:rFonts w:hint="default" w:ascii="Times New Roman" w:hAnsi="Times New Roman" w:eastAsia="文星标宋" w:cs="Times New Roman"/>
          <w:sz w:val="44"/>
          <w:szCs w:val="28"/>
        </w:rPr>
      </w:pPr>
      <w:r>
        <w:rPr>
          <w:rFonts w:hint="default" w:ascii="Times New Roman" w:hAnsi="Times New Roman" w:eastAsia="方正小标宋简体" w:cs="Times New Roman"/>
          <w:sz w:val="44"/>
          <w:szCs w:val="28"/>
        </w:rPr>
        <w:t>关于印发</w:t>
      </w:r>
      <w:r>
        <w:rPr>
          <w:rFonts w:hint="eastAsia" w:ascii="Times New Roman" w:hAnsi="Times New Roman" w:eastAsia="方正小标宋简体" w:cs="方正小标宋简体"/>
          <w:sz w:val="44"/>
          <w:szCs w:val="44"/>
          <w:lang w:eastAsia="zh-CN"/>
        </w:rPr>
        <w:t>张店区</w:t>
      </w:r>
      <w:r>
        <w:rPr>
          <w:rFonts w:hint="eastAsia" w:ascii="Times New Roman" w:hAnsi="Times New Roman" w:eastAsia="方正小标宋简体" w:cs="方正小标宋简体"/>
          <w:sz w:val="44"/>
          <w:szCs w:val="44"/>
        </w:rPr>
        <w:t>个人诚信积分</w:t>
      </w:r>
      <w:r>
        <w:rPr>
          <w:rFonts w:hint="eastAsia" w:ascii="Times New Roman" w:hAnsi="Times New Roman" w:eastAsia="方正小标宋简体" w:cs="方正小标宋简体"/>
          <w:sz w:val="44"/>
          <w:szCs w:val="44"/>
          <w:lang w:eastAsia="zh-CN"/>
        </w:rPr>
        <w:t>（爱张店·诚信分）</w:t>
      </w:r>
      <w:r>
        <w:rPr>
          <w:rFonts w:hint="eastAsia" w:ascii="Times New Roman" w:hAnsi="Times New Roman" w:eastAsia="方正小标宋简体" w:cs="方正小标宋简体"/>
          <w:sz w:val="44"/>
          <w:szCs w:val="44"/>
        </w:rPr>
        <w:t>管理</w:t>
      </w:r>
      <w:r>
        <w:rPr>
          <w:rFonts w:hint="eastAsia" w:ascii="Times New Roman" w:hAnsi="Times New Roman" w:eastAsia="方正小标宋简体" w:cs="方正小标宋简体"/>
          <w:sz w:val="44"/>
          <w:szCs w:val="44"/>
          <w:lang w:eastAsia="zh-CN"/>
        </w:rPr>
        <w:t>实施方案（</w:t>
      </w:r>
      <w:r>
        <w:rPr>
          <w:rFonts w:hint="eastAsia" w:ascii="Times New Roman" w:hAnsi="Times New Roman" w:eastAsia="方正小标宋简体" w:cs="方正小标宋简体"/>
          <w:sz w:val="44"/>
          <w:szCs w:val="44"/>
          <w:lang w:val="en-US" w:eastAsia="zh-CN"/>
        </w:rPr>
        <w:t>试行</w:t>
      </w:r>
      <w:r>
        <w:rPr>
          <w:rFonts w:hint="eastAsia" w:ascii="Times New Roman" w:hAnsi="Times New Roman" w:eastAsia="方正小标宋简体" w:cs="方正小标宋简体"/>
          <w:sz w:val="44"/>
          <w:szCs w:val="44"/>
          <w:lang w:eastAsia="zh-CN"/>
        </w:rPr>
        <w:t>）的</w:t>
      </w:r>
      <w:r>
        <w:rPr>
          <w:rFonts w:hint="default" w:ascii="Times New Roman" w:hAnsi="Times New Roman" w:eastAsia="方正小标宋简体" w:cs="Times New Roman"/>
          <w:sz w:val="44"/>
          <w:szCs w:val="28"/>
        </w:rPr>
        <w:t>通知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28"/>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各</w:t>
      </w:r>
      <w:r>
        <w:rPr>
          <w:rFonts w:hint="default" w:ascii="Times New Roman" w:hAnsi="Times New Roman" w:eastAsia="仿宋_GB2312" w:cs="Times New Roman"/>
          <w:sz w:val="32"/>
          <w:szCs w:val="28"/>
          <w:lang w:val="en-US" w:eastAsia="zh-CN"/>
        </w:rPr>
        <w:t>镇政府、街道办事处</w:t>
      </w:r>
      <w:r>
        <w:rPr>
          <w:rFonts w:hint="eastAsia" w:ascii="Times New Roman" w:hAnsi="Times New Roman" w:eastAsia="仿宋_GB2312" w:cs="Times New Roman"/>
          <w:sz w:val="32"/>
          <w:szCs w:val="28"/>
          <w:lang w:val="en-US" w:eastAsia="zh-CN"/>
        </w:rPr>
        <w:t>，</w:t>
      </w:r>
      <w:r>
        <w:rPr>
          <w:rFonts w:hint="default" w:ascii="Times New Roman" w:hAnsi="Times New Roman" w:eastAsia="仿宋_GB2312" w:cs="Times New Roman"/>
          <w:sz w:val="32"/>
          <w:szCs w:val="28"/>
          <w:lang w:val="en-US" w:eastAsia="zh-CN"/>
        </w:rPr>
        <w:t>区</w:t>
      </w:r>
      <w:r>
        <w:rPr>
          <w:rFonts w:hint="default" w:ascii="Times New Roman" w:hAnsi="Times New Roman" w:eastAsia="仿宋_GB2312" w:cs="Times New Roman"/>
          <w:sz w:val="32"/>
          <w:szCs w:val="28"/>
        </w:rPr>
        <w:t>政府各部门，各有关单位：</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现将</w:t>
      </w:r>
      <w:r>
        <w:rPr>
          <w:rFonts w:hint="default" w:ascii="Times New Roman" w:hAnsi="Times New Roman" w:eastAsia="仿宋_GB2312" w:cs="Times New Roman"/>
          <w:sz w:val="32"/>
          <w:szCs w:val="28"/>
          <w:lang w:val="en-US" w:eastAsia="zh-CN"/>
        </w:rPr>
        <w:t>《</w:t>
      </w:r>
      <w:r>
        <w:rPr>
          <w:rFonts w:hint="eastAsia" w:ascii="Times New Roman" w:hAnsi="Times New Roman" w:eastAsia="仿宋_GB2312" w:cs="Times New Roman"/>
          <w:sz w:val="32"/>
          <w:szCs w:val="28"/>
          <w:lang w:eastAsia="zh-CN"/>
        </w:rPr>
        <w:t>张店区</w:t>
      </w:r>
      <w:r>
        <w:rPr>
          <w:rFonts w:hint="eastAsia" w:ascii="Times New Roman" w:hAnsi="Times New Roman" w:eastAsia="仿宋_GB2312" w:cs="Times New Roman"/>
          <w:sz w:val="32"/>
          <w:szCs w:val="28"/>
        </w:rPr>
        <w:t>个人诚信积分</w:t>
      </w:r>
      <w:r>
        <w:rPr>
          <w:rFonts w:hint="eastAsia" w:ascii="Times New Roman" w:hAnsi="Times New Roman" w:eastAsia="仿宋_GB2312" w:cs="Times New Roman"/>
          <w:sz w:val="32"/>
          <w:szCs w:val="28"/>
          <w:lang w:eastAsia="zh-CN"/>
        </w:rPr>
        <w:t>（爱张店·诚信分）</w:t>
      </w:r>
      <w:r>
        <w:rPr>
          <w:rFonts w:hint="eastAsia" w:ascii="Times New Roman" w:hAnsi="Times New Roman" w:eastAsia="仿宋_GB2312" w:cs="Times New Roman"/>
          <w:sz w:val="32"/>
          <w:szCs w:val="28"/>
        </w:rPr>
        <w:t>管理</w:t>
      </w:r>
      <w:r>
        <w:rPr>
          <w:rFonts w:hint="eastAsia" w:ascii="Times New Roman" w:hAnsi="Times New Roman" w:eastAsia="仿宋_GB2312" w:cs="Times New Roman"/>
          <w:sz w:val="32"/>
          <w:szCs w:val="28"/>
          <w:lang w:eastAsia="zh-CN"/>
        </w:rPr>
        <w:t>实施方案（</w:t>
      </w:r>
      <w:r>
        <w:rPr>
          <w:rFonts w:hint="eastAsia" w:ascii="Times New Roman" w:hAnsi="Times New Roman" w:eastAsia="仿宋_GB2312" w:cs="Times New Roman"/>
          <w:sz w:val="32"/>
          <w:szCs w:val="28"/>
          <w:lang w:val="en-US" w:eastAsia="zh-CN"/>
        </w:rPr>
        <w:t>试行</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》印发给你们，请认真贯彻执行。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28"/>
          <w:lang w:eastAsia="zh-CN"/>
        </w:rPr>
      </w:pPr>
      <w:r>
        <w:rPr>
          <w:rFonts w:hint="default" w:ascii="Times New Roman" w:hAnsi="Times New Roman" w:eastAsia="仿宋_GB2312" w:cs="Times New Roman"/>
          <w:sz w:val="32"/>
          <w:szCs w:val="28"/>
          <w:lang w:val="en-US" w:eastAsia="zh-CN"/>
        </w:rPr>
        <w:t xml:space="preserve">           </w:t>
      </w:r>
      <w:r>
        <w:rPr>
          <w:rFonts w:hint="eastAsia" w:ascii="Times New Roman" w:hAnsi="Times New Roman" w:eastAsia="仿宋_GB2312" w:cs="Times New Roman"/>
          <w:sz w:val="32"/>
          <w:szCs w:val="28"/>
          <w:lang w:val="en-US" w:eastAsia="zh-CN"/>
        </w:rPr>
        <w:t xml:space="preserve">          </w:t>
      </w:r>
      <w:r>
        <w:rPr>
          <w:rFonts w:hint="default" w:ascii="Times New Roman" w:hAnsi="Times New Roman" w:eastAsia="仿宋_GB2312" w:cs="Times New Roman"/>
          <w:sz w:val="32"/>
          <w:szCs w:val="28"/>
          <w:lang w:val="en-US" w:eastAsia="zh-CN"/>
        </w:rPr>
        <w:t xml:space="preserve">   </w:t>
      </w:r>
      <w:r>
        <w:rPr>
          <w:rFonts w:hint="eastAsia" w:ascii="Times New Roman" w:hAnsi="Times New Roman" w:eastAsia="仿宋_GB2312" w:cs="Times New Roman"/>
          <w:sz w:val="32"/>
          <w:szCs w:val="28"/>
          <w:lang w:val="en-US" w:eastAsia="zh-CN"/>
        </w:rPr>
        <w:t>淄博市</w:t>
      </w:r>
      <w:r>
        <w:rPr>
          <w:rFonts w:hint="default" w:ascii="Times New Roman" w:hAnsi="Times New Roman" w:eastAsia="仿宋_GB2312" w:cs="Times New Roman"/>
          <w:sz w:val="32"/>
          <w:szCs w:val="28"/>
          <w:lang w:val="en-US" w:eastAsia="zh-CN"/>
        </w:rPr>
        <w:t>张店区</w:t>
      </w:r>
      <w:r>
        <w:rPr>
          <w:rFonts w:hint="default" w:ascii="Times New Roman" w:hAnsi="Times New Roman" w:eastAsia="仿宋_GB2312" w:cs="Times New Roman"/>
          <w:sz w:val="32"/>
          <w:szCs w:val="28"/>
        </w:rPr>
        <w:t>人民政府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lang w:val="en-US" w:eastAsia="zh-CN"/>
        </w:rPr>
        <w:t xml:space="preserve">                 </w:t>
      </w:r>
      <w:r>
        <w:rPr>
          <w:rFonts w:hint="eastAsia" w:ascii="Times New Roman" w:hAnsi="Times New Roman" w:eastAsia="仿宋_GB2312" w:cs="Times New Roman"/>
          <w:sz w:val="32"/>
          <w:szCs w:val="28"/>
          <w:lang w:val="en-US" w:eastAsia="zh-CN"/>
        </w:rPr>
        <w:t xml:space="preserve">    </w:t>
      </w:r>
      <w:r>
        <w:rPr>
          <w:rFonts w:hint="default" w:ascii="Times New Roman" w:hAnsi="Times New Roman" w:eastAsia="仿宋_GB2312" w:cs="Times New Roman"/>
          <w:sz w:val="32"/>
          <w:szCs w:val="28"/>
          <w:lang w:val="en-US" w:eastAsia="zh-CN"/>
        </w:rPr>
        <w:t xml:space="preserve">  </w:t>
      </w:r>
      <w:r>
        <w:rPr>
          <w:rFonts w:hint="eastAsia" w:ascii="Times New Roman" w:hAnsi="Times New Roman" w:eastAsia="仿宋_GB2312" w:cs="Times New Roman"/>
          <w:sz w:val="32"/>
          <w:szCs w:val="28"/>
          <w:lang w:val="en-US" w:eastAsia="zh-CN"/>
        </w:rPr>
        <w:t xml:space="preserve">   </w:t>
      </w:r>
      <w:r>
        <w:rPr>
          <w:rFonts w:hint="eastAsia" w:ascii="Times New Roman" w:hAnsi="Times New Roman" w:eastAsia="仿宋_GB2312" w:cs="仿宋_GB2312"/>
          <w:sz w:val="32"/>
          <w:szCs w:val="28"/>
          <w:lang w:val="en-US" w:eastAsia="zh-CN"/>
        </w:rPr>
        <w:t>2021</w:t>
      </w:r>
      <w:r>
        <w:rPr>
          <w:rFonts w:hint="default" w:ascii="Times New Roman" w:hAnsi="Times New Roman" w:eastAsia="仿宋_GB2312" w:cs="Times New Roman"/>
          <w:sz w:val="32"/>
          <w:szCs w:val="28"/>
          <w:lang w:val="en-US" w:eastAsia="zh-CN"/>
        </w:rPr>
        <w:t>年</w:t>
      </w:r>
      <w:r>
        <w:rPr>
          <w:rFonts w:hint="eastAsia" w:ascii="Times New Roman" w:hAnsi="Times New Roman" w:eastAsia="仿宋_GB2312" w:cs="仿宋_GB2312"/>
          <w:sz w:val="32"/>
          <w:szCs w:val="28"/>
          <w:lang w:val="en-US" w:eastAsia="zh-CN"/>
        </w:rPr>
        <w:t>12</w:t>
      </w:r>
      <w:r>
        <w:rPr>
          <w:rFonts w:hint="default" w:ascii="Times New Roman" w:hAnsi="Times New Roman" w:eastAsia="仿宋_GB2312" w:cs="Times New Roman"/>
          <w:sz w:val="32"/>
          <w:szCs w:val="28"/>
          <w:lang w:val="en-US" w:eastAsia="zh-CN"/>
        </w:rPr>
        <w:t>月</w:t>
      </w:r>
      <w:r>
        <w:rPr>
          <w:rFonts w:hint="eastAsia" w:ascii="Times New Roman" w:hAnsi="Times New Roman" w:eastAsia="仿宋_GB2312" w:cs="Times New Roman"/>
          <w:sz w:val="32"/>
          <w:szCs w:val="28"/>
          <w:lang w:val="en-US" w:eastAsia="zh-CN"/>
        </w:rPr>
        <w:t>31</w:t>
      </w:r>
      <w:r>
        <w:rPr>
          <w:rFonts w:hint="default" w:ascii="Times New Roman" w:hAnsi="Times New Roman" w:eastAsia="仿宋_GB2312" w:cs="Times New Roman"/>
          <w:sz w:val="32"/>
          <w:szCs w:val="28"/>
        </w:rPr>
        <w:t>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小标宋简体"/>
          <w:sz w:val="44"/>
          <w:szCs w:val="44"/>
          <w:lang w:eastAsia="zh-CN"/>
        </w:rPr>
        <w:sectPr>
          <w:footerReference r:id="rId9" w:type="default"/>
          <w:pgSz w:w="11906" w:h="16838"/>
          <w:pgMar w:top="2098" w:right="1474" w:bottom="1984" w:left="1587" w:header="851" w:footer="1531" w:gutter="0"/>
          <w:pgNumType w:fmt="decimal"/>
          <w:cols w:space="720" w:num="1"/>
          <w:docGrid w:type="lines" w:linePitch="312" w:charSpace="0"/>
        </w:sectPr>
      </w:pPr>
      <w:r>
        <w:rPr>
          <w:rFonts w:hint="default" w:ascii="Times New Roman" w:hAnsi="Times New Roman" w:eastAsia="仿宋_GB2312" w:cs="Times New Roman"/>
          <w:sz w:val="32"/>
          <w:szCs w:val="28"/>
        </w:rPr>
        <w:t>（此件公开发布）</w:t>
      </w:r>
    </w:p>
    <w:p>
      <w:pPr>
        <w:keepNext w:val="0"/>
        <w:keepLines w:val="0"/>
        <w:pageBreakBefore w:val="0"/>
        <w:widowControl w:val="0"/>
        <w:kinsoku/>
        <w:wordWrap/>
        <w:overflowPunct/>
        <w:topLinePunct w:val="0"/>
        <w:bidi w:val="0"/>
        <w:adjustRightInd w:val="0"/>
        <w:snapToGrid w:val="0"/>
        <w:spacing w:line="560" w:lineRule="exact"/>
        <w:ind w:firstLine="880" w:firstLineChars="200"/>
        <w:jc w:val="both"/>
        <w:textAlignment w:val="auto"/>
        <w:outlineLvl w:val="9"/>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lang w:eastAsia="zh-CN"/>
        </w:rPr>
        <w:t>张店区</w:t>
      </w:r>
      <w:r>
        <w:rPr>
          <w:rFonts w:hint="eastAsia" w:ascii="Times New Roman" w:hAnsi="Times New Roman" w:eastAsia="方正小标宋简体"/>
          <w:sz w:val="44"/>
          <w:szCs w:val="44"/>
        </w:rPr>
        <w:t>个人诚信积分</w:t>
      </w:r>
      <w:r>
        <w:rPr>
          <w:rFonts w:hint="eastAsia" w:ascii="Times New Roman" w:hAnsi="Times New Roman" w:eastAsia="方正小标宋简体"/>
          <w:sz w:val="44"/>
          <w:szCs w:val="44"/>
          <w:lang w:eastAsia="zh-CN"/>
        </w:rPr>
        <w:t>（爱张店·诚信分）</w:t>
      </w:r>
    </w:p>
    <w:p>
      <w:pPr>
        <w:keepNext w:val="0"/>
        <w:keepLines w:val="0"/>
        <w:pageBreakBefore w:val="0"/>
        <w:widowControl w:val="0"/>
        <w:kinsoku/>
        <w:wordWrap/>
        <w:overflowPunct/>
        <w:topLinePunct w:val="0"/>
        <w:bidi w:val="0"/>
        <w:adjustRightInd w:val="0"/>
        <w:snapToGrid w:val="0"/>
        <w:spacing w:line="560" w:lineRule="exact"/>
        <w:jc w:val="center"/>
        <w:textAlignment w:val="auto"/>
        <w:outlineLvl w:val="9"/>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rPr>
        <w:t>管理</w:t>
      </w:r>
      <w:r>
        <w:rPr>
          <w:rFonts w:hint="eastAsia" w:ascii="Times New Roman" w:hAnsi="Times New Roman" w:eastAsia="方正小标宋简体"/>
          <w:sz w:val="44"/>
          <w:szCs w:val="44"/>
          <w:lang w:eastAsia="zh-CN"/>
        </w:rPr>
        <w:t>实施方案（</w:t>
      </w:r>
      <w:r>
        <w:rPr>
          <w:rFonts w:hint="eastAsia" w:ascii="Times New Roman" w:hAnsi="Times New Roman" w:eastAsia="方正小标宋简体"/>
          <w:sz w:val="44"/>
          <w:szCs w:val="44"/>
          <w:lang w:val="en-US" w:eastAsia="zh-CN"/>
        </w:rPr>
        <w:t>试行</w:t>
      </w:r>
      <w:r>
        <w:rPr>
          <w:rFonts w:hint="eastAsia" w:ascii="Times New Roman" w:hAnsi="Times New Roman" w:eastAsia="方正小标宋简体"/>
          <w:sz w:val="44"/>
          <w:szCs w:val="44"/>
          <w:lang w:eastAsia="zh-CN"/>
        </w:rPr>
        <w:t>）</w:t>
      </w:r>
    </w:p>
    <w:p>
      <w:pPr>
        <w:keepNext w:val="0"/>
        <w:keepLines w:val="0"/>
        <w:pageBreakBefore w:val="0"/>
        <w:widowControl w:val="0"/>
        <w:kinsoku/>
        <w:wordWrap/>
        <w:overflowPunct/>
        <w:topLinePunct w:val="0"/>
        <w:bidi w:val="0"/>
        <w:adjustRightInd w:val="0"/>
        <w:snapToGrid w:val="0"/>
        <w:spacing w:line="560" w:lineRule="exact"/>
        <w:jc w:val="center"/>
        <w:textAlignment w:val="auto"/>
        <w:outlineLvl w:val="9"/>
        <w:rPr>
          <w:rFonts w:hint="eastAsia" w:ascii="Times New Roman" w:hAnsi="Times New Roman"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b w:val="0"/>
          <w:bCs w:val="0"/>
          <w:sz w:val="32"/>
          <w:szCs w:val="32"/>
        </w:rPr>
        <w:t>为贯彻落实《国务院办公厅关于加强个人诚信体系建设的指导意见》</w:t>
      </w:r>
      <w:r>
        <w:rPr>
          <w:rFonts w:hint="eastAsia" w:ascii="Times New Roman" w:hAnsi="Times New Roman" w:eastAsia="仿宋_GB2312"/>
          <w:b w:val="0"/>
          <w:bCs w:val="0"/>
          <w:sz w:val="32"/>
          <w:szCs w:val="32"/>
          <w:lang w:eastAsia="zh-CN"/>
        </w:rPr>
        <w:t>（</w:t>
      </w:r>
      <w:r>
        <w:rPr>
          <w:rFonts w:hint="eastAsia" w:ascii="Times New Roman" w:hAnsi="Times New Roman" w:eastAsia="仿宋_GB2312"/>
          <w:b w:val="0"/>
          <w:bCs w:val="0"/>
          <w:sz w:val="32"/>
          <w:szCs w:val="32"/>
        </w:rPr>
        <w:t>国办发〔2016〕98号</w:t>
      </w:r>
      <w:r>
        <w:rPr>
          <w:rFonts w:hint="eastAsia" w:ascii="Times New Roman" w:hAnsi="Times New Roman" w:eastAsia="仿宋_GB2312"/>
          <w:b w:val="0"/>
          <w:bCs w:val="0"/>
          <w:sz w:val="32"/>
          <w:szCs w:val="32"/>
          <w:lang w:eastAsia="zh-CN"/>
        </w:rPr>
        <w:t>）</w:t>
      </w:r>
      <w:r>
        <w:rPr>
          <w:rFonts w:hint="eastAsia" w:ascii="Times New Roman" w:hAnsi="Times New Roman" w:eastAsia="仿宋_GB2312"/>
          <w:b w:val="0"/>
          <w:bCs w:val="0"/>
          <w:sz w:val="32"/>
          <w:szCs w:val="32"/>
        </w:rPr>
        <w:t>、《山东省人民政府办公厅关于加强个人诚信体系建设的通知》</w:t>
      </w:r>
      <w:r>
        <w:rPr>
          <w:rFonts w:hint="eastAsia" w:ascii="Times New Roman" w:hAnsi="Times New Roman" w:eastAsia="仿宋_GB2312"/>
          <w:b w:val="0"/>
          <w:bCs w:val="0"/>
          <w:sz w:val="32"/>
          <w:szCs w:val="32"/>
          <w:lang w:eastAsia="zh-CN"/>
        </w:rPr>
        <w:t>（</w:t>
      </w:r>
      <w:r>
        <w:rPr>
          <w:rFonts w:hint="eastAsia" w:ascii="Times New Roman" w:hAnsi="Times New Roman" w:eastAsia="仿宋_GB2312"/>
          <w:b w:val="0"/>
          <w:bCs w:val="0"/>
          <w:sz w:val="32"/>
          <w:szCs w:val="32"/>
        </w:rPr>
        <w:t>鲁政办发〔2018〕19号</w:t>
      </w:r>
      <w:r>
        <w:rPr>
          <w:rFonts w:hint="eastAsia" w:ascii="Times New Roman" w:hAnsi="Times New Roman" w:eastAsia="仿宋_GB2312"/>
          <w:b w:val="0"/>
          <w:bCs w:val="0"/>
          <w:sz w:val="32"/>
          <w:szCs w:val="32"/>
          <w:lang w:eastAsia="zh-CN"/>
        </w:rPr>
        <w:t>）、</w:t>
      </w:r>
      <w:r>
        <w:rPr>
          <w:rFonts w:hint="eastAsia" w:ascii="Times New Roman" w:hAnsi="Times New Roman" w:eastAsia="仿宋_GB2312"/>
          <w:b w:val="0"/>
          <w:bCs w:val="0"/>
          <w:sz w:val="32"/>
          <w:szCs w:val="32"/>
          <w:shd w:val="clear" w:color="auto" w:fill="auto"/>
          <w:lang w:eastAsia="zh-CN"/>
        </w:rPr>
        <w:t>《淄博市人民政府办公厅关于加强个人诚信体系建设的实施意见（淄政办发</w:t>
      </w:r>
      <w:r>
        <w:rPr>
          <w:rFonts w:hint="eastAsia" w:ascii="Times New Roman" w:hAnsi="Times New Roman" w:eastAsia="仿宋_GB2312"/>
          <w:b w:val="0"/>
          <w:bCs w:val="0"/>
          <w:sz w:val="32"/>
          <w:szCs w:val="32"/>
          <w:shd w:val="clear" w:color="auto" w:fill="auto"/>
        </w:rPr>
        <w:t>〔</w:t>
      </w:r>
      <w:r>
        <w:rPr>
          <w:rFonts w:hint="eastAsia" w:ascii="Times New Roman" w:hAnsi="Times New Roman" w:eastAsia="仿宋_GB2312"/>
          <w:b w:val="0"/>
          <w:bCs w:val="0"/>
          <w:sz w:val="32"/>
          <w:szCs w:val="32"/>
          <w:shd w:val="clear" w:color="auto" w:fill="auto"/>
          <w:lang w:val="en-US" w:eastAsia="zh-CN"/>
        </w:rPr>
        <w:t>2018</w:t>
      </w:r>
      <w:r>
        <w:rPr>
          <w:rFonts w:hint="eastAsia" w:ascii="Times New Roman" w:hAnsi="Times New Roman" w:eastAsia="仿宋_GB2312"/>
          <w:b w:val="0"/>
          <w:bCs w:val="0"/>
          <w:sz w:val="32"/>
          <w:szCs w:val="32"/>
          <w:shd w:val="clear" w:color="auto" w:fill="auto"/>
        </w:rPr>
        <w:t>〕</w:t>
      </w:r>
      <w:r>
        <w:rPr>
          <w:rFonts w:hint="eastAsia" w:ascii="Times New Roman" w:hAnsi="Times New Roman" w:eastAsia="仿宋_GB2312"/>
          <w:b w:val="0"/>
          <w:bCs w:val="0"/>
          <w:sz w:val="32"/>
          <w:szCs w:val="32"/>
          <w:shd w:val="clear" w:color="auto" w:fill="auto"/>
          <w:lang w:val="en-US" w:eastAsia="zh-CN"/>
        </w:rPr>
        <w:t>15</w:t>
      </w:r>
      <w:r>
        <w:rPr>
          <w:rFonts w:hint="eastAsia" w:ascii="Times New Roman" w:hAnsi="Times New Roman" w:eastAsia="仿宋_GB2312"/>
          <w:b w:val="0"/>
          <w:bCs w:val="0"/>
          <w:sz w:val="32"/>
          <w:szCs w:val="32"/>
          <w:shd w:val="clear" w:color="auto" w:fill="auto"/>
        </w:rPr>
        <w:t>号</w:t>
      </w:r>
      <w:r>
        <w:rPr>
          <w:rFonts w:hint="eastAsia" w:ascii="Times New Roman" w:hAnsi="Times New Roman" w:eastAsia="仿宋_GB2312"/>
          <w:b w:val="0"/>
          <w:bCs w:val="0"/>
          <w:sz w:val="32"/>
          <w:szCs w:val="32"/>
          <w:shd w:val="clear" w:color="auto" w:fill="auto"/>
          <w:lang w:eastAsia="zh-CN"/>
        </w:rPr>
        <w:t>）》、</w:t>
      </w:r>
      <w:r>
        <w:rPr>
          <w:rFonts w:hint="eastAsia" w:ascii="Times New Roman" w:hAnsi="Times New Roman" w:eastAsia="仿宋_GB2312"/>
          <w:sz w:val="32"/>
          <w:szCs w:val="32"/>
          <w:lang w:eastAsia="zh-CN"/>
        </w:rPr>
        <w:t>《张店区人民政府办公室关于加强个人诚信体系建设的实施意见》（张政办发</w:t>
      </w:r>
      <w:r>
        <w:rPr>
          <w:rFonts w:hint="eastAsia" w:ascii="Times New Roman" w:hAnsi="Times New Roman" w:eastAsia="仿宋_GB2312"/>
          <w:b w:val="0"/>
          <w:bCs w:val="0"/>
          <w:sz w:val="32"/>
          <w:szCs w:val="32"/>
        </w:rPr>
        <w:t>〔</w:t>
      </w:r>
      <w:r>
        <w:rPr>
          <w:rFonts w:hint="eastAsia" w:ascii="Times New Roman" w:hAnsi="Times New Roman" w:eastAsia="仿宋_GB2312"/>
          <w:b w:val="0"/>
          <w:bCs w:val="0"/>
          <w:sz w:val="32"/>
          <w:szCs w:val="32"/>
          <w:lang w:val="en-US" w:eastAsia="zh-CN"/>
        </w:rPr>
        <w:t>2018</w:t>
      </w:r>
      <w:r>
        <w:rPr>
          <w:rFonts w:hint="eastAsia" w:ascii="Times New Roman" w:hAnsi="Times New Roman" w:eastAsia="仿宋_GB2312"/>
          <w:b w:val="0"/>
          <w:bCs w:val="0"/>
          <w:sz w:val="32"/>
          <w:szCs w:val="32"/>
        </w:rPr>
        <w:t>〕</w:t>
      </w:r>
      <w:r>
        <w:rPr>
          <w:rFonts w:hint="eastAsia" w:ascii="Times New Roman" w:hAnsi="Times New Roman" w:eastAsia="仿宋_GB2312"/>
          <w:b w:val="0"/>
          <w:bCs w:val="0"/>
          <w:sz w:val="32"/>
          <w:szCs w:val="32"/>
          <w:lang w:val="en-US" w:eastAsia="zh-CN"/>
        </w:rPr>
        <w:t>12</w:t>
      </w:r>
      <w:r>
        <w:rPr>
          <w:rFonts w:hint="eastAsia" w:ascii="Times New Roman" w:hAnsi="Times New Roman" w:eastAsia="仿宋_GB2312"/>
          <w:b w:val="0"/>
          <w:bCs w:val="0"/>
          <w:sz w:val="32"/>
          <w:szCs w:val="32"/>
        </w:rPr>
        <w:t>号</w:t>
      </w:r>
      <w:r>
        <w:rPr>
          <w:rFonts w:hint="eastAsia" w:ascii="Times New Roman" w:hAnsi="Times New Roman" w:eastAsia="仿宋_GB2312"/>
          <w:sz w:val="32"/>
          <w:szCs w:val="32"/>
          <w:lang w:eastAsia="zh-CN"/>
        </w:rPr>
        <w:t>）</w:t>
      </w:r>
      <w:r>
        <w:rPr>
          <w:rFonts w:hint="eastAsia" w:ascii="Times New Roman" w:hAnsi="Times New Roman" w:eastAsia="仿宋_GB2312"/>
          <w:b w:val="0"/>
          <w:bCs w:val="0"/>
          <w:sz w:val="32"/>
          <w:szCs w:val="32"/>
        </w:rPr>
        <w:t>，</w:t>
      </w:r>
      <w:r>
        <w:rPr>
          <w:rFonts w:hint="eastAsia" w:ascii="Times New Roman" w:hAnsi="Times New Roman" w:eastAsia="仿宋_GB2312"/>
          <w:sz w:val="32"/>
          <w:szCs w:val="32"/>
        </w:rPr>
        <w:t>加快推进个人诚信体系建设，提升社会诚信意识，</w:t>
      </w:r>
      <w:r>
        <w:rPr>
          <w:rFonts w:hint="eastAsia" w:ascii="Times New Roman" w:hAnsi="Times New Roman" w:eastAsia="仿宋_GB2312"/>
          <w:sz w:val="32"/>
          <w:szCs w:val="32"/>
          <w:lang w:eastAsia="zh-CN"/>
        </w:rPr>
        <w:t>聚力打造“诚信张店”品牌，</w:t>
      </w:r>
      <w:r>
        <w:rPr>
          <w:rFonts w:hint="eastAsia" w:ascii="Times New Roman" w:hAnsi="Times New Roman" w:eastAsia="仿宋_GB2312"/>
          <w:sz w:val="32"/>
          <w:szCs w:val="32"/>
        </w:rPr>
        <w:t>依据《山东省社会信用条例》，</w:t>
      </w:r>
      <w:r>
        <w:rPr>
          <w:rFonts w:hint="eastAsia" w:ascii="Times New Roman" w:hAnsi="Times New Roman" w:eastAsia="仿宋_GB2312"/>
          <w:sz w:val="32"/>
          <w:szCs w:val="32"/>
          <w:lang w:eastAsia="zh-CN"/>
        </w:rPr>
        <w:t>实施个人诚信积分</w:t>
      </w:r>
      <w:r>
        <w:rPr>
          <w:rFonts w:hint="eastAsia" w:ascii="Times New Roman" w:hAnsi="Times New Roman" w:eastAsia="仿宋_GB2312"/>
          <w:sz w:val="32"/>
          <w:szCs w:val="32"/>
          <w:shd w:val="clear" w:color="auto" w:fill="auto"/>
          <w:lang w:eastAsia="zh-CN"/>
        </w:rPr>
        <w:t>（爱张店</w:t>
      </w:r>
      <w:r>
        <w:rPr>
          <w:rFonts w:hint="eastAsia" w:ascii="Times New Roman" w:hAnsi="Times New Roman" w:eastAsia="仿宋_GB2312" w:cs="仿宋_GB2312"/>
          <w:sz w:val="32"/>
          <w:szCs w:val="32"/>
          <w:shd w:val="clear" w:color="auto" w:fill="auto"/>
          <w:lang w:eastAsia="zh-CN"/>
        </w:rPr>
        <w:t>·</w:t>
      </w:r>
      <w:r>
        <w:rPr>
          <w:rFonts w:hint="eastAsia" w:ascii="Times New Roman" w:hAnsi="Times New Roman" w:eastAsia="仿宋_GB2312"/>
          <w:sz w:val="32"/>
          <w:szCs w:val="32"/>
          <w:shd w:val="clear" w:color="auto" w:fill="auto"/>
          <w:lang w:eastAsia="zh-CN"/>
        </w:rPr>
        <w:t>诚信分）</w:t>
      </w:r>
      <w:r>
        <w:rPr>
          <w:rFonts w:hint="eastAsia" w:ascii="Times New Roman" w:hAnsi="Times New Roman" w:eastAsia="仿宋_GB2312"/>
          <w:sz w:val="32"/>
          <w:szCs w:val="32"/>
          <w:lang w:eastAsia="zh-CN"/>
        </w:rPr>
        <w:t>管理，结合我区实际</w:t>
      </w:r>
      <w:r>
        <w:rPr>
          <w:rFonts w:hint="eastAsia" w:ascii="Times New Roman" w:hAnsi="Times New Roman" w:eastAsia="仿宋_GB2312"/>
          <w:sz w:val="32"/>
          <w:szCs w:val="32"/>
        </w:rPr>
        <w:t>，制定本</w:t>
      </w:r>
      <w:r>
        <w:rPr>
          <w:rFonts w:hint="eastAsia" w:ascii="Times New Roman" w:hAnsi="Times New Roman" w:eastAsia="仿宋_GB2312"/>
          <w:sz w:val="32"/>
          <w:szCs w:val="32"/>
          <w:lang w:eastAsia="zh-CN"/>
        </w:rPr>
        <w:t>方案</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一、</w:t>
      </w:r>
      <w:r>
        <w:rPr>
          <w:rFonts w:hint="eastAsia" w:ascii="Times New Roman" w:hAnsi="Times New Roman" w:eastAsia="黑体" w:cs="黑体"/>
          <w:sz w:val="32"/>
          <w:szCs w:val="32"/>
        </w:rPr>
        <w:t>个人诚信积分建设</w:t>
      </w:r>
      <w:r>
        <w:rPr>
          <w:rFonts w:hint="eastAsia" w:ascii="Times New Roman" w:hAnsi="Times New Roman" w:eastAsia="黑体" w:cs="黑体"/>
          <w:sz w:val="32"/>
          <w:szCs w:val="32"/>
          <w:lang w:eastAsia="zh-CN"/>
        </w:rPr>
        <w:t>体系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楷体_GB2312" w:cs="楷体_GB2312"/>
          <w:sz w:val="32"/>
          <w:szCs w:val="32"/>
          <w:lang w:eastAsia="zh-CN"/>
        </w:rPr>
        <w:t>（一）基本定义。</w:t>
      </w:r>
      <w:r>
        <w:rPr>
          <w:rFonts w:hint="eastAsia" w:ascii="Times New Roman" w:hAnsi="Times New Roman" w:eastAsia="仿宋_GB2312"/>
          <w:sz w:val="32"/>
          <w:szCs w:val="32"/>
          <w:lang w:eastAsia="zh-CN"/>
        </w:rPr>
        <w:t>实施方案中</w:t>
      </w:r>
      <w:r>
        <w:rPr>
          <w:rFonts w:hint="eastAsia" w:ascii="Times New Roman" w:hAnsi="Times New Roman" w:eastAsia="仿宋_GB2312"/>
          <w:sz w:val="32"/>
          <w:szCs w:val="32"/>
        </w:rPr>
        <w:t>所称个人，是指</w:t>
      </w:r>
      <w:r>
        <w:rPr>
          <w:rFonts w:hint="eastAsia" w:ascii="Times New Roman" w:hAnsi="Times New Roman" w:eastAsia="仿宋_GB2312"/>
          <w:sz w:val="32"/>
          <w:szCs w:val="32"/>
          <w:lang w:eastAsia="zh-CN"/>
        </w:rPr>
        <w:t>张店区</w:t>
      </w:r>
      <w:r>
        <w:rPr>
          <w:rFonts w:hint="eastAsia" w:ascii="Times New Roman" w:hAnsi="Times New Roman" w:eastAsia="仿宋_GB2312"/>
          <w:sz w:val="32"/>
          <w:szCs w:val="32"/>
        </w:rPr>
        <w:t>行政区域内年满18周岁的自然人，包括</w:t>
      </w:r>
      <w:r>
        <w:rPr>
          <w:rFonts w:hint="eastAsia" w:ascii="Times New Roman" w:hAnsi="Times New Roman" w:eastAsia="仿宋_GB2312"/>
          <w:sz w:val="32"/>
          <w:szCs w:val="32"/>
          <w:lang w:eastAsia="zh-CN"/>
        </w:rPr>
        <w:t>本区</w:t>
      </w:r>
      <w:r>
        <w:rPr>
          <w:rFonts w:hint="eastAsia" w:ascii="Times New Roman" w:hAnsi="Times New Roman" w:eastAsia="仿宋_GB2312"/>
          <w:sz w:val="32"/>
          <w:szCs w:val="32"/>
        </w:rPr>
        <w:t>户籍人口及持有居住证的外来人口。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实施方案</w:t>
      </w:r>
      <w:r>
        <w:rPr>
          <w:rFonts w:hint="eastAsia" w:ascii="Times New Roman" w:hAnsi="Times New Roman" w:eastAsia="仿宋_GB2312"/>
          <w:sz w:val="32"/>
          <w:szCs w:val="32"/>
        </w:rPr>
        <w:t>所称个人诚信积分，是指根据个人的公共信用信息，按照统一的积分标准及其积分模型进行科学量化赋分，所形成的反映个人信用状况的综合得分，并依据诚信积分形成对应的用以判别个人信用状况的标识。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楷体_GB2312" w:cs="楷体_GB2312"/>
          <w:sz w:val="32"/>
          <w:szCs w:val="32"/>
          <w:lang w:eastAsia="zh-CN"/>
        </w:rPr>
        <w:t>（二）牵头机构。</w:t>
      </w:r>
      <w:r>
        <w:rPr>
          <w:rFonts w:hint="eastAsia" w:ascii="Times New Roman" w:hAnsi="Times New Roman" w:eastAsia="仿宋_GB2312"/>
          <w:sz w:val="32"/>
          <w:szCs w:val="32"/>
          <w:shd w:val="clear" w:color="auto" w:fill="auto"/>
          <w:lang w:eastAsia="zh-CN"/>
        </w:rPr>
        <w:t>张店区</w:t>
      </w:r>
      <w:r>
        <w:rPr>
          <w:rFonts w:hint="eastAsia" w:ascii="Times New Roman" w:hAnsi="Times New Roman" w:eastAsia="仿宋_GB2312"/>
          <w:sz w:val="32"/>
          <w:szCs w:val="32"/>
          <w:shd w:val="clear" w:color="auto" w:fill="auto"/>
        </w:rPr>
        <w:t>社会信用中心牵头组织实施个人诚信积分制度，</w:t>
      </w:r>
      <w:r>
        <w:rPr>
          <w:rFonts w:hint="eastAsia" w:ascii="Times New Roman" w:hAnsi="Times New Roman" w:eastAsia="仿宋_GB2312"/>
          <w:sz w:val="32"/>
          <w:szCs w:val="32"/>
        </w:rPr>
        <w:t>协调解决个人诚信积分推进工作中的重大问题，统筹推进个人诚信体系建设工作。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shd w:val="clear" w:color="FFFFFF" w:fill="D9D9D9"/>
        </w:rPr>
      </w:pPr>
      <w:r>
        <w:rPr>
          <w:rFonts w:hint="eastAsia" w:ascii="Times New Roman" w:hAnsi="Times New Roman" w:eastAsia="仿宋_GB2312"/>
          <w:sz w:val="32"/>
          <w:szCs w:val="32"/>
          <w:shd w:val="clear" w:color="auto" w:fill="auto"/>
          <w:lang w:eastAsia="zh-CN"/>
        </w:rPr>
        <w:t>区</w:t>
      </w:r>
      <w:r>
        <w:rPr>
          <w:rFonts w:hint="eastAsia" w:ascii="Times New Roman" w:hAnsi="Times New Roman" w:eastAsia="仿宋_GB2312"/>
          <w:sz w:val="32"/>
          <w:szCs w:val="32"/>
          <w:shd w:val="clear" w:color="auto" w:fill="auto"/>
        </w:rPr>
        <w:t>社会信用体系建设领导小组成员单位负责本行业、本领域、本部门单位内个人信用信息的归集整理、信息共享、结果应用等工作。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各信息提供主体按照各自职责做好公共信用信息管理的相关工作。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shd w:val="clear" w:color="FFFFFF" w:fill="D9D9D9"/>
          <w:lang w:eastAsia="zh-CN"/>
        </w:rPr>
      </w:pPr>
      <w:r>
        <w:rPr>
          <w:rFonts w:hint="eastAsia" w:ascii="Times New Roman" w:hAnsi="Times New Roman" w:eastAsia="楷体_GB2312" w:cs="楷体_GB2312"/>
          <w:sz w:val="32"/>
          <w:szCs w:val="32"/>
          <w:lang w:eastAsia="zh-CN"/>
        </w:rPr>
        <w:t>（三）基本原则。</w:t>
      </w:r>
      <w:r>
        <w:rPr>
          <w:rFonts w:hint="eastAsia" w:ascii="Times New Roman" w:hAnsi="Times New Roman" w:eastAsia="仿宋_GB2312"/>
          <w:sz w:val="32"/>
          <w:szCs w:val="32"/>
        </w:rPr>
        <w:t>个人诚信积分遵循“标准统一、正向激励、动态管理、信息共享”的原则，维护个人的合法权益，保护个人隐私。推行联奖联罚机制，对机关事业单位、市场主体及其他社会组织的表彰奖励信息和严重失信行为，在记入信息主体信用记录的同时，记入其法定代表人或者主要负责人、实际控制人的个人</w:t>
      </w:r>
      <w:r>
        <w:rPr>
          <w:rFonts w:hint="eastAsia" w:ascii="Times New Roman" w:hAnsi="Times New Roman" w:eastAsia="仿宋_GB2312"/>
          <w:sz w:val="32"/>
          <w:szCs w:val="32"/>
          <w:lang w:val="en-US" w:eastAsia="zh-CN"/>
        </w:rPr>
        <w:t>信用记录</w:t>
      </w:r>
      <w:r>
        <w:rPr>
          <w:rFonts w:hint="eastAsia" w:ascii="Times New Roman" w:hAnsi="Times New Roman" w:eastAsia="仿宋_GB2312"/>
          <w:sz w:val="32"/>
          <w:szCs w:val="32"/>
        </w:rPr>
        <w:t>，按个人标准予以积分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shd w:val="clear" w:color="auto" w:fill="auto"/>
          <w:lang w:eastAsia="zh-CN"/>
        </w:rPr>
        <w:t>个人诚信积分应用应当坚持正向激励为主的原则，个人诚信积分不能用于失信联合惩戒，不能限制个人享受基本公共服务。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s="黑体"/>
          <w:sz w:val="32"/>
          <w:szCs w:val="32"/>
        </w:rPr>
      </w:pPr>
      <w:r>
        <w:rPr>
          <w:rFonts w:hint="eastAsia" w:ascii="Times New Roman" w:hAnsi="Times New Roman" w:eastAsia="黑体" w:cs="黑体"/>
          <w:sz w:val="32"/>
          <w:szCs w:val="32"/>
          <w:lang w:eastAsia="zh-CN"/>
        </w:rPr>
        <w:t>二、</w:t>
      </w:r>
      <w:r>
        <w:rPr>
          <w:rFonts w:hint="eastAsia" w:ascii="Times New Roman" w:hAnsi="Times New Roman" w:eastAsia="黑体" w:cs="黑体"/>
          <w:sz w:val="32"/>
          <w:szCs w:val="32"/>
        </w:rPr>
        <w:t>诚信积分管理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实施方案</w:t>
      </w:r>
      <w:r>
        <w:rPr>
          <w:rFonts w:hint="eastAsia" w:ascii="Times New Roman" w:hAnsi="Times New Roman" w:eastAsia="仿宋_GB2312"/>
          <w:sz w:val="32"/>
          <w:szCs w:val="32"/>
        </w:rPr>
        <w:t>所称的诚信积分信息，包括</w:t>
      </w:r>
      <w:r>
        <w:rPr>
          <w:rFonts w:hint="eastAsia" w:ascii="Times New Roman" w:hAnsi="Times New Roman" w:eastAsia="仿宋_GB2312"/>
          <w:sz w:val="32"/>
          <w:szCs w:val="32"/>
          <w:lang w:eastAsia="zh-CN"/>
        </w:rPr>
        <w:t>诚信</w:t>
      </w:r>
      <w:r>
        <w:rPr>
          <w:rFonts w:hint="eastAsia" w:ascii="Times New Roman" w:hAnsi="Times New Roman" w:eastAsia="仿宋_GB2312"/>
          <w:sz w:val="32"/>
          <w:szCs w:val="32"/>
        </w:rPr>
        <w:t>信息、行政处罚信息、严重失信主体名单信息和其他失信信息</w:t>
      </w:r>
      <w:r>
        <w:rPr>
          <w:rFonts w:hint="eastAsia" w:ascii="Times New Roman" w:hAnsi="Times New Roman"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（一）计算方式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个人诚信积分采用千分制，默认得分为1000分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计算公式：诚信积分=1000+加分分值-减分分值</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。依据诚信积分信息和诚信积分，</w:t>
      </w:r>
      <w:r>
        <w:rPr>
          <w:rFonts w:hint="eastAsia" w:ascii="Times New Roman" w:hAnsi="Times New Roman" w:eastAsia="仿宋_GB2312"/>
          <w:sz w:val="32"/>
          <w:szCs w:val="32"/>
          <w:lang w:val="en-US" w:eastAsia="zh-CN"/>
        </w:rPr>
        <w:t>对个人进行信用评价，按照积分由高到低</w:t>
      </w:r>
      <w:r>
        <w:rPr>
          <w:rFonts w:hint="eastAsia" w:ascii="Times New Roman" w:hAnsi="Times New Roman" w:eastAsia="仿宋_GB2312"/>
          <w:sz w:val="32"/>
          <w:szCs w:val="32"/>
        </w:rPr>
        <w:t>分为诚信模范、诚信优秀、诚信、诚信警示、失信、严重失信六个级别，分别使用“AAA、AA、A（A+、A-）、B、C、D”予以标识。各级别对应的具体分值如下：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1. </w:t>
      </w:r>
      <w:r>
        <w:rPr>
          <w:rFonts w:hint="eastAsia" w:ascii="Times New Roman" w:hAnsi="Times New Roman" w:eastAsia="仿宋_GB2312"/>
          <w:sz w:val="32"/>
          <w:szCs w:val="32"/>
        </w:rPr>
        <w:t>诚信模范级别（AAA），分值为1050分及以上；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2. </w:t>
      </w:r>
      <w:r>
        <w:rPr>
          <w:rFonts w:hint="eastAsia" w:ascii="Times New Roman" w:hAnsi="Times New Roman" w:eastAsia="仿宋_GB2312"/>
          <w:sz w:val="32"/>
          <w:szCs w:val="32"/>
        </w:rPr>
        <w:t>诚信优秀级别（AA），分值为1030分至1049分；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3. </w:t>
      </w:r>
      <w:r>
        <w:rPr>
          <w:rFonts w:hint="eastAsia" w:ascii="Times New Roman" w:hAnsi="Times New Roman" w:eastAsia="仿宋_GB2312"/>
          <w:sz w:val="32"/>
          <w:szCs w:val="32"/>
        </w:rPr>
        <w:t>诚信级别（A+、A、A-），“A+”级分值为1001分至1029分，A级分值为1000分，“A-”级分值为960分至999分；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4. </w:t>
      </w:r>
      <w:r>
        <w:rPr>
          <w:rFonts w:hint="eastAsia" w:ascii="Times New Roman" w:hAnsi="Times New Roman" w:eastAsia="仿宋_GB2312"/>
          <w:sz w:val="32"/>
          <w:szCs w:val="32"/>
        </w:rPr>
        <w:t>诚信警示级别（B），分值为850分至959分；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5. </w:t>
      </w:r>
      <w:r>
        <w:rPr>
          <w:rFonts w:hint="eastAsia" w:ascii="Times New Roman" w:hAnsi="Times New Roman" w:eastAsia="仿宋_GB2312"/>
          <w:sz w:val="32"/>
          <w:szCs w:val="32"/>
        </w:rPr>
        <w:t>失信级别（C），分值为849分及以下且未被认定为严重失信主体名单的；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6. </w:t>
      </w:r>
      <w:r>
        <w:rPr>
          <w:rFonts w:hint="eastAsia" w:ascii="Times New Roman" w:hAnsi="Times New Roman" w:eastAsia="仿宋_GB2312"/>
          <w:sz w:val="32"/>
          <w:szCs w:val="32"/>
        </w:rPr>
        <w:t>严重失信级别（D），被认定为严重失信主体名单的。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（二）</w:t>
      </w:r>
      <w:r>
        <w:rPr>
          <w:rFonts w:hint="eastAsia" w:ascii="Times New Roman" w:hAnsi="Times New Roman" w:eastAsia="楷体_GB2312" w:cs="楷体_GB2312"/>
          <w:sz w:val="32"/>
          <w:szCs w:val="32"/>
        </w:rPr>
        <w:t>积分指标赋分和信用降级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指标赋分是根据诚信积分信息积分标准予以加（减）分。个人诚信积分指标详情见附件。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信用降级是指个人具有国务院《关于建立完善守信联合激励和失信联合惩戒制度加快推进社会诚信建设的指导意见》（国发〔2016〕33号）规定的四类严重失信行为主体名单信息的，直接认定为D级。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个人每年度无失信扣分行为的奖励</w:t>
      </w:r>
      <w:r>
        <w:rPr>
          <w:rFonts w:hint="eastAsia" w:ascii="Times New Roman" w:hAnsi="Times New Roman" w:eastAsia="仿宋_GB2312"/>
          <w:sz w:val="32"/>
          <w:szCs w:val="32"/>
          <w:lang w:val="en-US" w:eastAsia="zh-CN"/>
        </w:rPr>
        <w:t>3分，最多累计增加15分。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（三）计算原则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个人诚信积分指标向社会公开征求意见，接受社会监督，根据实际情况及时进行动态调整和优化</w:t>
      </w:r>
      <w:r>
        <w:rPr>
          <w:rFonts w:hint="eastAsia" w:ascii="Times New Roman" w:hAnsi="Times New Roman" w:eastAsia="仿宋_GB2312"/>
          <w:sz w:val="32"/>
          <w:szCs w:val="32"/>
          <w:lang w:eastAsia="zh-CN"/>
        </w:rPr>
        <w:t>，并</w:t>
      </w:r>
      <w:r>
        <w:rPr>
          <w:rFonts w:hint="eastAsia" w:ascii="Times New Roman" w:hAnsi="Times New Roman" w:eastAsia="仿宋_GB2312"/>
          <w:sz w:val="32"/>
          <w:szCs w:val="32"/>
        </w:rPr>
        <w:t>按照以下原则进行：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1. </w:t>
      </w:r>
      <w:r>
        <w:rPr>
          <w:rFonts w:hint="eastAsia" w:ascii="Times New Roman" w:hAnsi="Times New Roman" w:eastAsia="仿宋_GB2312"/>
          <w:sz w:val="32"/>
          <w:szCs w:val="32"/>
        </w:rPr>
        <w:t>守信或失信行为同时适用两项及以上不同指标的，按最高加（减）分计算，不重复累计；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2. </w:t>
      </w:r>
      <w:r>
        <w:rPr>
          <w:rFonts w:hint="eastAsia" w:ascii="Times New Roman" w:hAnsi="Times New Roman" w:eastAsia="仿宋_GB2312"/>
          <w:sz w:val="32"/>
          <w:szCs w:val="32"/>
        </w:rPr>
        <w:t>失信行为因受到多种处分、处罚等产生两项及以上不同积分指标的，累计计分；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3. </w:t>
      </w:r>
      <w:r>
        <w:rPr>
          <w:rFonts w:hint="eastAsia" w:ascii="Times New Roman" w:hAnsi="Times New Roman" w:eastAsia="仿宋_GB2312"/>
          <w:sz w:val="32"/>
          <w:szCs w:val="32"/>
        </w:rPr>
        <w:t>单位获得省市级以上集体类荣誉表彰及相当的，本单位人员按照降低一个层次的标准增加诚信分；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4. </w:t>
      </w:r>
      <w:r>
        <w:rPr>
          <w:rFonts w:hint="eastAsia" w:ascii="Times New Roman" w:hAnsi="Times New Roman" w:eastAsia="仿宋_GB2312"/>
          <w:sz w:val="32"/>
          <w:szCs w:val="32"/>
        </w:rPr>
        <w:t>以</w:t>
      </w:r>
      <w:r>
        <w:rPr>
          <w:rFonts w:hint="eastAsia" w:ascii="Times New Roman" w:hAnsi="Times New Roman" w:eastAsia="仿宋_GB2312"/>
          <w:sz w:val="32"/>
          <w:szCs w:val="32"/>
          <w:lang w:eastAsia="zh-CN"/>
        </w:rPr>
        <w:t>张店区</w:t>
      </w:r>
      <w:r>
        <w:rPr>
          <w:rFonts w:hint="eastAsia" w:ascii="Times New Roman" w:hAnsi="Times New Roman" w:eastAsia="仿宋_GB2312"/>
          <w:sz w:val="32"/>
          <w:szCs w:val="32"/>
        </w:rPr>
        <w:t>为表彰对象的，牵头单位主要负责人按个人标准予以积分，牵头单位人员按照降低一个层次的标准增加诚信分；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5. </w:t>
      </w:r>
      <w:r>
        <w:rPr>
          <w:rFonts w:hint="eastAsia" w:ascii="Times New Roman" w:hAnsi="Times New Roman" w:eastAsia="仿宋_GB2312"/>
          <w:sz w:val="32"/>
          <w:szCs w:val="32"/>
        </w:rPr>
        <w:t>以镇（街道）和农村、社区为表彰对象的，主要负责人和分管负责人按个人标准予以积分。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6. </w:t>
      </w:r>
      <w:r>
        <w:rPr>
          <w:rFonts w:hint="eastAsia" w:ascii="Times New Roman" w:hAnsi="Times New Roman" w:eastAsia="仿宋_GB2312"/>
          <w:sz w:val="32"/>
          <w:szCs w:val="32"/>
        </w:rPr>
        <w:t>获“诚信示范户”等团体类荣誉表彰的，原则上只给予表彰对象加分；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7. </w:t>
      </w:r>
      <w:r>
        <w:rPr>
          <w:rFonts w:hint="eastAsia" w:ascii="Times New Roman" w:hAnsi="Times New Roman" w:eastAsia="仿宋_GB2312"/>
          <w:sz w:val="32"/>
          <w:szCs w:val="32"/>
        </w:rPr>
        <w:t>由党政主要领导担任组长（主任）的各级综合性领导小组、委员会等工作机构比照同级党委政府层次计算，其下设办公室按同级党委政府部门层次执行；由党政副职担任组长（主任）的各级综合性领导小组、委员会等工作机构按同级党委政府部门层次计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8. </w:t>
      </w:r>
      <w:r>
        <w:rPr>
          <w:rFonts w:hint="eastAsia" w:ascii="Times New Roman" w:hAnsi="Times New Roman" w:eastAsia="仿宋_GB2312"/>
          <w:sz w:val="32"/>
          <w:szCs w:val="32"/>
        </w:rPr>
        <w:t>涉及拒缴税费等事项，凡未明确计算时限的，以六个月为一个时间段；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9. </w:t>
      </w:r>
      <w:r>
        <w:rPr>
          <w:rFonts w:hint="eastAsia" w:ascii="Times New Roman" w:hAnsi="Times New Roman" w:eastAsia="仿宋_GB2312"/>
          <w:sz w:val="32"/>
          <w:szCs w:val="32"/>
        </w:rPr>
        <w:t>其他未明确加分或减分的信息，按一事一议的方式确定分值。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（四）</w:t>
      </w:r>
      <w:r>
        <w:rPr>
          <w:rFonts w:hint="eastAsia" w:ascii="Times New Roman" w:hAnsi="Times New Roman" w:eastAsia="楷体_GB2312" w:cs="楷体_GB2312"/>
          <w:sz w:val="32"/>
          <w:szCs w:val="32"/>
        </w:rPr>
        <w:t>诚信积分评价有效期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诚信积分评价有效期</w:t>
      </w:r>
      <w:r>
        <w:rPr>
          <w:rFonts w:hint="eastAsia" w:ascii="Times New Roman" w:hAnsi="Times New Roman" w:eastAsia="仿宋_GB2312"/>
          <w:sz w:val="32"/>
          <w:szCs w:val="32"/>
          <w:lang w:eastAsia="zh-CN"/>
        </w:rPr>
        <w:t>按照以下标准计算：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1. </w:t>
      </w:r>
      <w:r>
        <w:rPr>
          <w:rFonts w:hint="eastAsia" w:ascii="Times New Roman" w:hAnsi="Times New Roman" w:eastAsia="仿宋_GB2312"/>
          <w:sz w:val="32"/>
          <w:szCs w:val="32"/>
        </w:rPr>
        <w:t>失信信息评价有效期：每条减分在40分及以下的，有效期为1年；减分在41分至199分的，有效期为2年；减分在200分及以上的，有效期为3年；信用降级的，有效期为5年。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lang w:val="en-US" w:eastAsia="zh-CN"/>
        </w:rPr>
        <w:t xml:space="preserve">2. </w:t>
      </w:r>
      <w:r>
        <w:rPr>
          <w:rFonts w:hint="default" w:ascii="Times New Roman" w:hAnsi="Times New Roman" w:eastAsia="仿宋_GB2312"/>
          <w:color w:val="auto"/>
          <w:sz w:val="32"/>
          <w:szCs w:val="32"/>
          <w:shd w:val="clear" w:color="auto" w:fill="auto"/>
          <w:lang w:val="en-US"/>
        </w:rPr>
        <w:t>诚信</w:t>
      </w:r>
      <w:r>
        <w:rPr>
          <w:rFonts w:hint="eastAsia" w:ascii="Times New Roman" w:hAnsi="Times New Roman" w:eastAsia="仿宋_GB2312"/>
          <w:color w:val="auto"/>
          <w:sz w:val="32"/>
          <w:szCs w:val="32"/>
          <w:shd w:val="clear" w:color="auto" w:fill="auto"/>
          <w:lang w:val="en-US" w:eastAsia="zh-CN"/>
        </w:rPr>
        <w:t>守信</w:t>
      </w:r>
      <w:r>
        <w:rPr>
          <w:rFonts w:hint="eastAsia" w:ascii="Times New Roman" w:hAnsi="Times New Roman" w:eastAsia="仿宋_GB2312"/>
          <w:color w:val="auto"/>
          <w:sz w:val="32"/>
          <w:szCs w:val="32"/>
          <w:shd w:val="clear" w:color="auto" w:fill="auto"/>
        </w:rPr>
        <w:t>信息评价有效期：每条加分信息属</w:t>
      </w:r>
      <w:r>
        <w:rPr>
          <w:rFonts w:hint="eastAsia" w:ascii="Times New Roman" w:hAnsi="Times New Roman" w:eastAsia="仿宋_GB2312"/>
          <w:color w:val="auto"/>
          <w:sz w:val="32"/>
          <w:szCs w:val="32"/>
          <w:shd w:val="clear" w:color="auto" w:fill="auto"/>
          <w:lang w:eastAsia="zh-CN"/>
        </w:rPr>
        <w:t>区委区政府</w:t>
      </w:r>
      <w:r>
        <w:rPr>
          <w:rFonts w:hint="eastAsia" w:ascii="Times New Roman" w:hAnsi="Times New Roman" w:eastAsia="仿宋_GB2312"/>
          <w:color w:val="auto"/>
          <w:sz w:val="32"/>
          <w:szCs w:val="32"/>
          <w:shd w:val="clear" w:color="auto" w:fill="auto"/>
        </w:rPr>
        <w:t>表彰奖励及相当的，有效期为1年；属</w:t>
      </w:r>
      <w:r>
        <w:rPr>
          <w:rFonts w:hint="eastAsia" w:ascii="Times New Roman" w:hAnsi="Times New Roman" w:eastAsia="仿宋_GB2312"/>
          <w:color w:val="auto"/>
          <w:sz w:val="32"/>
          <w:szCs w:val="32"/>
          <w:shd w:val="clear" w:color="auto" w:fill="auto"/>
          <w:lang w:eastAsia="zh-CN"/>
        </w:rPr>
        <w:t>市委市政府</w:t>
      </w:r>
      <w:r>
        <w:rPr>
          <w:rFonts w:hint="eastAsia" w:ascii="Times New Roman" w:hAnsi="Times New Roman" w:eastAsia="仿宋_GB2312"/>
          <w:color w:val="auto"/>
          <w:sz w:val="32"/>
          <w:szCs w:val="32"/>
          <w:shd w:val="clear" w:color="auto" w:fill="auto"/>
        </w:rPr>
        <w:t>及</w:t>
      </w:r>
      <w:r>
        <w:rPr>
          <w:rFonts w:hint="eastAsia" w:ascii="Times New Roman" w:hAnsi="Times New Roman" w:eastAsia="仿宋_GB2312"/>
          <w:color w:val="auto"/>
          <w:sz w:val="32"/>
          <w:szCs w:val="32"/>
          <w:shd w:val="clear" w:color="auto" w:fill="auto"/>
          <w:lang w:eastAsia="zh-CN"/>
        </w:rPr>
        <w:t>市级</w:t>
      </w:r>
      <w:r>
        <w:rPr>
          <w:rFonts w:hint="eastAsia" w:ascii="Times New Roman" w:hAnsi="Times New Roman" w:eastAsia="仿宋_GB2312"/>
          <w:color w:val="auto"/>
          <w:sz w:val="32"/>
          <w:szCs w:val="32"/>
          <w:shd w:val="clear" w:color="auto" w:fill="auto"/>
        </w:rPr>
        <w:t>部门表彰奖励及相当的，有效期为2年；属</w:t>
      </w:r>
      <w:r>
        <w:rPr>
          <w:rFonts w:hint="eastAsia" w:ascii="Times New Roman" w:hAnsi="Times New Roman" w:eastAsia="仿宋_GB2312"/>
          <w:color w:val="auto"/>
          <w:sz w:val="32"/>
          <w:szCs w:val="32"/>
          <w:shd w:val="clear" w:color="auto" w:fill="auto"/>
          <w:lang w:eastAsia="zh-CN"/>
        </w:rPr>
        <w:t>省委省政府及省级部门</w:t>
      </w:r>
      <w:r>
        <w:rPr>
          <w:rFonts w:hint="eastAsia" w:ascii="Times New Roman" w:hAnsi="Times New Roman" w:eastAsia="仿宋_GB2312"/>
          <w:color w:val="auto"/>
          <w:sz w:val="32"/>
          <w:szCs w:val="32"/>
          <w:shd w:val="clear" w:color="auto" w:fill="auto"/>
        </w:rPr>
        <w:t>表彰奖励及相当的，有效期为3年；属国家级表彰奖励及相当的，有效期为5年；其他加分信息有效期均为1年。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sz w:val="32"/>
          <w:szCs w:val="32"/>
        </w:rPr>
      </w:pPr>
      <w:r>
        <w:rPr>
          <w:rFonts w:hint="default" w:ascii="Times New Roman" w:hAnsi="Times New Roman" w:eastAsia="仿宋_GB2312"/>
          <w:sz w:val="32"/>
          <w:szCs w:val="32"/>
          <w:lang w:val="en-US"/>
        </w:rPr>
        <w:t>诚信</w:t>
      </w:r>
      <w:r>
        <w:rPr>
          <w:rFonts w:hint="eastAsia" w:ascii="Times New Roman" w:hAnsi="Times New Roman" w:eastAsia="仿宋_GB2312"/>
          <w:sz w:val="32"/>
          <w:szCs w:val="32"/>
          <w:lang w:val="en-US" w:eastAsia="zh-CN"/>
        </w:rPr>
        <w:t>守信</w:t>
      </w:r>
      <w:r>
        <w:rPr>
          <w:rFonts w:hint="eastAsia" w:ascii="Times New Roman" w:hAnsi="Times New Roman" w:eastAsia="仿宋_GB2312"/>
          <w:sz w:val="32"/>
          <w:szCs w:val="32"/>
        </w:rPr>
        <w:t>信息和失信信息评价有效期均自信息形成之日起计算；未及时提报的信息超过评价有效期的，不再作为诚信积分信息。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outlineLvl w:val="9"/>
        <w:rPr>
          <w:rFonts w:hint="eastAsia" w:ascii="Times New Roman" w:hAnsi="Times New Roman" w:eastAsia="仿宋_GB2312"/>
          <w:spacing w:val="-6"/>
          <w:sz w:val="32"/>
          <w:szCs w:val="32"/>
          <w:lang w:eastAsia="zh-CN"/>
        </w:rPr>
      </w:pPr>
      <w:r>
        <w:rPr>
          <w:rFonts w:hint="eastAsia" w:ascii="Times New Roman" w:hAnsi="Times New Roman" w:eastAsia="仿宋_GB2312"/>
          <w:spacing w:val="-6"/>
          <w:sz w:val="32"/>
          <w:szCs w:val="32"/>
        </w:rPr>
        <w:t>失信信息</w:t>
      </w:r>
      <w:r>
        <w:rPr>
          <w:rFonts w:hint="eastAsia" w:ascii="Times New Roman" w:hAnsi="Times New Roman" w:eastAsia="仿宋_GB2312"/>
          <w:spacing w:val="-6"/>
          <w:sz w:val="32"/>
          <w:szCs w:val="32"/>
          <w:lang w:val="en-US" w:eastAsia="zh-CN"/>
        </w:rPr>
        <w:t>有连续或者继续状态的，</w:t>
      </w:r>
      <w:r>
        <w:rPr>
          <w:rFonts w:hint="eastAsia" w:ascii="Times New Roman" w:hAnsi="Times New Roman" w:eastAsia="仿宋_GB2312"/>
          <w:spacing w:val="-6"/>
          <w:sz w:val="32"/>
          <w:szCs w:val="32"/>
        </w:rPr>
        <w:t>自失信行为终止之日起计算。</w:t>
      </w:r>
    </w:p>
    <w:p>
      <w:pPr>
        <w:keepNext w:val="0"/>
        <w:keepLines w:val="0"/>
        <w:pageBreakBefore w:val="0"/>
        <w:widowControl w:val="0"/>
        <w:tabs>
          <w:tab w:val="left" w:pos="6300"/>
        </w:tabs>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三、激励措施</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sz w:val="32"/>
          <w:szCs w:val="32"/>
          <w:shd w:val="clear" w:color="FFFFFF" w:fill="D9D9D9"/>
          <w:lang w:eastAsia="zh-CN"/>
        </w:rPr>
      </w:pPr>
      <w:r>
        <w:rPr>
          <w:rFonts w:hint="eastAsia" w:ascii="Times New Roman" w:hAnsi="Times New Roman" w:eastAsia="仿宋_GB2312" w:cs="Times New Roman"/>
          <w:sz w:val="32"/>
          <w:szCs w:val="32"/>
          <w:lang w:eastAsia="zh-CN"/>
        </w:rPr>
        <w:t>积极</w:t>
      </w:r>
      <w:r>
        <w:rPr>
          <w:rFonts w:hint="eastAsia" w:ascii="Times New Roman" w:hAnsi="Times New Roman" w:eastAsia="仿宋_GB2312" w:cs="Times New Roman"/>
          <w:sz w:val="32"/>
          <w:szCs w:val="32"/>
        </w:rPr>
        <w:t>参与诚信积分的，信用状况良好的个人，可以享受</w:t>
      </w:r>
      <w:r>
        <w:rPr>
          <w:rFonts w:hint="eastAsia" w:ascii="Times New Roman" w:hAnsi="Times New Roman" w:eastAsia="仿宋_GB2312" w:cs="Times New Roman"/>
          <w:sz w:val="32"/>
          <w:szCs w:val="32"/>
          <w:lang w:eastAsia="zh-CN"/>
        </w:rPr>
        <w:t>以下</w:t>
      </w:r>
      <w:r>
        <w:rPr>
          <w:rFonts w:hint="eastAsia" w:ascii="Times New Roman" w:hAnsi="Times New Roman" w:eastAsia="仿宋_GB2312" w:cs="Times New Roman"/>
          <w:sz w:val="32"/>
          <w:szCs w:val="32"/>
          <w:shd w:val="clear" w:color="auto" w:fill="auto"/>
        </w:rPr>
        <w:t>“信用惠民”激励措施</w:t>
      </w:r>
      <w:r>
        <w:rPr>
          <w:rFonts w:hint="eastAsia" w:ascii="Times New Roman" w:hAnsi="Times New Roman" w:eastAsia="仿宋_GB2312" w:cs="Times New Roman"/>
          <w:sz w:val="32"/>
          <w:szCs w:val="32"/>
          <w:shd w:val="clear" w:color="auto" w:fill="auto"/>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 在公共图书馆办理图书借阅时，可享受优惠服务；</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lang w:val="en-US" w:eastAsia="zh-CN"/>
        </w:rPr>
        <w:t xml:space="preserve">2. </w:t>
      </w:r>
      <w:r>
        <w:rPr>
          <w:rFonts w:hint="eastAsia" w:ascii="Times New Roman" w:hAnsi="Times New Roman" w:eastAsia="仿宋_GB2312" w:cs="仿宋_GB2312"/>
          <w:color w:val="auto"/>
          <w:sz w:val="32"/>
          <w:szCs w:val="32"/>
        </w:rPr>
        <w:t>在</w:t>
      </w:r>
      <w:r>
        <w:rPr>
          <w:rFonts w:hint="eastAsia" w:ascii="Times New Roman" w:hAnsi="Times New Roman" w:eastAsia="仿宋_GB2312" w:cs="Times New Roman"/>
          <w:color w:val="auto"/>
          <w:sz w:val="32"/>
          <w:szCs w:val="32"/>
        </w:rPr>
        <w:t>交通出行、文旅消费、</w:t>
      </w:r>
      <w:r>
        <w:rPr>
          <w:rFonts w:hint="eastAsia" w:ascii="Times New Roman" w:hAnsi="Times New Roman" w:eastAsia="仿宋_GB2312" w:cs="仿宋_GB2312"/>
          <w:color w:val="auto"/>
          <w:sz w:val="32"/>
          <w:szCs w:val="32"/>
          <w:lang w:eastAsia="zh-CN"/>
        </w:rPr>
        <w:t>医疗就诊</w:t>
      </w:r>
      <w:r>
        <w:rPr>
          <w:rFonts w:hint="eastAsia" w:ascii="Times New Roman" w:hAnsi="Times New Roman" w:eastAsia="仿宋_GB2312" w:cs="仿宋_GB2312"/>
          <w:color w:val="auto"/>
          <w:sz w:val="32"/>
          <w:szCs w:val="32"/>
        </w:rPr>
        <w:t>等方面享受</w:t>
      </w:r>
      <w:r>
        <w:rPr>
          <w:rFonts w:hint="eastAsia" w:ascii="Times New Roman" w:hAnsi="Times New Roman" w:eastAsia="仿宋_GB2312" w:cs="仿宋_GB2312"/>
          <w:color w:val="auto"/>
          <w:sz w:val="32"/>
          <w:szCs w:val="32"/>
          <w:lang w:eastAsia="zh-CN"/>
        </w:rPr>
        <w:t>优惠和</w:t>
      </w:r>
      <w:r>
        <w:rPr>
          <w:rFonts w:hint="eastAsia" w:ascii="Times New Roman" w:hAnsi="Times New Roman" w:eastAsia="仿宋_GB2312" w:cs="仿宋_GB2312"/>
          <w:color w:val="auto"/>
          <w:sz w:val="32"/>
          <w:szCs w:val="32"/>
        </w:rPr>
        <w:t>绿色通道服务；</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3. </w:t>
      </w:r>
      <w:r>
        <w:rPr>
          <w:rFonts w:hint="eastAsia" w:ascii="Times New Roman" w:hAnsi="Times New Roman" w:eastAsia="仿宋_GB2312" w:cs="Times New Roman"/>
          <w:color w:val="auto"/>
          <w:sz w:val="32"/>
          <w:szCs w:val="32"/>
          <w:lang w:eastAsia="zh-CN"/>
        </w:rPr>
        <w:t>在推荐入驻孵化基地，评选优秀创业项目、创业典型等创业服务过程中，同等条件下列为优先选择对象；</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 xml:space="preserve">4. </w:t>
      </w:r>
      <w:r>
        <w:rPr>
          <w:rFonts w:hint="eastAsia" w:ascii="Times New Roman" w:hAnsi="Times New Roman" w:eastAsia="仿宋_GB2312" w:cs="Times New Roman"/>
          <w:color w:val="auto"/>
          <w:sz w:val="32"/>
          <w:szCs w:val="32"/>
        </w:rPr>
        <w:t>在教育、就业、</w:t>
      </w:r>
      <w:r>
        <w:rPr>
          <w:rFonts w:hint="eastAsia" w:ascii="Times New Roman" w:hAnsi="Times New Roman" w:eastAsia="仿宋_GB2312" w:cs="Times New Roman"/>
          <w:color w:val="auto"/>
          <w:sz w:val="32"/>
          <w:szCs w:val="32"/>
          <w:lang w:eastAsia="zh-CN"/>
        </w:rPr>
        <w:t>培训</w:t>
      </w:r>
      <w:r>
        <w:rPr>
          <w:rFonts w:hint="eastAsia" w:ascii="Times New Roman" w:hAnsi="Times New Roman" w:eastAsia="仿宋_GB2312" w:cs="Times New Roman"/>
          <w:color w:val="auto"/>
          <w:sz w:val="32"/>
          <w:szCs w:val="32"/>
        </w:rPr>
        <w:t>、社会保障等领域给予重点支持和优先便利</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 在申请财政资金时，享受优先服务，属于上级权限的，优先上报；在财政性资金项目安排、实施招商引资配套优惠政策等方面，同等条件下列为优先选择对象；</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6. 在行政审批和公共服务事项中，</w:t>
      </w:r>
      <w:r>
        <w:rPr>
          <w:rFonts w:hint="eastAsia" w:ascii="Times New Roman" w:hAnsi="Times New Roman" w:eastAsia="仿宋_GB2312" w:cs="Times New Roman"/>
          <w:color w:val="auto"/>
          <w:sz w:val="32"/>
          <w:szCs w:val="32"/>
        </w:rPr>
        <w:t>给予绿色通道、程序简化等便利服务措施，适用告知承诺、容缺受理等制度</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7. 在申请融资信贷等服务时，鼓励金融机构优先授信，简化办理，并给予一定的利率优惠；</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 xml:space="preserve">8. </w:t>
      </w:r>
      <w:r>
        <w:rPr>
          <w:rFonts w:hint="eastAsia" w:ascii="Times New Roman" w:hAnsi="Times New Roman" w:eastAsia="仿宋_GB2312" w:cs="Times New Roman"/>
          <w:color w:val="auto"/>
          <w:sz w:val="32"/>
          <w:szCs w:val="32"/>
        </w:rPr>
        <w:t>在媒体推介、荣誉评选等活动中，同等条件下列为优先考虑对象</w:t>
      </w:r>
      <w:r>
        <w:rPr>
          <w:rFonts w:hint="eastAsia" w:ascii="Times New Roman" w:hAnsi="Times New Roman" w:eastAsia="仿宋_GB2312" w:cs="Times New Roman"/>
          <w:color w:val="auto"/>
          <w:sz w:val="32"/>
          <w:szCs w:val="32"/>
          <w:lang w:eastAsia="zh-CN"/>
        </w:rPr>
        <w:t>，涉及打分或考核的予以加分；</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9. 参与“美在家庭”创建达标的个人，其诚信积分可到所在村（社区）“美家超市”兑换物品；</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10. 在爱张店APP及上级媒体进行宣传报道；</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11. </w:t>
      </w:r>
      <w:r>
        <w:rPr>
          <w:rFonts w:hint="eastAsia" w:ascii="Times New Roman" w:hAnsi="Times New Roman" w:eastAsia="仿宋_GB2312" w:cs="Times New Roman"/>
          <w:color w:val="auto"/>
          <w:sz w:val="32"/>
          <w:szCs w:val="32"/>
        </w:rPr>
        <w:t>国家、省</w:t>
      </w:r>
      <w:r>
        <w:rPr>
          <w:rFonts w:hint="eastAsia" w:ascii="Times New Roman" w:hAnsi="Times New Roman" w:eastAsia="仿宋_GB2312" w:cs="Times New Roman"/>
          <w:color w:val="auto"/>
          <w:sz w:val="32"/>
          <w:szCs w:val="32"/>
          <w:lang w:eastAsia="zh-CN"/>
        </w:rPr>
        <w:t>、市</w:t>
      </w:r>
      <w:r>
        <w:rPr>
          <w:rFonts w:hint="eastAsia" w:ascii="Times New Roman" w:hAnsi="Times New Roman" w:eastAsia="仿宋_GB2312" w:cs="Times New Roman"/>
          <w:color w:val="auto"/>
          <w:sz w:val="32"/>
          <w:szCs w:val="32"/>
        </w:rPr>
        <w:t>规定的其他激励措施。</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有关部门应当结合自身职能，研究制订本部门个人诚信积分激励措施实施细则，积极探索个人诚信积分惠民应用措施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加强与其他</w:t>
      </w:r>
      <w:r>
        <w:rPr>
          <w:rFonts w:hint="eastAsia" w:ascii="Times New Roman" w:hAnsi="Times New Roman" w:eastAsia="仿宋_GB2312" w:cs="Times New Roman"/>
          <w:sz w:val="32"/>
          <w:szCs w:val="32"/>
          <w:lang w:eastAsia="zh-CN"/>
        </w:rPr>
        <w:t>地区</w:t>
      </w:r>
      <w:r>
        <w:rPr>
          <w:rFonts w:hint="eastAsia" w:ascii="Times New Roman" w:hAnsi="Times New Roman" w:eastAsia="仿宋_GB2312" w:cs="Times New Roman"/>
          <w:sz w:val="32"/>
          <w:szCs w:val="32"/>
        </w:rPr>
        <w:t>合作，推动跨区域个人诚信积分互认、“信用惠民”激励措施互认共享。</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eastAsia" w:ascii="Times New Roman" w:hAnsi="Times New Roman" w:eastAsia="黑体" w:cs="Times New Roman"/>
          <w:sz w:val="32"/>
          <w:szCs w:val="32"/>
        </w:rPr>
        <w:t>保障措施</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楷体_GB2312" w:cs="楷体_GB2312"/>
          <w:b w:val="0"/>
          <w:bCs w:val="0"/>
          <w:sz w:val="32"/>
          <w:szCs w:val="32"/>
          <w:lang w:eastAsia="zh-CN"/>
        </w:rPr>
        <w:t>（一）加强信息收集。</w:t>
      </w:r>
      <w:r>
        <w:rPr>
          <w:rFonts w:hint="eastAsia" w:ascii="Times New Roman" w:hAnsi="Times New Roman" w:eastAsia="仿宋_GB2312" w:cs="Times New Roman"/>
          <w:sz w:val="32"/>
          <w:szCs w:val="32"/>
          <w:shd w:val="clear" w:color="auto" w:fill="auto"/>
        </w:rPr>
        <w:t>依托</w:t>
      </w:r>
      <w:r>
        <w:rPr>
          <w:rFonts w:hint="eastAsia" w:ascii="Times New Roman" w:hAnsi="Times New Roman" w:eastAsia="仿宋_GB2312" w:cs="Times New Roman"/>
          <w:sz w:val="32"/>
          <w:szCs w:val="32"/>
          <w:shd w:val="clear" w:color="auto" w:fill="auto"/>
          <w:lang w:eastAsia="zh-CN"/>
        </w:rPr>
        <w:t>张店区社会信用中心</w:t>
      </w:r>
      <w:r>
        <w:rPr>
          <w:rFonts w:hint="eastAsia" w:ascii="Times New Roman" w:hAnsi="Times New Roman" w:eastAsia="仿宋_GB2312" w:cs="Times New Roman"/>
          <w:sz w:val="32"/>
          <w:szCs w:val="32"/>
          <w:shd w:val="clear" w:color="auto" w:fill="auto"/>
        </w:rPr>
        <w:t>，</w:t>
      </w:r>
      <w:r>
        <w:rPr>
          <w:rFonts w:hint="eastAsia" w:ascii="Times New Roman" w:hAnsi="Times New Roman" w:eastAsia="仿宋_GB2312" w:cs="Times New Roman"/>
          <w:sz w:val="32"/>
          <w:szCs w:val="32"/>
        </w:rPr>
        <w:t>依法依规归集个人信用信息，负责个人诚信积分的动态维护、应用推广、信息发布、政策咨询等工作。</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楷体_GB2312" w:cs="楷体_GB2312"/>
          <w:b w:val="0"/>
          <w:bCs w:val="0"/>
          <w:sz w:val="32"/>
          <w:szCs w:val="32"/>
          <w:lang w:eastAsia="zh-CN"/>
        </w:rPr>
        <w:t>（二）加强信息查询。</w:t>
      </w:r>
      <w:r>
        <w:rPr>
          <w:rFonts w:hint="eastAsia" w:ascii="Times New Roman" w:hAnsi="Times New Roman" w:eastAsia="仿宋_GB2312" w:cs="Times New Roman"/>
          <w:sz w:val="32"/>
          <w:szCs w:val="32"/>
        </w:rPr>
        <w:t>通过移动终端查询本人信用信息的，应进行实名注册认证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也可以通过自助终端、服务窗口等渠道免费查询个人公共信用信息报告。向</w:t>
      </w:r>
      <w:r>
        <w:rPr>
          <w:rFonts w:hint="eastAsia" w:ascii="Times New Roman" w:hAnsi="Times New Roman" w:eastAsia="仿宋_GB2312" w:cs="Times New Roman"/>
          <w:sz w:val="32"/>
          <w:szCs w:val="32"/>
          <w:lang w:eastAsia="zh-CN"/>
        </w:rPr>
        <w:t>区</w:t>
      </w:r>
      <w:r>
        <w:rPr>
          <w:rFonts w:hint="eastAsia" w:ascii="Times New Roman" w:hAnsi="Times New Roman" w:eastAsia="仿宋_GB2312" w:cs="Times New Roman"/>
          <w:sz w:val="32"/>
          <w:szCs w:val="32"/>
          <w:shd w:val="clear" w:color="auto" w:fill="auto"/>
        </w:rPr>
        <w:t>自助服务终端等信息化平台</w:t>
      </w:r>
      <w:r>
        <w:rPr>
          <w:rFonts w:hint="eastAsia" w:ascii="Times New Roman" w:hAnsi="Times New Roman" w:eastAsia="仿宋_GB2312" w:cs="Times New Roman"/>
          <w:sz w:val="32"/>
          <w:szCs w:val="32"/>
        </w:rPr>
        <w:t>或者服务窗口申请查询本人非公开信息的，应当提供本人有效身份证件。查询他人个人诚信积分的，应当提供有关授权（委托）证明、约定的查询用途、有效身份证件或者证明文件。</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ascii="Times New Roman" w:hAnsi="Times New Roman" w:eastAsia="仿宋_GB2312" w:cs="Times New Roman"/>
          <w:sz w:val="32"/>
          <w:szCs w:val="32"/>
        </w:rPr>
      </w:pPr>
      <w:r>
        <w:rPr>
          <w:rFonts w:hint="eastAsia" w:ascii="Times New Roman" w:hAnsi="Times New Roman" w:eastAsia="楷体_GB2312" w:cs="楷体_GB2312"/>
          <w:b w:val="0"/>
          <w:bCs w:val="0"/>
          <w:sz w:val="32"/>
          <w:szCs w:val="32"/>
          <w:lang w:eastAsia="zh-CN"/>
        </w:rPr>
        <w:t>（三）加强信息修复。</w:t>
      </w:r>
      <w:r>
        <w:rPr>
          <w:rFonts w:hint="eastAsia" w:ascii="Times New Roman" w:hAnsi="Times New Roman" w:eastAsia="仿宋_GB2312" w:cs="Times New Roman"/>
          <w:sz w:val="32"/>
          <w:szCs w:val="32"/>
        </w:rPr>
        <w:t>畅通信用修复渠道，丰富信用修复方式，探索通过事后主动履约、文明实践、志愿服务、慈善捐助等方式修复信用。</w:t>
      </w:r>
      <w:r>
        <w:rPr>
          <w:rFonts w:hint="eastAsia" w:ascii="Times New Roman" w:hAnsi="Times New Roman" w:eastAsia="仿宋_GB2312" w:cs="Times New Roman"/>
          <w:sz w:val="32"/>
          <w:szCs w:val="32"/>
          <w:shd w:val="clear" w:color="auto" w:fill="auto"/>
          <w:lang w:eastAsia="zh-CN"/>
        </w:rPr>
        <w:t>对</w:t>
      </w:r>
      <w:r>
        <w:rPr>
          <w:rFonts w:hint="eastAsia" w:ascii="Times New Roman" w:hAnsi="Times New Roman" w:eastAsia="仿宋_GB2312" w:cs="Times New Roman"/>
          <w:sz w:val="32"/>
          <w:szCs w:val="32"/>
          <w:shd w:val="clear" w:color="auto" w:fill="auto"/>
        </w:rPr>
        <w:t>拒不履行法定义务，影响司法机关、行政机关公信力的行为，在主动履行法定义务后，经信息提供单位同意，信用修复为扣减诚信分80分，有效期2年。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楷体_GB2312" w:cs="楷体_GB2312"/>
          <w:b w:val="0"/>
          <w:bCs w:val="0"/>
          <w:sz w:val="32"/>
          <w:szCs w:val="32"/>
          <w:lang w:eastAsia="zh-CN"/>
        </w:rPr>
        <w:t>（四）加强信息更新。</w:t>
      </w:r>
      <w:r>
        <w:rPr>
          <w:rFonts w:hint="eastAsia" w:ascii="Times New Roman" w:hAnsi="Times New Roman" w:eastAsia="仿宋_GB2312" w:cs="Times New Roman"/>
          <w:b w:val="0"/>
          <w:bCs w:val="0"/>
          <w:sz w:val="32"/>
          <w:szCs w:val="32"/>
          <w:lang w:eastAsia="zh-CN"/>
        </w:rPr>
        <w:t>对</w:t>
      </w:r>
      <w:r>
        <w:rPr>
          <w:rFonts w:hint="eastAsia" w:ascii="Times New Roman" w:hAnsi="Times New Roman" w:eastAsia="仿宋_GB2312" w:cs="Times New Roman"/>
          <w:b w:val="0"/>
          <w:bCs w:val="0"/>
          <w:sz w:val="32"/>
          <w:szCs w:val="32"/>
        </w:rPr>
        <w:t>行政、司法处理结果发生变更</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行政处罚或者司法判决被撤销</w:t>
      </w:r>
      <w:r>
        <w:rPr>
          <w:rFonts w:hint="eastAsia" w:ascii="Times New Roman" w:hAnsi="Times New Roman" w:eastAsia="仿宋_GB2312" w:cs="Times New Roman"/>
          <w:b w:val="0"/>
          <w:bCs w:val="0"/>
          <w:sz w:val="32"/>
          <w:szCs w:val="32"/>
          <w:lang w:eastAsia="zh-CN"/>
        </w:rPr>
        <w:t>，记分存在错误，个人提出书面申请、经审核属实的等情形，应及时</w:t>
      </w:r>
      <w:r>
        <w:rPr>
          <w:rFonts w:hint="eastAsia" w:ascii="Times New Roman" w:hAnsi="Times New Roman" w:eastAsia="仿宋_GB2312" w:cs="Times New Roman"/>
          <w:b w:val="0"/>
          <w:bCs w:val="0"/>
          <w:sz w:val="32"/>
          <w:szCs w:val="32"/>
        </w:rPr>
        <w:t>更新个人的诚信积分</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本人对个人信用信息、诚信积分有异议的，可以向信息提供主体或公共信用信息机构提出异议申请。</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楷体_GB2312" w:cs="楷体_GB2312"/>
          <w:b w:val="0"/>
          <w:bCs w:val="0"/>
          <w:sz w:val="32"/>
          <w:szCs w:val="32"/>
          <w:lang w:eastAsia="zh-CN"/>
        </w:rPr>
        <w:t>（五）加强信息安全保障。</w:t>
      </w:r>
      <w:r>
        <w:rPr>
          <w:rFonts w:hint="eastAsia" w:ascii="Times New Roman" w:hAnsi="Times New Roman" w:eastAsia="仿宋_GB2312" w:cs="Times New Roman"/>
          <w:sz w:val="32"/>
          <w:szCs w:val="32"/>
          <w:shd w:val="clear" w:color="auto" w:fill="auto"/>
        </w:rPr>
        <w:t>公共信用信息机构</w:t>
      </w:r>
      <w:r>
        <w:rPr>
          <w:rFonts w:hint="eastAsia" w:ascii="Times New Roman" w:hAnsi="Times New Roman" w:eastAsia="仿宋_GB2312" w:cs="Times New Roman"/>
          <w:sz w:val="32"/>
          <w:szCs w:val="32"/>
        </w:rPr>
        <w:t>应当严格执行国家信息系统安全保护有关规定，建立健全信息安全管理制度和应急处理制度，做好数据库安全防护工作，建立完善个人信用信息查询使用登记和审查制度，防止信息泄露。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本方案</w:t>
      </w:r>
      <w:r>
        <w:rPr>
          <w:rFonts w:hint="eastAsia" w:ascii="Times New Roman" w:hAnsi="Times New Roman" w:eastAsia="仿宋_GB2312" w:cs="Times New Roman"/>
          <w:sz w:val="32"/>
          <w:szCs w:val="32"/>
          <w:lang w:eastAsia="zh-CN"/>
        </w:rPr>
        <w:t>自</w:t>
      </w:r>
      <w:r>
        <w:rPr>
          <w:rFonts w:hint="eastAsia" w:ascii="Times New Roman" w:hAnsi="Times New Roman" w:eastAsia="仿宋_GB2312" w:cs="Times New Roman"/>
          <w:b w:val="0"/>
          <w:bCs/>
          <w:color w:val="auto"/>
          <w:sz w:val="32"/>
          <w:szCs w:val="32"/>
          <w:highlight w:val="none"/>
          <w:shd w:val="clear" w:color="auto" w:fill="auto"/>
          <w:lang w:val="en-US" w:eastAsia="zh-CN"/>
        </w:rPr>
        <w:t>2022年2月1日起试行，有效期至2024年2月1日。</w:t>
      </w:r>
    </w:p>
    <w:p>
      <w:pPr>
        <w:pStyle w:val="25"/>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附件：张店区个人诚信积分指标</w:t>
      </w:r>
    </w:p>
    <w:p>
      <w:pPr>
        <w:pStyle w:val="25"/>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sz w:val="32"/>
          <w:szCs w:val="32"/>
          <w:lang w:eastAsia="zh-CN"/>
        </w:rPr>
      </w:pPr>
    </w:p>
    <w:p>
      <w:pPr>
        <w:keepNext w:val="0"/>
        <w:keepLines w:val="0"/>
        <w:pageBreakBefore w:val="0"/>
        <w:kinsoku/>
        <w:wordWrap/>
        <w:overflowPunct/>
        <w:topLinePunct w:val="0"/>
        <w:bidi w:val="0"/>
        <w:adjustRightInd w:val="0"/>
        <w:snapToGrid w:val="0"/>
        <w:spacing w:line="56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br w:type="page"/>
      </w:r>
    </w:p>
    <w:p>
      <w:pPr>
        <w:keepNext w:val="0"/>
        <w:keepLines w:val="0"/>
        <w:pageBreakBefore w:val="0"/>
        <w:widowControl w:val="0"/>
        <w:kinsoku/>
        <w:wordWrap/>
        <w:overflowPunct/>
        <w:topLinePunct w:val="0"/>
        <w:autoSpaceDE/>
        <w:autoSpaceDN/>
        <w:bidi w:val="0"/>
        <w:adjustRightInd w:val="0"/>
        <w:snapToGrid w:val="0"/>
        <w:spacing w:after="156" w:afterLines="50"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val="0"/>
        <w:snapToGrid w:val="0"/>
        <w:spacing w:after="156" w:afterLines="50" w:line="560" w:lineRule="exact"/>
        <w:jc w:val="center"/>
        <w:textAlignment w:val="auto"/>
        <w:rPr>
          <w:rFonts w:hint="eastAsia" w:ascii="Times New Roman" w:hAnsi="Times New Roman" w:eastAsia="方正小标宋简体"/>
          <w:color w:val="000000"/>
          <w:sz w:val="44"/>
          <w:szCs w:val="44"/>
        </w:rPr>
      </w:pPr>
      <w:r>
        <w:rPr>
          <w:rFonts w:hint="eastAsia" w:ascii="Times New Roman" w:hAnsi="Times New Roman" w:eastAsia="方正小标宋简体"/>
          <w:color w:val="000000"/>
          <w:sz w:val="44"/>
          <w:szCs w:val="44"/>
          <w:lang w:eastAsia="zh-CN"/>
        </w:rPr>
        <w:t>张店区</w:t>
      </w:r>
      <w:r>
        <w:rPr>
          <w:rFonts w:hint="eastAsia" w:ascii="Times New Roman" w:hAnsi="Times New Roman" w:eastAsia="方正小标宋简体"/>
          <w:color w:val="000000"/>
          <w:sz w:val="44"/>
          <w:szCs w:val="44"/>
        </w:rPr>
        <w:t>个人诚信积分指标</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2"/>
        <w:gridCol w:w="1308"/>
        <w:gridCol w:w="5681"/>
        <w:gridCol w:w="921"/>
        <w:gridCol w:w="966"/>
      </w:tblGrid>
      <w:tr>
        <w:trPr>
          <w:trHeight w:val="454" w:hRule="atLeast"/>
          <w:tblHeader/>
          <w:jc w:val="center"/>
        </w:trPr>
        <w:tc>
          <w:tcPr>
            <w:tcW w:w="852"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黑体" w:cs="黑体"/>
                <w:bCs/>
                <w:kern w:val="0"/>
                <w:sz w:val="28"/>
                <w:szCs w:val="28"/>
              </w:rPr>
            </w:pPr>
            <w:r>
              <w:rPr>
                <w:rFonts w:hint="eastAsia" w:ascii="Times New Roman" w:hAnsi="Times New Roman" w:eastAsia="黑体" w:cs="黑体"/>
                <w:bCs/>
                <w:kern w:val="0"/>
                <w:sz w:val="28"/>
                <w:szCs w:val="28"/>
              </w:rPr>
              <w:t>评价</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黑体" w:cs="黑体"/>
                <w:bCs/>
                <w:kern w:val="0"/>
                <w:sz w:val="28"/>
                <w:szCs w:val="28"/>
                <w:lang w:val="en-US"/>
              </w:rPr>
            </w:pPr>
            <w:r>
              <w:rPr>
                <w:rFonts w:hint="eastAsia" w:ascii="Times New Roman" w:hAnsi="Times New Roman" w:eastAsia="黑体" w:cs="黑体"/>
                <w:bCs/>
                <w:kern w:val="0"/>
                <w:sz w:val="28"/>
                <w:szCs w:val="28"/>
              </w:rPr>
              <w:t>类别</w:t>
            </w:r>
          </w:p>
        </w:tc>
        <w:tc>
          <w:tcPr>
            <w:tcW w:w="1308"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黑体" w:cs="黑体"/>
                <w:bCs/>
                <w:kern w:val="0"/>
                <w:sz w:val="28"/>
                <w:szCs w:val="28"/>
              </w:rPr>
            </w:pPr>
            <w:r>
              <w:rPr>
                <w:rFonts w:hint="eastAsia" w:ascii="Times New Roman" w:hAnsi="Times New Roman" w:eastAsia="黑体" w:cs="黑体"/>
                <w:bCs/>
                <w:kern w:val="0"/>
                <w:sz w:val="28"/>
                <w:szCs w:val="28"/>
              </w:rPr>
              <w:t>信息项</w:t>
            </w:r>
          </w:p>
        </w:tc>
        <w:tc>
          <w:tcPr>
            <w:tcW w:w="568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黑体" w:cs="黑体"/>
                <w:bCs/>
                <w:kern w:val="0"/>
                <w:sz w:val="28"/>
                <w:szCs w:val="28"/>
              </w:rPr>
            </w:pPr>
            <w:r>
              <w:rPr>
                <w:rFonts w:hint="eastAsia" w:ascii="Times New Roman" w:hAnsi="Times New Roman" w:eastAsia="黑体" w:cs="黑体"/>
                <w:bCs/>
                <w:kern w:val="0"/>
                <w:sz w:val="28"/>
                <w:szCs w:val="28"/>
              </w:rPr>
              <w:t>积分指标</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黑体" w:cs="黑体"/>
                <w:bCs/>
                <w:kern w:val="0"/>
                <w:sz w:val="28"/>
                <w:szCs w:val="28"/>
              </w:rPr>
            </w:pPr>
            <w:r>
              <w:rPr>
                <w:rFonts w:hint="eastAsia" w:ascii="Times New Roman" w:hAnsi="Times New Roman" w:eastAsia="黑体" w:cs="黑体"/>
                <w:bCs/>
                <w:kern w:val="0"/>
                <w:sz w:val="28"/>
                <w:szCs w:val="28"/>
              </w:rPr>
              <w:t>加减分</w:t>
            </w:r>
          </w:p>
        </w:tc>
        <w:tc>
          <w:tcPr>
            <w:tcW w:w="966"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黑体" w:cs="黑体"/>
                <w:bCs/>
                <w:kern w:val="0"/>
                <w:sz w:val="28"/>
                <w:szCs w:val="28"/>
              </w:rPr>
            </w:pPr>
            <w:r>
              <w:rPr>
                <w:rFonts w:hint="eastAsia" w:ascii="Times New Roman" w:hAnsi="Times New Roman" w:eastAsia="黑体" w:cs="黑体"/>
                <w:bCs/>
                <w:kern w:val="0"/>
                <w:sz w:val="28"/>
                <w:szCs w:val="28"/>
              </w:rPr>
              <w:t>备注</w:t>
            </w:r>
          </w:p>
        </w:tc>
      </w:tr>
      <w:tr>
        <w:trPr>
          <w:trHeight w:val="454" w:hRule="atLeast"/>
          <w:jc w:val="center"/>
        </w:trPr>
        <w:tc>
          <w:tcPr>
            <w:tcW w:w="852" w:type="dxa"/>
            <w:vMerge w:val="restart"/>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default" w:ascii="Times New Roman" w:hAnsi="Times New Roman" w:eastAsia="仿宋_GB2312" w:cs="仿宋_GB2312"/>
                <w:bCs/>
                <w:kern w:val="0"/>
                <w:sz w:val="28"/>
                <w:szCs w:val="28"/>
                <w:lang w:val="en-US"/>
              </w:rPr>
              <w:t>诚信</w:t>
            </w:r>
            <w:r>
              <w:rPr>
                <w:rFonts w:hint="eastAsia" w:ascii="Times New Roman" w:hAnsi="Times New Roman" w:eastAsia="仿宋_GB2312" w:cs="仿宋_GB2312"/>
                <w:bCs/>
                <w:kern w:val="0"/>
                <w:sz w:val="28"/>
                <w:szCs w:val="28"/>
                <w:lang w:val="en-US" w:eastAsia="zh-CN"/>
              </w:rPr>
              <w:t>守信</w:t>
            </w:r>
            <w:r>
              <w:rPr>
                <w:rFonts w:hint="eastAsia" w:ascii="Times New Roman" w:hAnsi="Times New Roman" w:eastAsia="仿宋_GB2312" w:cs="仿宋_GB2312"/>
                <w:bCs/>
                <w:kern w:val="0"/>
                <w:sz w:val="28"/>
                <w:szCs w:val="28"/>
              </w:rPr>
              <w:t>信息</w:t>
            </w:r>
          </w:p>
        </w:tc>
        <w:tc>
          <w:tcPr>
            <w:tcW w:w="1308" w:type="dxa"/>
            <w:vMerge w:val="restart"/>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志愿服务信息（社区服务、农村服务，分档累计计算）</w:t>
            </w:r>
          </w:p>
        </w:tc>
        <w:tc>
          <w:tcPr>
            <w:tcW w:w="568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志愿服务时间累计达到10小时</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w:t>
            </w:r>
          </w:p>
        </w:tc>
        <w:tc>
          <w:tcPr>
            <w:tcW w:w="966" w:type="dxa"/>
            <w:vMerge w:val="restart"/>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年度志愿服务最多加50分</w:t>
            </w:r>
          </w:p>
        </w:tc>
      </w:tr>
      <w:tr>
        <w:trPr>
          <w:trHeight w:val="454" w:hRule="atLeast"/>
          <w:jc w:val="center"/>
        </w:trPr>
        <w:tc>
          <w:tcPr>
            <w:tcW w:w="852"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568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志愿服务时间累计达到20小时</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+5</w:t>
            </w:r>
          </w:p>
        </w:tc>
        <w:tc>
          <w:tcPr>
            <w:tcW w:w="966"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i/>
                <w:iCs/>
                <w:kern w:val="0"/>
                <w:sz w:val="28"/>
                <w:szCs w:val="28"/>
              </w:rPr>
            </w:pPr>
          </w:p>
        </w:tc>
      </w:tr>
      <w:tr>
        <w:trPr>
          <w:trHeight w:val="454" w:hRule="atLeast"/>
          <w:jc w:val="center"/>
        </w:trPr>
        <w:tc>
          <w:tcPr>
            <w:tcW w:w="852"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568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志愿服务时间累计达到50小时</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w:t>
            </w:r>
          </w:p>
        </w:tc>
        <w:tc>
          <w:tcPr>
            <w:tcW w:w="966"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i/>
                <w:iCs/>
                <w:kern w:val="0"/>
                <w:sz w:val="28"/>
                <w:szCs w:val="28"/>
              </w:rPr>
            </w:pPr>
          </w:p>
        </w:tc>
      </w:tr>
      <w:tr>
        <w:trPr>
          <w:trHeight w:val="454" w:hRule="atLeast"/>
          <w:jc w:val="center"/>
        </w:trPr>
        <w:tc>
          <w:tcPr>
            <w:tcW w:w="852"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568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志愿服务时间累计达到80小时</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+15</w:t>
            </w:r>
          </w:p>
        </w:tc>
        <w:tc>
          <w:tcPr>
            <w:tcW w:w="966"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i/>
                <w:iCs/>
                <w:kern w:val="0"/>
                <w:sz w:val="28"/>
                <w:szCs w:val="28"/>
              </w:rPr>
            </w:pPr>
          </w:p>
        </w:tc>
      </w:tr>
      <w:tr>
        <w:trPr>
          <w:trHeight w:val="454" w:hRule="atLeast"/>
          <w:jc w:val="center"/>
        </w:trPr>
        <w:tc>
          <w:tcPr>
            <w:tcW w:w="852"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568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志愿服务时间累计达到100小时</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w:t>
            </w:r>
          </w:p>
        </w:tc>
        <w:tc>
          <w:tcPr>
            <w:tcW w:w="966"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i/>
                <w:iCs/>
                <w:kern w:val="0"/>
                <w:sz w:val="28"/>
                <w:szCs w:val="28"/>
              </w:rPr>
            </w:pPr>
          </w:p>
        </w:tc>
      </w:tr>
      <w:tr>
        <w:trPr>
          <w:trHeight w:val="454" w:hRule="atLeast"/>
          <w:jc w:val="center"/>
        </w:trPr>
        <w:tc>
          <w:tcPr>
            <w:tcW w:w="852"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568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志愿服务时间累计达到150小时</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+25</w:t>
            </w:r>
          </w:p>
        </w:tc>
        <w:tc>
          <w:tcPr>
            <w:tcW w:w="966"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i/>
                <w:iCs/>
                <w:kern w:val="0"/>
                <w:sz w:val="28"/>
                <w:szCs w:val="28"/>
              </w:rPr>
            </w:pPr>
          </w:p>
        </w:tc>
      </w:tr>
      <w:tr>
        <w:trPr>
          <w:trHeight w:val="454" w:hRule="atLeast"/>
          <w:jc w:val="center"/>
        </w:trPr>
        <w:tc>
          <w:tcPr>
            <w:tcW w:w="852"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568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志愿服务时间累计达到200小时</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+30</w:t>
            </w:r>
          </w:p>
        </w:tc>
        <w:tc>
          <w:tcPr>
            <w:tcW w:w="966"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i/>
                <w:iCs/>
                <w:kern w:val="0"/>
                <w:sz w:val="28"/>
                <w:szCs w:val="28"/>
              </w:rPr>
            </w:pPr>
          </w:p>
        </w:tc>
      </w:tr>
      <w:tr>
        <w:trPr>
          <w:trHeight w:val="925" w:hRule="atLeast"/>
          <w:jc w:val="center"/>
        </w:trPr>
        <w:tc>
          <w:tcPr>
            <w:tcW w:w="852" w:type="dxa"/>
            <w:vMerge w:val="restart"/>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default" w:ascii="Times New Roman" w:hAnsi="Times New Roman" w:eastAsia="仿宋_GB2312" w:cs="仿宋_GB2312"/>
                <w:bCs/>
                <w:kern w:val="0"/>
                <w:sz w:val="28"/>
                <w:szCs w:val="28"/>
                <w:lang w:val="en-US"/>
              </w:rPr>
              <w:t>诚信</w:t>
            </w:r>
            <w:r>
              <w:rPr>
                <w:rFonts w:hint="eastAsia" w:ascii="Times New Roman" w:hAnsi="Times New Roman" w:eastAsia="仿宋_GB2312" w:cs="仿宋_GB2312"/>
                <w:bCs/>
                <w:kern w:val="0"/>
                <w:sz w:val="28"/>
                <w:szCs w:val="28"/>
                <w:lang w:val="en-US" w:eastAsia="zh-CN"/>
              </w:rPr>
              <w:t>守信</w:t>
            </w:r>
            <w:r>
              <w:rPr>
                <w:rFonts w:hint="eastAsia" w:ascii="Times New Roman" w:hAnsi="Times New Roman" w:eastAsia="仿宋_GB2312" w:cs="仿宋_GB2312"/>
                <w:bCs/>
                <w:kern w:val="0"/>
                <w:sz w:val="28"/>
                <w:szCs w:val="28"/>
              </w:rPr>
              <w:t>信息</w:t>
            </w:r>
          </w:p>
        </w:tc>
        <w:tc>
          <w:tcPr>
            <w:tcW w:w="1308" w:type="dxa"/>
            <w:vMerge w:val="restart"/>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志愿服务信息（社区服务、农村服务，分档累计计算）</w:t>
            </w:r>
          </w:p>
        </w:tc>
        <w:tc>
          <w:tcPr>
            <w:tcW w:w="568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志愿服务时间累计达到250小时</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+40</w:t>
            </w:r>
          </w:p>
        </w:tc>
        <w:tc>
          <w:tcPr>
            <w:tcW w:w="966" w:type="dxa"/>
            <w:vMerge w:val="restart"/>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年度志愿服务最多加50分</w:t>
            </w:r>
          </w:p>
        </w:tc>
      </w:tr>
      <w:tr>
        <w:trPr>
          <w:trHeight w:val="454" w:hRule="atLeast"/>
          <w:jc w:val="center"/>
        </w:trPr>
        <w:tc>
          <w:tcPr>
            <w:tcW w:w="852" w:type="dxa"/>
            <w:vMerge w:val="continue"/>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568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志愿服务时间累计达到300小时</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+50</w:t>
            </w:r>
          </w:p>
        </w:tc>
        <w:tc>
          <w:tcPr>
            <w:tcW w:w="966"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tcBorders>
              <w:bottom w:val="single" w:color="auto" w:sz="4" w:space="0"/>
            </w:tcBorders>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新时代文明实践活动信息</w:t>
            </w:r>
          </w:p>
        </w:tc>
        <w:tc>
          <w:tcPr>
            <w:tcW w:w="5681" w:type="dxa"/>
            <w:tcBorders>
              <w:bottom w:val="single" w:color="auto" w:sz="4" w:space="0"/>
            </w:tcBorders>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每10小时</w:t>
            </w:r>
          </w:p>
        </w:tc>
        <w:tc>
          <w:tcPr>
            <w:tcW w:w="921" w:type="dxa"/>
            <w:tcBorders>
              <w:bottom w:val="single" w:color="auto" w:sz="4" w:space="0"/>
            </w:tcBorders>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w:t>
            </w:r>
          </w:p>
        </w:tc>
        <w:tc>
          <w:tcPr>
            <w:tcW w:w="966" w:type="dxa"/>
            <w:tcBorders>
              <w:bottom w:val="single" w:color="auto" w:sz="4" w:space="0"/>
            </w:tcBorders>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年度最多加5分</w:t>
            </w:r>
          </w:p>
        </w:tc>
      </w:tr>
      <w:tr>
        <w:trPr>
          <w:trHeight w:val="454" w:hRule="atLeast"/>
          <w:jc w:val="center"/>
        </w:trPr>
        <w:tc>
          <w:tcPr>
            <w:tcW w:w="852" w:type="dxa"/>
            <w:vMerge w:val="continue"/>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restart"/>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拾金不昧信息（分档累计计算）</w:t>
            </w:r>
          </w:p>
        </w:tc>
        <w:tc>
          <w:tcPr>
            <w:tcW w:w="568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拾金不昧金额100-1000元的</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w:t>
            </w:r>
          </w:p>
        </w:tc>
        <w:tc>
          <w:tcPr>
            <w:tcW w:w="966" w:type="dxa"/>
            <w:vMerge w:val="restart"/>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年度最多加10分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52" w:type="dxa"/>
            <w:vMerge w:val="continue"/>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拾金不昧金额1001-5000元的</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+3</w:t>
            </w:r>
          </w:p>
        </w:tc>
        <w:tc>
          <w:tcPr>
            <w:tcW w:w="966"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52" w:type="dxa"/>
            <w:vMerge w:val="continue"/>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拾金不昧金额5001-10000元的</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+5</w:t>
            </w:r>
          </w:p>
        </w:tc>
        <w:tc>
          <w:tcPr>
            <w:tcW w:w="966"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jc w:val="center"/>
        </w:trPr>
        <w:tc>
          <w:tcPr>
            <w:tcW w:w="852" w:type="dxa"/>
            <w:vMerge w:val="continue"/>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拾金不昧金额1万元以上的</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w:t>
            </w:r>
          </w:p>
        </w:tc>
        <w:tc>
          <w:tcPr>
            <w:tcW w:w="966"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restart"/>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捐款捐物信息</w:t>
            </w:r>
            <w:r>
              <w:rPr>
                <w:rFonts w:hint="eastAsia" w:ascii="Times New Roman" w:hAnsi="Times New Roman" w:eastAsia="仿宋_GB2312" w:cs="仿宋_GB2312"/>
                <w:bCs/>
                <w:kern w:val="0"/>
                <w:sz w:val="24"/>
              </w:rPr>
              <w:t>(</w:t>
            </w:r>
            <w:r>
              <w:rPr>
                <w:rFonts w:hint="eastAsia" w:ascii="Times New Roman" w:hAnsi="Times New Roman" w:eastAsia="仿宋_GB2312" w:cs="仿宋_GB2312"/>
                <w:bCs/>
                <w:kern w:val="0"/>
                <w:sz w:val="28"/>
                <w:szCs w:val="28"/>
              </w:rPr>
              <w:t>慈善总会、农村、社区等捐款捐物不包括给</w:t>
            </w:r>
            <w:r>
              <w:rPr>
                <w:rFonts w:hint="eastAsia" w:ascii="Times New Roman" w:hAnsi="Times New Roman" w:eastAsia="仿宋_GB2312" w:cs="仿宋_GB2312"/>
                <w:bCs/>
                <w:kern w:val="0"/>
                <w:sz w:val="28"/>
                <w:szCs w:val="28"/>
                <w:lang w:eastAsia="zh-CN"/>
              </w:rPr>
              <w:t>区</w:t>
            </w:r>
            <w:r>
              <w:rPr>
                <w:rFonts w:hint="eastAsia" w:ascii="Times New Roman" w:hAnsi="Times New Roman" w:eastAsia="仿宋_GB2312" w:cs="仿宋_GB2312"/>
                <w:bCs/>
                <w:kern w:val="0"/>
                <w:sz w:val="28"/>
                <w:szCs w:val="28"/>
              </w:rPr>
              <w:t>直部门、镇街的捐款捐物</w:t>
            </w:r>
            <w:r>
              <w:rPr>
                <w:rFonts w:hint="eastAsia" w:ascii="Times New Roman" w:hAnsi="Times New Roman" w:eastAsia="仿宋_GB2312" w:cs="仿宋_GB2312"/>
                <w:bCs/>
                <w:kern w:val="0"/>
                <w:sz w:val="24"/>
              </w:rPr>
              <w:t>)</w:t>
            </w:r>
          </w:p>
        </w:tc>
        <w:tc>
          <w:tcPr>
            <w:tcW w:w="568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现金捐款100-1000元的，每100元加1；</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捐物200-2000元的，每200元加1分</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w:t>
            </w:r>
          </w:p>
        </w:tc>
        <w:tc>
          <w:tcPr>
            <w:tcW w:w="966" w:type="dxa"/>
            <w:vMerge w:val="restart"/>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年度最多加40分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52" w:type="dxa"/>
            <w:vMerge w:val="continue"/>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捐款1001-5000元的，每400元加1分；</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捐物2001-10000元的，每800元加1分</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w:t>
            </w:r>
          </w:p>
        </w:tc>
        <w:tc>
          <w:tcPr>
            <w:tcW w:w="966" w:type="dxa"/>
            <w:vMerge w:val="continue"/>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52" w:type="dxa"/>
            <w:vMerge w:val="continue"/>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捐款5001-10000元的，每500元加1分；</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捐物10001-20000元的，每1000元加1分</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w:t>
            </w:r>
          </w:p>
        </w:tc>
        <w:tc>
          <w:tcPr>
            <w:tcW w:w="966" w:type="dxa"/>
            <w:vMerge w:val="continue"/>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捐款1万元以上的，每1000元加1分；</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捐物2万元以上的，每2000元加1分</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w:t>
            </w:r>
          </w:p>
        </w:tc>
        <w:tc>
          <w:tcPr>
            <w:tcW w:w="966"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852" w:type="dxa"/>
            <w:vMerge w:val="continue"/>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表彰信息</w:t>
            </w: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color w:val="auto"/>
                <w:kern w:val="0"/>
                <w:sz w:val="28"/>
                <w:szCs w:val="28"/>
                <w:lang w:val="en-US" w:eastAsia="zh-CN"/>
              </w:rPr>
            </w:pPr>
            <w:r>
              <w:rPr>
                <w:rFonts w:hint="eastAsia" w:ascii="Times New Roman" w:hAnsi="Times New Roman" w:eastAsia="仿宋_GB2312" w:cs="仿宋_GB2312"/>
                <w:bCs/>
                <w:color w:val="auto"/>
                <w:kern w:val="0"/>
                <w:sz w:val="28"/>
                <w:szCs w:val="28"/>
              </w:rPr>
              <w:t>受到</w:t>
            </w:r>
            <w:r>
              <w:rPr>
                <w:rFonts w:hint="eastAsia" w:ascii="Times New Roman" w:hAnsi="Times New Roman" w:eastAsia="仿宋_GB2312" w:cs="仿宋_GB2312"/>
                <w:bCs/>
                <w:color w:val="auto"/>
                <w:kern w:val="0"/>
                <w:sz w:val="28"/>
                <w:szCs w:val="28"/>
                <w:lang w:eastAsia="zh-CN"/>
              </w:rPr>
              <w:t>区委区政府</w:t>
            </w:r>
            <w:r>
              <w:rPr>
                <w:rFonts w:hint="eastAsia" w:ascii="Times New Roman" w:hAnsi="Times New Roman" w:eastAsia="仿宋_GB2312" w:cs="仿宋_GB2312"/>
                <w:bCs/>
                <w:color w:val="auto"/>
                <w:kern w:val="0"/>
                <w:sz w:val="28"/>
                <w:szCs w:val="28"/>
              </w:rPr>
              <w:t>表彰的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+5</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lang w:val="en-US" w:eastAsia="zh-CN"/>
              </w:rPr>
            </w:pPr>
          </w:p>
        </w:tc>
      </w:tr>
      <w:tr>
        <w:trPr>
          <w:trHeight w:val="464" w:hRule="atLeast"/>
          <w:jc w:val="center"/>
        </w:trPr>
        <w:tc>
          <w:tcPr>
            <w:tcW w:w="852" w:type="dxa"/>
            <w:vMerge w:val="continue"/>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color w:val="auto"/>
                <w:kern w:val="0"/>
                <w:sz w:val="28"/>
                <w:szCs w:val="28"/>
                <w:lang w:val="en-US" w:eastAsia="zh-CN"/>
              </w:rPr>
            </w:pPr>
            <w:r>
              <w:rPr>
                <w:rFonts w:hint="eastAsia" w:ascii="Times New Roman" w:hAnsi="Times New Roman" w:eastAsia="仿宋_GB2312" w:cs="仿宋_GB2312"/>
                <w:bCs/>
                <w:color w:val="auto"/>
                <w:kern w:val="0"/>
                <w:sz w:val="28"/>
                <w:szCs w:val="28"/>
              </w:rPr>
              <w:t>受到市级部门表彰的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+15</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lang w:val="en-US" w:eastAsia="zh-CN"/>
              </w:rPr>
            </w:pPr>
          </w:p>
        </w:tc>
      </w:tr>
      <w:tr>
        <w:trPr>
          <w:trHeight w:val="464" w:hRule="atLeast"/>
          <w:jc w:val="center"/>
        </w:trPr>
        <w:tc>
          <w:tcPr>
            <w:tcW w:w="852" w:type="dxa"/>
            <w:vMerge w:val="continue"/>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color w:val="auto"/>
                <w:kern w:val="0"/>
                <w:sz w:val="28"/>
                <w:szCs w:val="28"/>
                <w:lang w:val="en-US" w:eastAsia="zh-CN"/>
              </w:rPr>
            </w:pPr>
            <w:r>
              <w:rPr>
                <w:rFonts w:hint="eastAsia" w:ascii="Times New Roman" w:hAnsi="Times New Roman" w:eastAsia="仿宋_GB2312" w:cs="仿宋_GB2312"/>
                <w:bCs/>
                <w:color w:val="auto"/>
                <w:kern w:val="0"/>
                <w:sz w:val="28"/>
                <w:szCs w:val="28"/>
              </w:rPr>
              <w:t>受到</w:t>
            </w:r>
            <w:r>
              <w:rPr>
                <w:rFonts w:hint="eastAsia" w:ascii="Times New Roman" w:hAnsi="Times New Roman" w:eastAsia="仿宋_GB2312" w:cs="仿宋_GB2312"/>
                <w:bCs/>
                <w:color w:val="auto"/>
                <w:kern w:val="0"/>
                <w:sz w:val="28"/>
                <w:szCs w:val="28"/>
                <w:lang w:eastAsia="zh-CN"/>
              </w:rPr>
              <w:t>市委市政府</w:t>
            </w:r>
            <w:r>
              <w:rPr>
                <w:rFonts w:hint="eastAsia" w:ascii="Times New Roman" w:hAnsi="Times New Roman" w:eastAsia="仿宋_GB2312" w:cs="仿宋_GB2312"/>
                <w:bCs/>
                <w:color w:val="auto"/>
                <w:kern w:val="0"/>
                <w:sz w:val="28"/>
                <w:szCs w:val="28"/>
              </w:rPr>
              <w:t>表彰的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+2</w:t>
            </w:r>
            <w:r>
              <w:rPr>
                <w:rFonts w:hint="default" w:ascii="Times New Roman" w:hAnsi="Times New Roman" w:eastAsia="仿宋_GB2312" w:cs="仿宋_GB2312"/>
                <w:bCs/>
                <w:kern w:val="0"/>
                <w:sz w:val="28"/>
                <w:szCs w:val="28"/>
                <w:lang w:val="en-US"/>
              </w:rPr>
              <w:t>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lang w:val="en-US" w:eastAsia="zh-CN"/>
              </w:rPr>
            </w:pPr>
          </w:p>
        </w:tc>
      </w:tr>
      <w:tr>
        <w:trPr>
          <w:trHeight w:val="464" w:hRule="atLeast"/>
          <w:jc w:val="center"/>
        </w:trPr>
        <w:tc>
          <w:tcPr>
            <w:tcW w:w="852" w:type="dxa"/>
            <w:vMerge w:val="continue"/>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color w:val="auto"/>
                <w:kern w:val="0"/>
                <w:sz w:val="28"/>
                <w:szCs w:val="28"/>
              </w:rPr>
            </w:pPr>
            <w:r>
              <w:rPr>
                <w:rFonts w:hint="eastAsia" w:ascii="Times New Roman" w:hAnsi="Times New Roman" w:eastAsia="仿宋_GB2312" w:cs="仿宋_GB2312"/>
                <w:bCs/>
                <w:color w:val="auto"/>
                <w:kern w:val="0"/>
                <w:sz w:val="28"/>
                <w:szCs w:val="28"/>
              </w:rPr>
              <w:t>受到省级部门表彰的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+25</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color w:val="auto"/>
                <w:kern w:val="0"/>
                <w:sz w:val="28"/>
                <w:szCs w:val="28"/>
              </w:rPr>
            </w:pPr>
            <w:r>
              <w:rPr>
                <w:rFonts w:hint="eastAsia" w:ascii="Times New Roman" w:hAnsi="Times New Roman" w:eastAsia="仿宋_GB2312" w:cs="仿宋_GB2312"/>
                <w:bCs/>
                <w:color w:val="auto"/>
                <w:kern w:val="0"/>
                <w:sz w:val="28"/>
                <w:szCs w:val="28"/>
              </w:rPr>
              <w:t>受到</w:t>
            </w:r>
            <w:r>
              <w:rPr>
                <w:rFonts w:hint="eastAsia" w:ascii="Times New Roman" w:hAnsi="Times New Roman" w:eastAsia="仿宋_GB2312" w:cs="仿宋_GB2312"/>
                <w:bCs/>
                <w:color w:val="auto"/>
                <w:kern w:val="0"/>
                <w:sz w:val="28"/>
                <w:szCs w:val="28"/>
                <w:lang w:eastAsia="zh-CN"/>
              </w:rPr>
              <w:t>省委省政府</w:t>
            </w:r>
            <w:r>
              <w:rPr>
                <w:rFonts w:hint="eastAsia" w:ascii="Times New Roman" w:hAnsi="Times New Roman" w:eastAsia="仿宋_GB2312" w:cs="仿宋_GB2312"/>
                <w:bCs/>
                <w:color w:val="auto"/>
                <w:kern w:val="0"/>
                <w:sz w:val="28"/>
                <w:szCs w:val="28"/>
              </w:rPr>
              <w:t>表彰的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w:t>
            </w:r>
            <w:r>
              <w:rPr>
                <w:rFonts w:hint="default" w:ascii="Times New Roman" w:hAnsi="Times New Roman" w:eastAsia="仿宋_GB2312" w:cs="仿宋_GB2312"/>
                <w:bCs/>
                <w:kern w:val="0"/>
                <w:sz w:val="28"/>
                <w:szCs w:val="28"/>
                <w:lang w:val="en-US"/>
              </w:rPr>
              <w:t>3</w:t>
            </w:r>
            <w:r>
              <w:rPr>
                <w:rFonts w:hint="eastAsia" w:ascii="Times New Roman" w:hAnsi="Times New Roman" w:eastAsia="仿宋_GB2312" w:cs="仿宋_GB2312"/>
                <w:bCs/>
                <w:kern w:val="0"/>
                <w:sz w:val="28"/>
                <w:szCs w:val="28"/>
              </w:rPr>
              <w:t>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color w:val="auto"/>
                <w:kern w:val="0"/>
                <w:sz w:val="28"/>
                <w:szCs w:val="28"/>
              </w:rPr>
            </w:pPr>
            <w:r>
              <w:rPr>
                <w:rFonts w:hint="eastAsia" w:ascii="Times New Roman" w:hAnsi="Times New Roman" w:eastAsia="仿宋_GB2312" w:cs="仿宋_GB2312"/>
                <w:bCs/>
                <w:color w:val="auto"/>
                <w:kern w:val="0"/>
                <w:sz w:val="28"/>
                <w:szCs w:val="28"/>
              </w:rPr>
              <w:t>受到</w:t>
            </w:r>
            <w:r>
              <w:rPr>
                <w:rFonts w:hint="eastAsia" w:ascii="Times New Roman" w:hAnsi="Times New Roman" w:eastAsia="仿宋_GB2312" w:cs="仿宋_GB2312"/>
                <w:bCs/>
                <w:color w:val="auto"/>
                <w:kern w:val="0"/>
                <w:sz w:val="28"/>
                <w:szCs w:val="28"/>
                <w:lang w:eastAsia="zh-CN"/>
              </w:rPr>
              <w:t>部委</w:t>
            </w:r>
            <w:r>
              <w:rPr>
                <w:rFonts w:hint="eastAsia" w:ascii="Times New Roman" w:hAnsi="Times New Roman" w:eastAsia="仿宋_GB2312" w:cs="仿宋_GB2312"/>
                <w:bCs/>
                <w:color w:val="auto"/>
                <w:kern w:val="0"/>
                <w:sz w:val="28"/>
                <w:szCs w:val="28"/>
              </w:rPr>
              <w:t>表彰的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color w:val="auto"/>
                <w:kern w:val="0"/>
                <w:sz w:val="28"/>
                <w:szCs w:val="28"/>
              </w:rPr>
            </w:pPr>
            <w:r>
              <w:rPr>
                <w:rFonts w:hint="eastAsia" w:ascii="Times New Roman" w:hAnsi="Times New Roman" w:eastAsia="仿宋_GB2312" w:cs="仿宋_GB2312"/>
                <w:bCs/>
                <w:color w:val="auto"/>
                <w:kern w:val="0"/>
                <w:sz w:val="28"/>
                <w:szCs w:val="28"/>
              </w:rPr>
              <w:t>受到</w:t>
            </w:r>
            <w:r>
              <w:rPr>
                <w:rFonts w:hint="eastAsia" w:ascii="Times New Roman" w:hAnsi="Times New Roman" w:eastAsia="仿宋_GB2312" w:cs="仿宋_GB2312"/>
                <w:bCs/>
                <w:color w:val="auto"/>
                <w:kern w:val="0"/>
                <w:sz w:val="28"/>
                <w:szCs w:val="28"/>
                <w:lang w:eastAsia="zh-CN"/>
              </w:rPr>
              <w:t>党中央、国务院</w:t>
            </w:r>
            <w:r>
              <w:rPr>
                <w:rFonts w:hint="eastAsia" w:ascii="Times New Roman" w:hAnsi="Times New Roman" w:eastAsia="仿宋_GB2312" w:cs="仿宋_GB2312"/>
                <w:bCs/>
                <w:color w:val="auto"/>
                <w:kern w:val="0"/>
                <w:sz w:val="28"/>
                <w:szCs w:val="28"/>
              </w:rPr>
              <w:t>表彰的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517" w:hRule="atLeast"/>
          <w:jc w:val="center"/>
        </w:trPr>
        <w:tc>
          <w:tcPr>
            <w:tcW w:w="852"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restart"/>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通报表扬信息</w:t>
            </w:r>
          </w:p>
        </w:tc>
        <w:tc>
          <w:tcPr>
            <w:tcW w:w="56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color w:val="auto"/>
                <w:kern w:val="0"/>
                <w:sz w:val="28"/>
                <w:szCs w:val="28"/>
                <w:lang w:val="en-US" w:eastAsia="zh-CN"/>
              </w:rPr>
            </w:pPr>
            <w:r>
              <w:rPr>
                <w:rFonts w:hint="eastAsia" w:ascii="Times New Roman" w:hAnsi="Times New Roman" w:eastAsia="仿宋_GB2312" w:cs="仿宋_GB2312"/>
                <w:bCs/>
                <w:color w:val="auto"/>
                <w:kern w:val="0"/>
                <w:sz w:val="28"/>
                <w:szCs w:val="28"/>
                <w:lang w:val="en-US" w:eastAsia="zh-CN"/>
              </w:rPr>
              <w:t>受到区级部门通报表扬的</w:t>
            </w:r>
          </w:p>
        </w:tc>
        <w:tc>
          <w:tcPr>
            <w:tcW w:w="92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lang w:val="en-US" w:eastAsia="zh-CN"/>
              </w:rPr>
              <w:t>+1</w:t>
            </w:r>
          </w:p>
        </w:tc>
        <w:tc>
          <w:tcPr>
            <w:tcW w:w="966"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517" w:hRule="atLeast"/>
          <w:jc w:val="center"/>
        </w:trPr>
        <w:tc>
          <w:tcPr>
            <w:tcW w:w="852"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color w:val="auto"/>
                <w:kern w:val="0"/>
                <w:sz w:val="28"/>
                <w:szCs w:val="28"/>
                <w:lang w:val="en-US" w:eastAsia="zh-CN"/>
              </w:rPr>
            </w:pPr>
            <w:r>
              <w:rPr>
                <w:rFonts w:hint="eastAsia" w:ascii="Times New Roman" w:hAnsi="Times New Roman" w:eastAsia="仿宋_GB2312" w:cs="仿宋_GB2312"/>
                <w:bCs/>
                <w:color w:val="auto"/>
                <w:kern w:val="0"/>
                <w:sz w:val="28"/>
                <w:szCs w:val="28"/>
              </w:rPr>
              <w:t>受到</w:t>
            </w:r>
            <w:r>
              <w:rPr>
                <w:rFonts w:hint="eastAsia" w:ascii="Times New Roman" w:hAnsi="Times New Roman" w:eastAsia="仿宋_GB2312" w:cs="仿宋_GB2312"/>
                <w:bCs/>
                <w:color w:val="auto"/>
                <w:kern w:val="0"/>
                <w:sz w:val="28"/>
                <w:szCs w:val="28"/>
                <w:lang w:eastAsia="zh-CN"/>
              </w:rPr>
              <w:t>区委区政府</w:t>
            </w:r>
            <w:r>
              <w:rPr>
                <w:rFonts w:hint="eastAsia" w:ascii="Times New Roman" w:hAnsi="Times New Roman" w:eastAsia="仿宋_GB2312" w:cs="仿宋_GB2312"/>
                <w:bCs/>
                <w:color w:val="auto"/>
                <w:kern w:val="0"/>
                <w:sz w:val="28"/>
                <w:szCs w:val="28"/>
              </w:rPr>
              <w:t>通报表扬的</w:t>
            </w:r>
          </w:p>
        </w:tc>
        <w:tc>
          <w:tcPr>
            <w:tcW w:w="92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+3</w:t>
            </w:r>
          </w:p>
        </w:tc>
        <w:tc>
          <w:tcPr>
            <w:tcW w:w="966"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color w:val="auto"/>
                <w:kern w:val="0"/>
                <w:sz w:val="28"/>
                <w:szCs w:val="28"/>
              </w:rPr>
            </w:pPr>
            <w:r>
              <w:rPr>
                <w:rFonts w:hint="eastAsia" w:ascii="Times New Roman" w:hAnsi="Times New Roman" w:eastAsia="仿宋_GB2312" w:cs="仿宋_GB2312"/>
                <w:bCs/>
                <w:color w:val="auto"/>
                <w:kern w:val="0"/>
                <w:sz w:val="28"/>
                <w:szCs w:val="28"/>
              </w:rPr>
              <w:t>受到市级部门通报表扬的</w:t>
            </w:r>
          </w:p>
        </w:tc>
        <w:tc>
          <w:tcPr>
            <w:tcW w:w="92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w:t>
            </w:r>
          </w:p>
        </w:tc>
        <w:tc>
          <w:tcPr>
            <w:tcW w:w="966"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color w:val="auto"/>
                <w:kern w:val="0"/>
                <w:sz w:val="28"/>
                <w:szCs w:val="28"/>
              </w:rPr>
            </w:pPr>
            <w:r>
              <w:rPr>
                <w:rFonts w:hint="eastAsia" w:ascii="Times New Roman" w:hAnsi="Times New Roman" w:eastAsia="仿宋_GB2312" w:cs="仿宋_GB2312"/>
                <w:bCs/>
                <w:color w:val="auto"/>
                <w:kern w:val="0"/>
                <w:sz w:val="28"/>
                <w:szCs w:val="28"/>
              </w:rPr>
              <w:t>受到</w:t>
            </w:r>
            <w:r>
              <w:rPr>
                <w:rFonts w:hint="eastAsia" w:ascii="Times New Roman" w:hAnsi="Times New Roman" w:eastAsia="仿宋_GB2312" w:cs="仿宋_GB2312"/>
                <w:bCs/>
                <w:color w:val="auto"/>
                <w:kern w:val="0"/>
                <w:sz w:val="28"/>
                <w:szCs w:val="28"/>
                <w:lang w:eastAsia="zh-CN"/>
              </w:rPr>
              <w:t>市委市政府</w:t>
            </w:r>
            <w:r>
              <w:rPr>
                <w:rFonts w:hint="eastAsia" w:ascii="Times New Roman" w:hAnsi="Times New Roman" w:eastAsia="仿宋_GB2312" w:cs="仿宋_GB2312"/>
                <w:bCs/>
                <w:color w:val="auto"/>
                <w:kern w:val="0"/>
                <w:sz w:val="28"/>
                <w:szCs w:val="28"/>
              </w:rPr>
              <w:t>通报表扬的</w:t>
            </w:r>
          </w:p>
        </w:tc>
        <w:tc>
          <w:tcPr>
            <w:tcW w:w="92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lang w:eastAsia="zh-CN"/>
              </w:rPr>
            </w:pPr>
            <w:r>
              <w:rPr>
                <w:rFonts w:hint="eastAsia" w:ascii="Times New Roman" w:hAnsi="Times New Roman" w:eastAsia="仿宋_GB2312" w:cs="仿宋_GB2312"/>
                <w:bCs/>
                <w:kern w:val="0"/>
                <w:sz w:val="28"/>
                <w:szCs w:val="28"/>
              </w:rPr>
              <w:t>+</w:t>
            </w:r>
            <w:r>
              <w:rPr>
                <w:rFonts w:hint="default" w:ascii="Times New Roman" w:hAnsi="Times New Roman" w:eastAsia="仿宋_GB2312" w:cs="仿宋_GB2312"/>
                <w:bCs/>
                <w:kern w:val="0"/>
                <w:sz w:val="28"/>
                <w:szCs w:val="28"/>
                <w:lang w:val="en-US"/>
              </w:rPr>
              <w:t>15</w:t>
            </w:r>
          </w:p>
        </w:tc>
        <w:tc>
          <w:tcPr>
            <w:tcW w:w="966"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color w:val="auto"/>
                <w:kern w:val="0"/>
                <w:sz w:val="28"/>
                <w:szCs w:val="28"/>
              </w:rPr>
            </w:pPr>
            <w:r>
              <w:rPr>
                <w:rFonts w:hint="eastAsia" w:ascii="Times New Roman" w:hAnsi="Times New Roman" w:eastAsia="仿宋_GB2312" w:cs="仿宋_GB2312"/>
                <w:bCs/>
                <w:color w:val="auto"/>
                <w:kern w:val="0"/>
                <w:sz w:val="28"/>
                <w:szCs w:val="28"/>
              </w:rPr>
              <w:t>受到省级部门通报表扬的</w:t>
            </w:r>
          </w:p>
        </w:tc>
        <w:tc>
          <w:tcPr>
            <w:tcW w:w="92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w:t>
            </w:r>
          </w:p>
        </w:tc>
        <w:tc>
          <w:tcPr>
            <w:tcW w:w="966"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color w:val="auto"/>
                <w:kern w:val="0"/>
                <w:sz w:val="28"/>
                <w:szCs w:val="28"/>
              </w:rPr>
            </w:pPr>
            <w:r>
              <w:rPr>
                <w:rFonts w:hint="eastAsia" w:ascii="Times New Roman" w:hAnsi="Times New Roman" w:eastAsia="仿宋_GB2312" w:cs="仿宋_GB2312"/>
                <w:bCs/>
                <w:color w:val="auto"/>
                <w:kern w:val="0"/>
                <w:sz w:val="28"/>
                <w:szCs w:val="28"/>
              </w:rPr>
              <w:t>受到</w:t>
            </w:r>
            <w:r>
              <w:rPr>
                <w:rFonts w:hint="eastAsia" w:ascii="Times New Roman" w:hAnsi="Times New Roman" w:eastAsia="仿宋_GB2312" w:cs="仿宋_GB2312"/>
                <w:bCs/>
                <w:color w:val="auto"/>
                <w:kern w:val="0"/>
                <w:sz w:val="28"/>
                <w:szCs w:val="28"/>
                <w:lang w:eastAsia="zh-CN"/>
              </w:rPr>
              <w:t>省委省政府</w:t>
            </w:r>
            <w:r>
              <w:rPr>
                <w:rFonts w:hint="eastAsia" w:ascii="Times New Roman" w:hAnsi="Times New Roman" w:eastAsia="仿宋_GB2312" w:cs="仿宋_GB2312"/>
                <w:bCs/>
                <w:color w:val="auto"/>
                <w:kern w:val="0"/>
                <w:sz w:val="28"/>
                <w:szCs w:val="28"/>
              </w:rPr>
              <w:t>通报表扬的</w:t>
            </w:r>
          </w:p>
        </w:tc>
        <w:tc>
          <w:tcPr>
            <w:tcW w:w="92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rPr>
              <w:t>+</w:t>
            </w:r>
            <w:r>
              <w:rPr>
                <w:rFonts w:hint="default" w:ascii="Times New Roman" w:hAnsi="Times New Roman" w:eastAsia="仿宋_GB2312" w:cs="仿宋_GB2312"/>
                <w:bCs/>
                <w:kern w:val="0"/>
                <w:sz w:val="28"/>
                <w:szCs w:val="28"/>
                <w:lang w:val="en-US"/>
              </w:rPr>
              <w:t>25</w:t>
            </w:r>
          </w:p>
        </w:tc>
        <w:tc>
          <w:tcPr>
            <w:tcW w:w="966"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color w:val="auto"/>
                <w:kern w:val="0"/>
                <w:sz w:val="28"/>
                <w:szCs w:val="28"/>
              </w:rPr>
            </w:pPr>
            <w:r>
              <w:rPr>
                <w:rFonts w:hint="eastAsia" w:ascii="Times New Roman" w:hAnsi="Times New Roman" w:eastAsia="仿宋_GB2312" w:cs="仿宋_GB2312"/>
                <w:bCs/>
                <w:color w:val="auto"/>
                <w:kern w:val="0"/>
                <w:sz w:val="28"/>
                <w:szCs w:val="28"/>
              </w:rPr>
              <w:t>受到</w:t>
            </w:r>
            <w:r>
              <w:rPr>
                <w:rFonts w:hint="eastAsia" w:ascii="Times New Roman" w:hAnsi="Times New Roman" w:eastAsia="仿宋_GB2312" w:cs="仿宋_GB2312"/>
                <w:bCs/>
                <w:color w:val="auto"/>
                <w:kern w:val="0"/>
                <w:sz w:val="28"/>
                <w:szCs w:val="28"/>
                <w:lang w:eastAsia="zh-CN"/>
              </w:rPr>
              <w:t>部委</w:t>
            </w:r>
            <w:r>
              <w:rPr>
                <w:rFonts w:hint="eastAsia" w:ascii="Times New Roman" w:hAnsi="Times New Roman" w:eastAsia="仿宋_GB2312" w:cs="仿宋_GB2312"/>
                <w:bCs/>
                <w:color w:val="auto"/>
                <w:kern w:val="0"/>
                <w:sz w:val="28"/>
                <w:szCs w:val="28"/>
              </w:rPr>
              <w:t>通报表扬的</w:t>
            </w:r>
          </w:p>
        </w:tc>
        <w:tc>
          <w:tcPr>
            <w:tcW w:w="92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+50</w:t>
            </w:r>
          </w:p>
        </w:tc>
        <w:tc>
          <w:tcPr>
            <w:tcW w:w="966"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000000"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color w:val="auto"/>
                <w:kern w:val="0"/>
                <w:sz w:val="28"/>
                <w:szCs w:val="28"/>
              </w:rPr>
            </w:pPr>
            <w:r>
              <w:rPr>
                <w:rFonts w:hint="eastAsia" w:ascii="Times New Roman" w:hAnsi="Times New Roman" w:eastAsia="仿宋_GB2312" w:cs="仿宋_GB2312"/>
                <w:bCs/>
                <w:color w:val="auto"/>
                <w:kern w:val="0"/>
                <w:sz w:val="28"/>
                <w:szCs w:val="28"/>
              </w:rPr>
              <w:t>受到</w:t>
            </w:r>
            <w:r>
              <w:rPr>
                <w:rFonts w:hint="eastAsia" w:ascii="Times New Roman" w:hAnsi="Times New Roman" w:eastAsia="仿宋_GB2312" w:cs="仿宋_GB2312"/>
                <w:bCs/>
                <w:color w:val="auto"/>
                <w:kern w:val="0"/>
                <w:sz w:val="28"/>
                <w:szCs w:val="28"/>
                <w:lang w:eastAsia="zh-CN"/>
              </w:rPr>
              <w:t>党中央、国务院</w:t>
            </w:r>
            <w:r>
              <w:rPr>
                <w:rFonts w:hint="eastAsia" w:ascii="Times New Roman" w:hAnsi="Times New Roman" w:eastAsia="仿宋_GB2312" w:cs="仿宋_GB2312"/>
                <w:bCs/>
                <w:color w:val="auto"/>
                <w:kern w:val="0"/>
                <w:sz w:val="28"/>
                <w:szCs w:val="28"/>
              </w:rPr>
              <w:t>通报表扬的</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+80</w:t>
            </w:r>
          </w:p>
        </w:tc>
        <w:tc>
          <w:tcPr>
            <w:tcW w:w="966"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restart"/>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default" w:ascii="Times New Roman" w:hAnsi="Times New Roman" w:eastAsia="仿宋_GB2312" w:cs="仿宋_GB2312"/>
                <w:bCs/>
                <w:kern w:val="0"/>
                <w:sz w:val="28"/>
                <w:szCs w:val="28"/>
                <w:lang w:val="en-US"/>
              </w:rPr>
              <w:t>诚信</w:t>
            </w:r>
            <w:r>
              <w:rPr>
                <w:rFonts w:hint="eastAsia" w:ascii="Times New Roman" w:hAnsi="Times New Roman" w:eastAsia="仿宋_GB2312" w:cs="仿宋_GB2312"/>
                <w:bCs/>
                <w:kern w:val="0"/>
                <w:sz w:val="28"/>
                <w:szCs w:val="28"/>
                <w:lang w:val="en-US" w:eastAsia="zh-CN"/>
              </w:rPr>
              <w:t>守信</w:t>
            </w:r>
            <w:r>
              <w:rPr>
                <w:rFonts w:hint="eastAsia" w:ascii="Times New Roman" w:hAnsi="Times New Roman" w:eastAsia="仿宋_GB2312" w:cs="仿宋_GB2312"/>
                <w:bCs/>
                <w:kern w:val="0"/>
                <w:sz w:val="28"/>
                <w:szCs w:val="28"/>
              </w:rPr>
              <w:t>信息</w:t>
            </w:r>
          </w:p>
        </w:tc>
        <w:tc>
          <w:tcPr>
            <w:tcW w:w="1308" w:type="dxa"/>
            <w:vMerge w:val="restart"/>
            <w:shd w:val="clear" w:color="auto" w:fill="auto"/>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联合激励信息</w:t>
            </w:r>
          </w:p>
        </w:tc>
        <w:tc>
          <w:tcPr>
            <w:tcW w:w="5681" w:type="dxa"/>
            <w:shd w:val="clear" w:color="000000"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列入守信联合激励对象名单的</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w:t>
            </w:r>
          </w:p>
        </w:tc>
        <w:tc>
          <w:tcPr>
            <w:tcW w:w="966"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000000"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税务等通用行业评价等级较高的</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w:t>
            </w:r>
          </w:p>
        </w:tc>
        <w:tc>
          <w:tcPr>
            <w:tcW w:w="966"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restart"/>
            <w:shd w:val="clear" w:color="auto" w:fill="auto"/>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行政奖励信息</w:t>
            </w:r>
          </w:p>
        </w:tc>
        <w:tc>
          <w:tcPr>
            <w:tcW w:w="5681" w:type="dxa"/>
            <w:shd w:val="clear" w:color="000000"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受到嘉奖的</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+15</w:t>
            </w:r>
          </w:p>
        </w:tc>
        <w:tc>
          <w:tcPr>
            <w:tcW w:w="966"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000000"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记三等功的</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+25</w:t>
            </w:r>
          </w:p>
        </w:tc>
        <w:tc>
          <w:tcPr>
            <w:tcW w:w="966"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000000"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记二等功的</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+40</w:t>
            </w:r>
          </w:p>
        </w:tc>
        <w:tc>
          <w:tcPr>
            <w:tcW w:w="966"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000000"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记一等功的</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w:t>
            </w:r>
          </w:p>
        </w:tc>
        <w:tc>
          <w:tcPr>
            <w:tcW w:w="966"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000000"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授予行政奖励荣誉称号的</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+100</w:t>
            </w:r>
          </w:p>
        </w:tc>
        <w:tc>
          <w:tcPr>
            <w:tcW w:w="966"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restart"/>
            <w:shd w:val="clear" w:color="auto" w:fill="auto"/>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公务员</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奖励信息</w:t>
            </w:r>
          </w:p>
        </w:tc>
        <w:tc>
          <w:tcPr>
            <w:tcW w:w="5681" w:type="dxa"/>
            <w:shd w:val="clear" w:color="000000"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受到嘉奖的</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+15</w:t>
            </w:r>
          </w:p>
        </w:tc>
        <w:tc>
          <w:tcPr>
            <w:tcW w:w="966"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000000"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记三等功的</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+25</w:t>
            </w:r>
          </w:p>
        </w:tc>
        <w:tc>
          <w:tcPr>
            <w:tcW w:w="966"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000000"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记二等功的</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+40</w:t>
            </w:r>
          </w:p>
        </w:tc>
        <w:tc>
          <w:tcPr>
            <w:tcW w:w="966"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000000"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记一等功的</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w:t>
            </w:r>
          </w:p>
        </w:tc>
        <w:tc>
          <w:tcPr>
            <w:tcW w:w="966"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000000"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授予公务员奖励称号的</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+100</w:t>
            </w:r>
          </w:p>
        </w:tc>
        <w:tc>
          <w:tcPr>
            <w:tcW w:w="966"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restart"/>
            <w:shd w:val="clear" w:color="auto" w:fill="auto"/>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事业单位工作人员奖励信息</w:t>
            </w:r>
          </w:p>
        </w:tc>
        <w:tc>
          <w:tcPr>
            <w:tcW w:w="5681" w:type="dxa"/>
            <w:shd w:val="clear" w:color="000000"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受到嘉奖的</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+15</w:t>
            </w:r>
          </w:p>
        </w:tc>
        <w:tc>
          <w:tcPr>
            <w:tcW w:w="966"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5681" w:type="dxa"/>
            <w:shd w:val="clear" w:color="000000"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记功的</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+25</w:t>
            </w:r>
          </w:p>
        </w:tc>
        <w:tc>
          <w:tcPr>
            <w:tcW w:w="966"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5681" w:type="dxa"/>
            <w:shd w:val="clear" w:color="000000"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记大功的</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w:t>
            </w:r>
          </w:p>
        </w:tc>
        <w:tc>
          <w:tcPr>
            <w:tcW w:w="966"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shd w:val="clear" w:color="auto" w:fill="auto"/>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shd w:val="clear" w:color="auto" w:fill="auto"/>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5681" w:type="dxa"/>
            <w:shd w:val="clear" w:color="000000"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授予事业单位工作人员奖励称号的</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+100</w:t>
            </w:r>
          </w:p>
        </w:tc>
        <w:tc>
          <w:tcPr>
            <w:tcW w:w="966"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rPr>
          <w:trHeight w:val="454" w:hRule="atLeast"/>
          <w:jc w:val="center"/>
        </w:trPr>
        <w:tc>
          <w:tcPr>
            <w:tcW w:w="852" w:type="dxa"/>
            <w:vMerge w:val="continue"/>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其他</w:t>
            </w:r>
            <w:r>
              <w:rPr>
                <w:rFonts w:hint="default" w:ascii="Times New Roman" w:hAnsi="Times New Roman" w:eastAsia="仿宋_GB2312" w:cs="仿宋_GB2312"/>
                <w:bCs/>
                <w:kern w:val="0"/>
                <w:sz w:val="28"/>
                <w:szCs w:val="28"/>
                <w:lang w:val="en-US"/>
              </w:rPr>
              <w:t>诚信</w:t>
            </w:r>
            <w:r>
              <w:rPr>
                <w:rFonts w:hint="eastAsia" w:ascii="Times New Roman" w:hAnsi="Times New Roman" w:eastAsia="仿宋_GB2312" w:cs="仿宋_GB2312"/>
                <w:bCs/>
                <w:kern w:val="0"/>
                <w:sz w:val="28"/>
                <w:szCs w:val="28"/>
                <w:lang w:val="en-US" w:eastAsia="zh-CN"/>
              </w:rPr>
              <w:t>守信</w:t>
            </w:r>
            <w:r>
              <w:rPr>
                <w:rFonts w:hint="eastAsia" w:ascii="Times New Roman" w:hAnsi="Times New Roman" w:eastAsia="仿宋_GB2312" w:cs="仿宋_GB2312"/>
                <w:bCs/>
                <w:kern w:val="0"/>
                <w:sz w:val="28"/>
                <w:szCs w:val="28"/>
              </w:rPr>
              <w:t>信息</w:t>
            </w:r>
          </w:p>
        </w:tc>
        <w:tc>
          <w:tcPr>
            <w:tcW w:w="568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其他守信行为视情节加分</w:t>
            </w:r>
          </w:p>
        </w:tc>
        <w:tc>
          <w:tcPr>
            <w:tcW w:w="921"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+1至+5</w:t>
            </w:r>
          </w:p>
        </w:tc>
        <w:tc>
          <w:tcPr>
            <w:tcW w:w="966" w:type="dxa"/>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PrEx>
        <w:trPr>
          <w:trHeight w:val="454" w:hRule="atLeast"/>
          <w:jc w:val="center"/>
        </w:trPr>
        <w:tc>
          <w:tcPr>
            <w:tcW w:w="852"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失信</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信息</w:t>
            </w:r>
          </w:p>
        </w:tc>
        <w:tc>
          <w:tcPr>
            <w:tcW w:w="1308"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纳税缴费</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信息</w:t>
            </w:r>
          </w:p>
        </w:tc>
        <w:tc>
          <w:tcPr>
            <w:tcW w:w="568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拒不缴纳依法应当缴纳的税款的</w:t>
            </w:r>
          </w:p>
        </w:tc>
        <w:tc>
          <w:tcPr>
            <w:tcW w:w="92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-50</w:t>
            </w:r>
          </w:p>
        </w:tc>
        <w:tc>
          <w:tcPr>
            <w:tcW w:w="966"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PrEx>
        <w:trPr>
          <w:trHeight w:val="454" w:hRule="atLeast"/>
          <w:jc w:val="center"/>
        </w:trPr>
        <w:tc>
          <w:tcPr>
            <w:tcW w:w="852"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被税务机关采取税收强制执行或保全措施的</w:t>
            </w:r>
          </w:p>
        </w:tc>
        <w:tc>
          <w:tcPr>
            <w:tcW w:w="92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-80</w:t>
            </w:r>
          </w:p>
        </w:tc>
        <w:tc>
          <w:tcPr>
            <w:tcW w:w="966"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PrEx>
        <w:trPr>
          <w:trHeight w:val="454" w:hRule="atLeast"/>
          <w:jc w:val="center"/>
        </w:trPr>
        <w:tc>
          <w:tcPr>
            <w:tcW w:w="852"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未按规定进行纳税申报等被认定为非正常户的</w:t>
            </w:r>
          </w:p>
        </w:tc>
        <w:tc>
          <w:tcPr>
            <w:tcW w:w="92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-80</w:t>
            </w:r>
          </w:p>
        </w:tc>
        <w:tc>
          <w:tcPr>
            <w:tcW w:w="966"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PrEx>
        <w:trPr>
          <w:trHeight w:val="454" w:hRule="atLeast"/>
          <w:jc w:val="center"/>
        </w:trPr>
        <w:tc>
          <w:tcPr>
            <w:tcW w:w="852"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拒不缴纳依法应当缴纳的社会保险费的</w:t>
            </w:r>
          </w:p>
        </w:tc>
        <w:tc>
          <w:tcPr>
            <w:tcW w:w="92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-50</w:t>
            </w:r>
          </w:p>
        </w:tc>
        <w:tc>
          <w:tcPr>
            <w:tcW w:w="966"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PrEx>
        <w:trPr>
          <w:trHeight w:val="454" w:hRule="atLeast"/>
          <w:jc w:val="center"/>
        </w:trPr>
        <w:tc>
          <w:tcPr>
            <w:tcW w:w="852"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拒不缴纳依法应当缴纳的行政事业性收费的</w:t>
            </w:r>
          </w:p>
        </w:tc>
        <w:tc>
          <w:tcPr>
            <w:tcW w:w="92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-50</w:t>
            </w:r>
          </w:p>
        </w:tc>
        <w:tc>
          <w:tcPr>
            <w:tcW w:w="966"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PrEx>
        <w:trPr>
          <w:trHeight w:val="454" w:hRule="atLeast"/>
          <w:jc w:val="center"/>
        </w:trPr>
        <w:tc>
          <w:tcPr>
            <w:tcW w:w="852"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拒不缴纳依法应当缴纳的政府性基金的</w:t>
            </w:r>
          </w:p>
        </w:tc>
        <w:tc>
          <w:tcPr>
            <w:tcW w:w="92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-50</w:t>
            </w:r>
          </w:p>
        </w:tc>
        <w:tc>
          <w:tcPr>
            <w:tcW w:w="966"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PrEx>
        <w:trPr>
          <w:trHeight w:val="454" w:hRule="atLeast"/>
          <w:jc w:val="center"/>
        </w:trPr>
        <w:tc>
          <w:tcPr>
            <w:tcW w:w="852"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弄虚作假</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信息</w:t>
            </w:r>
          </w:p>
        </w:tc>
        <w:tc>
          <w:tcPr>
            <w:tcW w:w="568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提供虚假材料、隐瞒真实情况，损害社会管理秩序和公共利益的</w:t>
            </w:r>
          </w:p>
        </w:tc>
        <w:tc>
          <w:tcPr>
            <w:tcW w:w="92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-30</w:t>
            </w:r>
          </w:p>
        </w:tc>
        <w:tc>
          <w:tcPr>
            <w:tcW w:w="966"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PrEx>
        <w:trPr>
          <w:trHeight w:val="454" w:hRule="atLeast"/>
          <w:jc w:val="center"/>
        </w:trPr>
        <w:tc>
          <w:tcPr>
            <w:tcW w:w="852"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骗取社会保险待遇的</w:t>
            </w:r>
          </w:p>
        </w:tc>
        <w:tc>
          <w:tcPr>
            <w:tcW w:w="92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-40</w:t>
            </w:r>
          </w:p>
        </w:tc>
        <w:tc>
          <w:tcPr>
            <w:tcW w:w="966"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PrEx>
        <w:trPr>
          <w:trHeight w:val="454" w:hRule="atLeast"/>
          <w:jc w:val="center"/>
        </w:trPr>
        <w:tc>
          <w:tcPr>
            <w:tcW w:w="852"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剽窃、抄袭他人论文等学术不端的</w:t>
            </w:r>
          </w:p>
        </w:tc>
        <w:tc>
          <w:tcPr>
            <w:tcW w:w="92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-40</w:t>
            </w:r>
          </w:p>
        </w:tc>
        <w:tc>
          <w:tcPr>
            <w:tcW w:w="966"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PrEx>
        <w:trPr>
          <w:trHeight w:val="454" w:hRule="atLeast"/>
          <w:jc w:val="center"/>
        </w:trPr>
        <w:tc>
          <w:tcPr>
            <w:tcW w:w="852"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在统一组织的考试中舞弊、作弊及弄虚作假的</w:t>
            </w:r>
          </w:p>
        </w:tc>
        <w:tc>
          <w:tcPr>
            <w:tcW w:w="92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-40</w:t>
            </w:r>
          </w:p>
        </w:tc>
        <w:tc>
          <w:tcPr>
            <w:tcW w:w="966"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PrEx>
        <w:trPr>
          <w:trHeight w:val="454" w:hRule="atLeast"/>
          <w:jc w:val="center"/>
        </w:trPr>
        <w:tc>
          <w:tcPr>
            <w:tcW w:w="852"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在学术研究、职称评定等工作中弄虚作假的</w:t>
            </w:r>
          </w:p>
        </w:tc>
        <w:tc>
          <w:tcPr>
            <w:tcW w:w="92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-40</w:t>
            </w:r>
          </w:p>
        </w:tc>
        <w:tc>
          <w:tcPr>
            <w:tcW w:w="966"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PrEx>
        <w:trPr>
          <w:trHeight w:val="454" w:hRule="atLeast"/>
          <w:jc w:val="center"/>
        </w:trPr>
        <w:tc>
          <w:tcPr>
            <w:tcW w:w="852"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采取非法手段，骗取荣誉、项目的</w:t>
            </w:r>
          </w:p>
        </w:tc>
        <w:tc>
          <w:tcPr>
            <w:tcW w:w="92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-50</w:t>
            </w:r>
          </w:p>
        </w:tc>
        <w:tc>
          <w:tcPr>
            <w:tcW w:w="966"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PrEx>
        <w:trPr>
          <w:trHeight w:val="454" w:hRule="atLeast"/>
          <w:jc w:val="center"/>
        </w:trPr>
        <w:tc>
          <w:tcPr>
            <w:tcW w:w="852"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以欺骗、贿赂等不正当手段取得行政许可、行政确认、行政给付及相关业务的</w:t>
            </w:r>
          </w:p>
        </w:tc>
        <w:tc>
          <w:tcPr>
            <w:tcW w:w="92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-50</w:t>
            </w:r>
          </w:p>
        </w:tc>
        <w:tc>
          <w:tcPr>
            <w:tcW w:w="966"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PrEx>
        <w:trPr>
          <w:trHeight w:val="454" w:hRule="atLeast"/>
          <w:jc w:val="center"/>
        </w:trPr>
        <w:tc>
          <w:tcPr>
            <w:tcW w:w="852"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信用承诺</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信息</w:t>
            </w:r>
          </w:p>
        </w:tc>
        <w:tc>
          <w:tcPr>
            <w:tcW w:w="568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虚假申报、虚假承诺的</w:t>
            </w:r>
          </w:p>
        </w:tc>
        <w:tc>
          <w:tcPr>
            <w:tcW w:w="92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w:t>
            </w:r>
            <w:r>
              <w:rPr>
                <w:rFonts w:hint="eastAsia" w:ascii="Times New Roman" w:hAnsi="Times New Roman" w:eastAsia="仿宋_GB2312" w:cs="仿宋_GB2312"/>
                <w:bCs/>
                <w:kern w:val="0"/>
                <w:sz w:val="28"/>
                <w:szCs w:val="28"/>
                <w:lang w:val="en-US" w:eastAsia="zh-CN"/>
              </w:rPr>
              <w:t>5</w:t>
            </w:r>
            <w:r>
              <w:rPr>
                <w:rFonts w:hint="eastAsia" w:ascii="Times New Roman" w:hAnsi="Times New Roman" w:eastAsia="仿宋_GB2312" w:cs="仿宋_GB2312"/>
                <w:bCs/>
                <w:kern w:val="0"/>
                <w:sz w:val="28"/>
                <w:szCs w:val="28"/>
              </w:rPr>
              <w:t>0</w:t>
            </w:r>
          </w:p>
        </w:tc>
        <w:tc>
          <w:tcPr>
            <w:tcW w:w="966"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PrEx>
        <w:trPr>
          <w:trHeight w:val="454" w:hRule="atLeast"/>
          <w:jc w:val="center"/>
        </w:trPr>
        <w:tc>
          <w:tcPr>
            <w:tcW w:w="852"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不履行信用承诺义务的</w:t>
            </w:r>
          </w:p>
        </w:tc>
        <w:tc>
          <w:tcPr>
            <w:tcW w:w="92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w:t>
            </w:r>
            <w:r>
              <w:rPr>
                <w:rFonts w:hint="eastAsia" w:ascii="Times New Roman" w:hAnsi="Times New Roman" w:eastAsia="仿宋_GB2312" w:cs="仿宋_GB2312"/>
                <w:bCs/>
                <w:kern w:val="0"/>
                <w:sz w:val="28"/>
                <w:szCs w:val="28"/>
                <w:lang w:val="en-US" w:eastAsia="zh-CN"/>
              </w:rPr>
              <w:t>5</w:t>
            </w:r>
            <w:r>
              <w:rPr>
                <w:rFonts w:hint="eastAsia" w:ascii="Times New Roman" w:hAnsi="Times New Roman" w:eastAsia="仿宋_GB2312" w:cs="仿宋_GB2312"/>
                <w:bCs/>
                <w:kern w:val="0"/>
                <w:sz w:val="28"/>
                <w:szCs w:val="28"/>
              </w:rPr>
              <w:t>0</w:t>
            </w:r>
          </w:p>
        </w:tc>
        <w:tc>
          <w:tcPr>
            <w:tcW w:w="966"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PrEx>
        <w:trPr>
          <w:trHeight w:val="454" w:hRule="atLeast"/>
          <w:jc w:val="center"/>
        </w:trPr>
        <w:tc>
          <w:tcPr>
            <w:tcW w:w="852"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司法执行信息</w:t>
            </w:r>
          </w:p>
        </w:tc>
        <w:tc>
          <w:tcPr>
            <w:tcW w:w="568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被列为限制高消费名单的</w:t>
            </w:r>
          </w:p>
        </w:tc>
        <w:tc>
          <w:tcPr>
            <w:tcW w:w="92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-200</w:t>
            </w:r>
          </w:p>
        </w:tc>
        <w:tc>
          <w:tcPr>
            <w:tcW w:w="966"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PrEx>
        <w:trPr>
          <w:trHeight w:val="454" w:hRule="atLeast"/>
          <w:jc w:val="center"/>
        </w:trPr>
        <w:tc>
          <w:tcPr>
            <w:tcW w:w="852"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拒不履行法定义务，影响司法机关、行政机关公信力的，在主动履行法定义务后，经信息提供单位同意，信用修复的</w:t>
            </w:r>
          </w:p>
        </w:tc>
        <w:tc>
          <w:tcPr>
            <w:tcW w:w="921"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-80</w:t>
            </w:r>
          </w:p>
        </w:tc>
        <w:tc>
          <w:tcPr>
            <w:tcW w:w="966"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restart"/>
            <w:tcBorders>
              <w:top w:val="single" w:color="auto" w:sz="4" w:space="0"/>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失信</w:t>
            </w:r>
          </w:p>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信息</w:t>
            </w:r>
          </w:p>
        </w:tc>
        <w:tc>
          <w:tcPr>
            <w:tcW w:w="1308" w:type="dxa"/>
            <w:vMerge w:val="restart"/>
            <w:tcBorders>
              <w:top w:val="single" w:color="auto" w:sz="4" w:space="0"/>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lang w:val="en-US" w:eastAsia="zh-CN"/>
              </w:rPr>
              <w:t>行政</w:t>
            </w:r>
            <w:r>
              <w:rPr>
                <w:rFonts w:hint="eastAsia" w:ascii="Times New Roman" w:hAnsi="Times New Roman" w:eastAsia="仿宋_GB2312" w:cs="仿宋_GB2312"/>
                <w:bCs/>
                <w:kern w:val="0"/>
                <w:sz w:val="28"/>
                <w:szCs w:val="28"/>
              </w:rPr>
              <w:t>裁决</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信息</w:t>
            </w: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不按要求履行生效的仲裁文书的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拒不履行生效的仲裁文书的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tcBorders>
              <w:bottom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不按要求履行生效的行政裁决等行政行为决定文书的</w:t>
            </w:r>
          </w:p>
        </w:tc>
        <w:tc>
          <w:tcPr>
            <w:tcW w:w="921" w:type="dxa"/>
            <w:tcBorders>
              <w:bottom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-100</w:t>
            </w:r>
          </w:p>
        </w:tc>
        <w:tc>
          <w:tcPr>
            <w:tcW w:w="966" w:type="dxa"/>
            <w:tcBorders>
              <w:bottom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拒不履行生效的行政裁决等行政行为决定文书的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restart"/>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行政处罚信息</w:t>
            </w: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lang w:eastAsia="zh-CN"/>
              </w:rPr>
            </w:pPr>
            <w:r>
              <w:rPr>
                <w:rFonts w:hint="eastAsia" w:ascii="Times New Roman" w:hAnsi="Times New Roman" w:eastAsia="仿宋_GB2312" w:cs="仿宋_GB2312"/>
                <w:bCs/>
                <w:kern w:val="0"/>
                <w:sz w:val="28"/>
                <w:szCs w:val="28"/>
                <w:lang w:eastAsia="zh-CN"/>
              </w:rPr>
              <w:t>发生轻微失信行为拒不改正的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lang w:val="en-US" w:eastAsia="zh-CN"/>
              </w:rPr>
              <w:t>-2至-4</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处以通报批评行政处罚的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-5</w:t>
            </w:r>
          </w:p>
        </w:tc>
        <w:tc>
          <w:tcPr>
            <w:tcW w:w="966"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处以500元及以下罚款行政处罚的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w:t>
            </w:r>
          </w:p>
        </w:tc>
        <w:tc>
          <w:tcPr>
            <w:tcW w:w="966"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处以500元-1000元（含）及以下罚款行政处罚的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w:t>
            </w:r>
          </w:p>
        </w:tc>
        <w:tc>
          <w:tcPr>
            <w:tcW w:w="966"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处以1000元-5000元（含）及以下罚款行政处罚的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-30</w:t>
            </w:r>
          </w:p>
        </w:tc>
        <w:tc>
          <w:tcPr>
            <w:tcW w:w="966"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处以5000元-1万元（含）罚款行政处罚的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-40</w:t>
            </w:r>
          </w:p>
        </w:tc>
        <w:tc>
          <w:tcPr>
            <w:tcW w:w="966"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处以1万元-5万元（含）罚款行政处罚的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w:t>
            </w:r>
          </w:p>
        </w:tc>
        <w:tc>
          <w:tcPr>
            <w:tcW w:w="966"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处以5万元-10万元（含）罚款行政处罚的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-100</w:t>
            </w:r>
          </w:p>
        </w:tc>
        <w:tc>
          <w:tcPr>
            <w:tcW w:w="966"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处以10万元以上罚款行政处罚的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-200</w:t>
            </w:r>
          </w:p>
        </w:tc>
        <w:tc>
          <w:tcPr>
            <w:tcW w:w="966"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处以没收违法所得、没收非法财物1000元及以下的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w:t>
            </w:r>
          </w:p>
        </w:tc>
        <w:tc>
          <w:tcPr>
            <w:tcW w:w="966"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处以没收违法所得、没收非法财物1000元至5000元（含）的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-30</w:t>
            </w:r>
          </w:p>
        </w:tc>
        <w:tc>
          <w:tcPr>
            <w:tcW w:w="966"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处以没收违法所得、没收非法财物5001元至1万元（含）的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-40</w:t>
            </w:r>
          </w:p>
        </w:tc>
        <w:tc>
          <w:tcPr>
            <w:tcW w:w="966"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处以没收违法所得、没收非法财物1万元以上的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w:t>
            </w:r>
          </w:p>
        </w:tc>
        <w:tc>
          <w:tcPr>
            <w:tcW w:w="966"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处以暂扣许可证件行政处罚的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-200</w:t>
            </w:r>
          </w:p>
        </w:tc>
        <w:tc>
          <w:tcPr>
            <w:tcW w:w="966"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处以降低资质等级行政处罚的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-200</w:t>
            </w:r>
          </w:p>
        </w:tc>
        <w:tc>
          <w:tcPr>
            <w:tcW w:w="966"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处以限制开展生产经营活动行政处罚的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-200</w:t>
            </w:r>
          </w:p>
        </w:tc>
        <w:tc>
          <w:tcPr>
            <w:tcW w:w="966"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处以限制从业行政处罚的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-200</w:t>
            </w:r>
          </w:p>
        </w:tc>
        <w:tc>
          <w:tcPr>
            <w:tcW w:w="966"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处以责令停产停业行政处罚的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-200</w:t>
            </w:r>
          </w:p>
        </w:tc>
        <w:tc>
          <w:tcPr>
            <w:tcW w:w="966"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处以吊销许可证件行政处罚的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-400</w:t>
            </w:r>
          </w:p>
        </w:tc>
        <w:tc>
          <w:tcPr>
            <w:tcW w:w="966"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restart"/>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失信信息</w:t>
            </w:r>
          </w:p>
        </w:tc>
        <w:tc>
          <w:tcPr>
            <w:tcW w:w="1308" w:type="dxa"/>
            <w:vMerge w:val="restart"/>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行政处罚信息</w:t>
            </w: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处以责令关闭行政处罚的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-400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处以永久限制开展生产经营活动行政处罚的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-400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处以终身限制从业行政处罚的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-400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受到行政处拘留行政处罚的（5日及以下）</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-160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受到行政处拘留行政处罚的（6至10日）</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受到行政处拘留行政处罚的（11日及以上）</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-400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tcBorders>
              <w:lef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受到法律、行政法规规定的其他行政处罚的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-20至-400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行政强制</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执行信息</w:t>
            </w: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被实施加处罚款或者滞纳金强制执行方式的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-40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被实施划拨存款、汇款强制执行方式的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被实施拍卖或者依法处理查封、扣押的场所、设施或者财物强制执行方式的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-80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被实施排除妨碍、恢复原状强制执行方式的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-80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被实施代履行强制执行方式的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被实施其他强制执行方式的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-20至-100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党纪处分</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信息</w:t>
            </w: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受到警告处分的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-50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受到严重警告处分的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-70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受到撤销党内职务处分的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受到留党察看处分的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-150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受到开除党籍处分的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-300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政务处分信息</w:t>
            </w: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受到警告处分的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-50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受到记过处分的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受到记大过处分的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-70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受到降级处分的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tcBorders>
              <w:bottom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受到撤职处分的</w:t>
            </w:r>
          </w:p>
        </w:tc>
        <w:tc>
          <w:tcPr>
            <w:tcW w:w="921" w:type="dxa"/>
            <w:tcBorders>
              <w:bottom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-150</w:t>
            </w:r>
          </w:p>
        </w:tc>
        <w:tc>
          <w:tcPr>
            <w:tcW w:w="966" w:type="dxa"/>
            <w:tcBorders>
              <w:bottom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受到开除处分的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-300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restart"/>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失信信息</w:t>
            </w:r>
          </w:p>
        </w:tc>
        <w:tc>
          <w:tcPr>
            <w:tcW w:w="1308"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行业惩戒信息</w:t>
            </w: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受到行业协会、商会警告的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-5</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受到行业协会、商会行业内通报批评的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受到行业协会、商会公开谴责的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-15</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受到行业协会、商会不予接纳惩戒措施的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-20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受到行业协会、商会劝退惩戒措施的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-30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lang w:val="en-US" w:eastAsia="zh-CN"/>
              </w:rPr>
              <w:t>投诉举报信息</w:t>
            </w: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lang w:eastAsia="zh-CN"/>
              </w:rPr>
            </w:pPr>
            <w:r>
              <w:rPr>
                <w:rFonts w:hint="eastAsia" w:ascii="Times New Roman" w:hAnsi="Times New Roman" w:eastAsia="仿宋_GB2312" w:cs="仿宋_GB2312"/>
                <w:bCs/>
                <w:kern w:val="0"/>
                <w:sz w:val="28"/>
                <w:szCs w:val="28"/>
                <w:lang w:eastAsia="zh-CN"/>
              </w:rPr>
              <w:t>通过政务服务热线、区长信箱等渠道虚假投诉举报的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lang w:val="en-US" w:eastAsia="zh-CN"/>
              </w:rPr>
              <w:t>-10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lang w:val="en-US" w:eastAsia="zh-CN"/>
              </w:rPr>
            </w:pP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lang w:eastAsia="zh-CN"/>
              </w:rPr>
            </w:pPr>
            <w:r>
              <w:rPr>
                <w:rFonts w:hint="eastAsia" w:ascii="Times New Roman" w:hAnsi="Times New Roman" w:eastAsia="仿宋_GB2312" w:cs="仿宋_GB2312"/>
                <w:bCs/>
                <w:kern w:val="0"/>
                <w:sz w:val="28"/>
                <w:szCs w:val="28"/>
                <w:lang w:eastAsia="zh-CN"/>
              </w:rPr>
              <w:t>屡次被投诉属实而拒不整改的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lang w:val="en-US" w:eastAsia="zh-CN"/>
              </w:rPr>
            </w:pPr>
            <w:r>
              <w:rPr>
                <w:rFonts w:hint="eastAsia" w:ascii="Times New Roman" w:hAnsi="Times New Roman" w:eastAsia="仿宋_GB2312" w:cs="仿宋_GB2312"/>
                <w:bCs/>
                <w:kern w:val="0"/>
                <w:sz w:val="28"/>
                <w:szCs w:val="28"/>
                <w:lang w:val="en-US" w:eastAsia="zh-CN"/>
              </w:rPr>
              <w:t>-20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454" w:hRule="atLeast"/>
          <w:jc w:val="center"/>
        </w:trPr>
        <w:tc>
          <w:tcPr>
            <w:tcW w:w="852" w:type="dxa"/>
            <w:vMerge w:val="continue"/>
            <w:tcBorders>
              <w:left w:val="single" w:color="auto" w:sz="4" w:space="0"/>
              <w:right w:val="single" w:color="auto" w:sz="4" w:space="0"/>
            </w:tcBorders>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其他失信信息</w:t>
            </w: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国家和省规定的其他失信信息</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-10至-400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shd w:val="clear" w:color="auto" w:fill="FFFFFF"/>
        </w:tblPrEx>
        <w:trPr>
          <w:trHeight w:val="1812" w:hRule="atLeast"/>
          <w:jc w:val="center"/>
        </w:trPr>
        <w:tc>
          <w:tcPr>
            <w:tcW w:w="852"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严重失信主体名单信息</w:t>
            </w:r>
          </w:p>
        </w:tc>
        <w:tc>
          <w:tcPr>
            <w:tcW w:w="1308"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严重危害人民群众身体健康和生命安全</w:t>
            </w: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被认定为食品药品</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生态环境</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工程质量</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安全生产</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消防安全</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强制性产品认证</w:t>
            </w:r>
            <w:r>
              <w:rPr>
                <w:rFonts w:hint="eastAsia" w:ascii="Times New Roman" w:hAnsi="Times New Roman" w:eastAsia="仿宋_GB2312" w:cs="仿宋_GB2312"/>
                <w:bCs/>
                <w:kern w:val="0"/>
                <w:sz w:val="28"/>
                <w:szCs w:val="28"/>
                <w:lang w:eastAsia="zh-CN"/>
              </w:rPr>
              <w:t>等</w:t>
            </w:r>
            <w:r>
              <w:rPr>
                <w:rFonts w:hint="eastAsia" w:ascii="Times New Roman" w:hAnsi="Times New Roman" w:eastAsia="仿宋_GB2312" w:cs="仿宋_GB2312"/>
                <w:bCs/>
                <w:kern w:val="0"/>
                <w:sz w:val="28"/>
                <w:szCs w:val="28"/>
              </w:rPr>
              <w:t>领域严重失信主体名单的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2052" w:hRule="atLeast"/>
          <w:jc w:val="center"/>
        </w:trPr>
        <w:tc>
          <w:tcPr>
            <w:tcW w:w="852"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c>
          <w:tcPr>
            <w:tcW w:w="1308"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严重破坏市场公平竞争秩序和社会正常秩序</w:t>
            </w: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被认定为贿赂行为</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逃税骗税</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恶意逃废债务</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恶意拖欠货款或服务费</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恶意欠薪</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非法集资</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合同欺诈</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组织传销</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无证照经营</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制售假冒伪劣产品和故意侵犯知识产权</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出借和借用资质投标</w:t>
            </w:r>
            <w:r>
              <w:rPr>
                <w:rFonts w:hint="eastAsia" w:ascii="Times New Roman" w:hAnsi="Times New Roman" w:eastAsia="仿宋_GB2312" w:cs="仿宋_GB2312"/>
                <w:bCs/>
                <w:kern w:val="0"/>
                <w:sz w:val="28"/>
                <w:szCs w:val="28"/>
                <w:lang w:eastAsia="zh-CN"/>
              </w:rPr>
              <w:t>等</w:t>
            </w:r>
            <w:r>
              <w:rPr>
                <w:rFonts w:hint="eastAsia" w:ascii="Times New Roman" w:hAnsi="Times New Roman" w:eastAsia="仿宋_GB2312" w:cs="仿宋_GB2312"/>
                <w:bCs/>
                <w:kern w:val="0"/>
                <w:sz w:val="28"/>
                <w:szCs w:val="28"/>
              </w:rPr>
              <w:t>严重失信主体名单的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1974" w:hRule="atLeast"/>
          <w:jc w:val="center"/>
        </w:trPr>
        <w:tc>
          <w:tcPr>
            <w:tcW w:w="852" w:type="dxa"/>
            <w:vMerge w:val="restart"/>
            <w:shd w:val="clear" w:color="auto" w:fill="FFFFFF"/>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严重失信主体名单信息</w:t>
            </w:r>
          </w:p>
        </w:tc>
        <w:tc>
          <w:tcPr>
            <w:tcW w:w="1308"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严重破坏市场公平竞争秩序和社会正常秩序</w:t>
            </w: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被认定为围标串标</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虚假广告</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侵害消费者或证券期货投资者合法权益</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严重破坏网络空间传播秩序</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聚众扰乱社会秩序</w:t>
            </w:r>
            <w:r>
              <w:rPr>
                <w:rFonts w:hint="eastAsia" w:ascii="Times New Roman" w:hAnsi="Times New Roman" w:eastAsia="仿宋_GB2312" w:cs="仿宋_GB2312"/>
                <w:bCs/>
                <w:kern w:val="0"/>
                <w:sz w:val="28"/>
                <w:szCs w:val="28"/>
                <w:lang w:eastAsia="zh-CN"/>
              </w:rPr>
              <w:t>等</w:t>
            </w:r>
            <w:r>
              <w:rPr>
                <w:rFonts w:hint="eastAsia" w:ascii="Times New Roman" w:hAnsi="Times New Roman" w:eastAsia="仿宋_GB2312" w:cs="仿宋_GB2312"/>
                <w:bCs/>
                <w:kern w:val="0"/>
                <w:sz w:val="28"/>
                <w:szCs w:val="28"/>
              </w:rPr>
              <w:t>严重失信主体名单的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1779" w:hRule="atLeast"/>
          <w:jc w:val="center"/>
        </w:trPr>
        <w:tc>
          <w:tcPr>
            <w:tcW w:w="852" w:type="dxa"/>
            <w:vMerge w:val="continue"/>
            <w:shd w:val="clear" w:color="auto" w:fill="FFFFFF"/>
            <w:noWrap w:val="0"/>
            <w:tcMar>
              <w:top w:w="14" w:type="dxa"/>
              <w:left w:w="14" w:type="dxa"/>
              <w:bottom w:w="0" w:type="dxa"/>
              <w:right w:w="14" w:type="dxa"/>
            </w:tcMar>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vMerge w:val="restart"/>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拒不履行法定义务严重影响司法机关公信力</w:t>
            </w: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被认定为逃避执行司法机关、行政机关作出的判决或决定的</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有履行能力但拒不履行司法机关、行政机关作出的判决或决定的严重失信主体名单</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被列为失信被执行人的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1638" w:hRule="atLeast"/>
          <w:jc w:val="center"/>
        </w:trPr>
        <w:tc>
          <w:tcPr>
            <w:tcW w:w="852"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拒不履行国防义务</w:t>
            </w: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被认定为拒不履行国防义务，拒绝、逃避兵役</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拒绝、拖延民用资源征用或者阻碍对被征用的民用资源进行改造</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危害国防利益</w:t>
            </w:r>
            <w:r>
              <w:rPr>
                <w:rFonts w:hint="eastAsia" w:ascii="Times New Roman" w:hAnsi="Times New Roman" w:eastAsia="仿宋_GB2312" w:cs="仿宋_GB2312"/>
                <w:bCs/>
                <w:kern w:val="0"/>
                <w:sz w:val="28"/>
                <w:szCs w:val="28"/>
                <w:lang w:eastAsia="zh-CN"/>
              </w:rPr>
              <w:t>；</w:t>
            </w:r>
            <w:r>
              <w:rPr>
                <w:rFonts w:hint="eastAsia" w:ascii="Times New Roman" w:hAnsi="Times New Roman" w:eastAsia="仿宋_GB2312" w:cs="仿宋_GB2312"/>
                <w:bCs/>
                <w:kern w:val="0"/>
                <w:sz w:val="28"/>
                <w:szCs w:val="28"/>
              </w:rPr>
              <w:t>破坏国防设施</w:t>
            </w:r>
            <w:r>
              <w:rPr>
                <w:rFonts w:hint="eastAsia" w:ascii="Times New Roman" w:hAnsi="Times New Roman" w:eastAsia="仿宋_GB2312" w:cs="仿宋_GB2312"/>
                <w:bCs/>
                <w:kern w:val="0"/>
                <w:sz w:val="28"/>
                <w:szCs w:val="28"/>
                <w:lang w:eastAsia="zh-CN"/>
              </w:rPr>
              <w:t>等</w:t>
            </w:r>
            <w:r>
              <w:rPr>
                <w:rFonts w:hint="eastAsia" w:ascii="Times New Roman" w:hAnsi="Times New Roman" w:eastAsia="仿宋_GB2312" w:cs="仿宋_GB2312"/>
                <w:bCs/>
                <w:kern w:val="0"/>
                <w:sz w:val="28"/>
                <w:szCs w:val="28"/>
              </w:rPr>
              <w:t>严重失信主体名单的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atLeast"/>
          <w:jc w:val="center"/>
        </w:trPr>
        <w:tc>
          <w:tcPr>
            <w:tcW w:w="852" w:type="dxa"/>
            <w:vMerge w:val="continue"/>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p>
        </w:tc>
        <w:tc>
          <w:tcPr>
            <w:tcW w:w="1308"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其他严重失信主体名单</w:t>
            </w:r>
          </w:p>
        </w:tc>
        <w:tc>
          <w:tcPr>
            <w:tcW w:w="568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国家和省规定的其他严重失信主体名单的</w:t>
            </w:r>
          </w:p>
        </w:tc>
        <w:tc>
          <w:tcPr>
            <w:tcW w:w="921"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-600</w:t>
            </w:r>
          </w:p>
        </w:tc>
        <w:tc>
          <w:tcPr>
            <w:tcW w:w="966" w:type="dxa"/>
            <w:shd w:val="clear" w:color="auto" w:fill="FFFFFF"/>
            <w:noWrap w:val="0"/>
            <w:tcMar>
              <w:top w:w="14" w:type="dxa"/>
              <w:left w:w="14" w:type="dxa"/>
              <w:bottom w:w="0" w:type="dxa"/>
              <w:right w:w="1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仿宋_GB2312" w:cs="仿宋_GB2312"/>
                <w:bCs/>
                <w:kern w:val="0"/>
                <w:sz w:val="28"/>
                <w:szCs w:val="28"/>
              </w:rPr>
            </w:pPr>
          </w:p>
        </w:tc>
      </w:tr>
    </w:tbl>
    <w:p>
      <w:pPr>
        <w:pStyle w:val="12"/>
        <w:rPr>
          <w:rFonts w:ascii="Times New Roman" w:hAnsi="Times New Roman"/>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480" w:lineRule="exact"/>
        <w:rPr>
          <w:rFonts w:ascii="Times New Roman" w:hAnsi="Times New Roman" w:eastAsia="仿宋_GB2312" w:cs="Times New Roman"/>
          <w:color w:val="auto"/>
          <w:szCs w:val="32"/>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480" w:lineRule="exact"/>
        <w:rPr>
          <w:rFonts w:ascii="Times New Roman" w:hAnsi="Times New Roman" w:eastAsia="仿宋_GB2312"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center"/>
        <w:rPr>
          <w:rFonts w:hint="eastAsia" w:ascii="仿宋" w:hAnsi="仿宋" w:eastAsia="仿宋_GB2312"/>
          <w:color w:val="auto"/>
          <w:sz w:val="28"/>
          <w:szCs w:val="28"/>
          <w:lang w:eastAsia="zh-CN"/>
        </w:rPr>
      </w:pPr>
      <w:r>
        <w:rPr>
          <w:rFonts w:ascii="Times New Roman" w:hAnsi="Times New Roman" w:eastAsia="仿宋_GB2312" w:cs="Times New Roman"/>
          <w:color w:val="auto"/>
          <w:sz w:val="28"/>
          <w:szCs w:val="28"/>
        </w:rPr>
        <w:t>抄送：区委办公室，区人大常委会办公室，区政协办公室，</w:t>
      </w:r>
      <w:r>
        <w:rPr>
          <w:rFonts w:hint="eastAsia" w:ascii="仿宋" w:hAnsi="仿宋" w:eastAsia="仿宋_GB2312"/>
          <w:color w:val="auto"/>
          <w:sz w:val="28"/>
          <w:szCs w:val="28"/>
          <w:lang w:eastAsia="zh-CN"/>
        </w:rPr>
        <w:t>区监委，</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center"/>
        <w:rPr>
          <w:rFonts w:ascii="Times New Roman" w:hAnsi="Times New Roman" w:eastAsia="仿宋_GB2312" w:cs="Times New Roman"/>
          <w:color w:val="auto"/>
          <w:szCs w:val="32"/>
        </w:rPr>
      </w:pPr>
      <w:r>
        <w:rPr>
          <w:rFonts w:ascii="Times New Roman" w:hAnsi="Times New Roman" w:eastAsia="仿宋_GB2312" w:cs="Times New Roman"/>
          <w:color w:val="auto"/>
          <w:sz w:val="28"/>
          <w:szCs w:val="28"/>
        </w:rPr>
        <w:t>区法院，区检察院。</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ind w:firstLine="280" w:firstLineChars="100"/>
        <w:textAlignment w:val="center"/>
        <w:rPr>
          <w:rFonts w:ascii="Times New Roman" w:hAnsi="Times New Roman" w:cs="Times New Roman"/>
          <w:color w:val="auto"/>
        </w:rPr>
      </w:pPr>
      <w:r>
        <w:rPr>
          <w:rFonts w:ascii="Times New Roman" w:hAnsi="Times New Roman" w:eastAsia="仿宋_GB2312" w:cs="Times New Roman"/>
          <w:color w:val="auto"/>
          <w:sz w:val="28"/>
          <w:szCs w:val="28"/>
        </w:rPr>
        <w:t>淄博市张店区人民政府办公室            2021年1</w:t>
      </w:r>
      <w:r>
        <w:rPr>
          <w:rFonts w:hint="eastAsia" w:ascii="Times New Roman" w:hAnsi="Times New Roman" w:eastAsia="仿宋_GB2312" w:cs="Times New Roman"/>
          <w:color w:val="auto"/>
          <w:sz w:val="28"/>
          <w:szCs w:val="28"/>
          <w:lang w:val="en-US" w:eastAsia="zh-CN"/>
        </w:rPr>
        <w:t>2</w:t>
      </w:r>
      <w:r>
        <w:rPr>
          <w:rFonts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31</w:t>
      </w:r>
      <w:r>
        <w:rPr>
          <w:rFonts w:ascii="Times New Roman" w:hAnsi="Times New Roman" w:eastAsia="仿宋_GB2312" w:cs="Times New Roman"/>
          <w:color w:val="auto"/>
          <w:sz w:val="28"/>
          <w:szCs w:val="28"/>
        </w:rPr>
        <w:t>日印发</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ZDDR-2021-0010007</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Times New Roman" w:hAnsi="Times New Roman" w:eastAsia="仿宋_GB2312" w:cs="仿宋_GB2312"/>
          <w:sz w:val="32"/>
          <w:szCs w:val="32"/>
          <w:lang w:val="en-US" w:eastAsia="zh-CN"/>
        </w:rPr>
      </w:pPr>
    </w:p>
    <w:p>
      <w:pPr>
        <w:pStyle w:val="12"/>
        <w:rPr>
          <w:rFonts w:hint="eastAsia" w:ascii="Times New Roman" w:hAnsi="Times New Roman" w:eastAsia="仿宋_GB2312" w:cs="仿宋_GB2312"/>
          <w:sz w:val="32"/>
          <w:szCs w:val="32"/>
          <w:lang w:val="en-US" w:eastAsia="zh-CN"/>
        </w:rPr>
      </w:pPr>
    </w:p>
    <w:p>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仿宋_GB2312"/>
          <w:spacing w:val="10"/>
          <w:sz w:val="32"/>
        </w:rPr>
      </w:pPr>
      <w:r>
        <w:rPr>
          <w:rFonts w:hint="eastAsia" w:ascii="Times New Roman" w:hAnsi="Times New Roman" w:eastAsia="仿宋_GB2312"/>
          <w:spacing w:val="10"/>
          <w:sz w:val="32"/>
        </w:rPr>
        <w:t>张政字〔20</w:t>
      </w:r>
      <w:r>
        <w:rPr>
          <w:rFonts w:hint="eastAsia" w:ascii="Times New Roman" w:hAnsi="Times New Roman" w:eastAsia="仿宋_GB2312"/>
          <w:spacing w:val="10"/>
          <w:sz w:val="32"/>
          <w:lang w:val="en-US" w:eastAsia="zh-CN"/>
        </w:rPr>
        <w:t>21</w:t>
      </w:r>
      <w:r>
        <w:rPr>
          <w:rFonts w:hint="eastAsia" w:ascii="Times New Roman" w:hAnsi="Times New Roman" w:eastAsia="仿宋_GB2312"/>
          <w:spacing w:val="10"/>
          <w:sz w:val="32"/>
        </w:rPr>
        <w:t>〕</w:t>
      </w:r>
      <w:r>
        <w:rPr>
          <w:rFonts w:hint="eastAsia" w:ascii="Times New Roman" w:hAnsi="Times New Roman" w:eastAsia="仿宋_GB2312"/>
          <w:spacing w:val="10"/>
          <w:sz w:val="32"/>
          <w:lang w:val="en-US" w:eastAsia="zh-CN"/>
        </w:rPr>
        <w:t>90</w:t>
      </w:r>
      <w:r>
        <w:rPr>
          <w:rFonts w:hint="eastAsia" w:ascii="Times New Roman" w:hAnsi="Times New Roman" w:eastAsia="仿宋_GB2312"/>
          <w:spacing w:val="10"/>
          <w:sz w:val="32"/>
        </w:rPr>
        <w:t>号</w:t>
      </w:r>
    </w:p>
    <w:p>
      <w:pPr>
        <w:rPr>
          <w:rFonts w:hint="eastAsia" w:ascii="Times New Roman" w:hAnsi="Times New Roman" w:eastAsia="仿宋_GB2312" w:cs="仿宋_GB2312"/>
          <w:sz w:val="32"/>
          <w:szCs w:val="32"/>
          <w:lang w:val="en-US" w:eastAsia="zh-CN"/>
        </w:rPr>
      </w:pPr>
    </w:p>
    <w:p>
      <w:pPr>
        <w:pStyle w:val="12"/>
        <w:rPr>
          <w:rFonts w:hint="eastAsia"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28"/>
        </w:rPr>
      </w:pPr>
      <w:r>
        <w:rPr>
          <w:rFonts w:hint="default" w:ascii="Times New Roman" w:hAnsi="Times New Roman" w:eastAsia="方正小标宋简体" w:cs="Times New Roman"/>
          <w:sz w:val="44"/>
          <w:szCs w:val="28"/>
          <w:lang w:val="en-US" w:eastAsia="zh-CN"/>
        </w:rPr>
        <w:t>张店区</w:t>
      </w:r>
      <w:r>
        <w:rPr>
          <w:rFonts w:hint="default" w:ascii="Times New Roman" w:hAnsi="Times New Roman" w:eastAsia="方正小标宋简体" w:cs="Times New Roman"/>
          <w:sz w:val="44"/>
          <w:szCs w:val="28"/>
        </w:rPr>
        <w:t>人民政府</w:t>
      </w:r>
    </w:p>
    <w:p>
      <w:pPr>
        <w:pStyle w:val="3"/>
        <w:keepNext w:val="0"/>
        <w:keepLines w:val="0"/>
        <w:pageBreakBefore w:val="0"/>
        <w:widowControl w:val="0"/>
        <w:kinsoku/>
        <w:wordWrap/>
        <w:overflowPunct/>
        <w:topLinePunct w:val="0"/>
        <w:bidi w:val="0"/>
        <w:adjustRightInd/>
        <w:snapToGrid/>
        <w:spacing w:line="560" w:lineRule="exact"/>
        <w:ind w:left="0"/>
        <w:jc w:val="center"/>
        <w:textAlignment w:val="auto"/>
        <w:rPr>
          <w:rFonts w:hint="eastAsia" w:ascii="Times New Roman" w:hAnsi="Times New Roman" w:eastAsia="方正小标宋简体" w:cs="方正小标宋简体"/>
          <w:sz w:val="44"/>
          <w:szCs w:val="44"/>
          <w:lang w:eastAsia="zh-CN"/>
        </w:rPr>
      </w:pPr>
      <w:r>
        <w:rPr>
          <w:rFonts w:hint="default" w:ascii="Times New Roman" w:hAnsi="Times New Roman" w:eastAsia="方正小标宋简体" w:cs="Times New Roman"/>
          <w:sz w:val="44"/>
          <w:szCs w:val="28"/>
        </w:rPr>
        <w:t>关于印发</w:t>
      </w:r>
      <w:r>
        <w:rPr>
          <w:rFonts w:hint="eastAsia" w:ascii="Times New Roman" w:hAnsi="Times New Roman" w:eastAsia="方正小标宋简体" w:cs="方正小标宋简体"/>
          <w:sz w:val="44"/>
          <w:szCs w:val="44"/>
          <w:lang w:eastAsia="zh-CN"/>
        </w:rPr>
        <w:t>张店区“诚信经营示范街”试点创建</w:t>
      </w:r>
    </w:p>
    <w:p>
      <w:pPr>
        <w:pStyle w:val="3"/>
        <w:keepNext w:val="0"/>
        <w:keepLines w:val="0"/>
        <w:pageBreakBefore w:val="0"/>
        <w:widowControl w:val="0"/>
        <w:kinsoku/>
        <w:wordWrap/>
        <w:overflowPunct/>
        <w:topLinePunct w:val="0"/>
        <w:bidi w:val="0"/>
        <w:adjustRightInd/>
        <w:snapToGrid/>
        <w:spacing w:line="560" w:lineRule="exact"/>
        <w:ind w:left="0"/>
        <w:jc w:val="center"/>
        <w:textAlignment w:val="auto"/>
        <w:rPr>
          <w:rFonts w:hint="default" w:ascii="Times New Roman" w:hAnsi="Times New Roman" w:eastAsia="文星标宋" w:cs="Times New Roman"/>
          <w:sz w:val="44"/>
          <w:szCs w:val="28"/>
        </w:rPr>
      </w:pPr>
      <w:r>
        <w:rPr>
          <w:rFonts w:hint="eastAsia" w:ascii="Times New Roman" w:hAnsi="Times New Roman" w:eastAsia="方正小标宋简体" w:cs="方正小标宋简体"/>
          <w:sz w:val="44"/>
          <w:szCs w:val="44"/>
          <w:lang w:eastAsia="zh-CN"/>
        </w:rPr>
        <w:t>实施方案（</w:t>
      </w:r>
      <w:r>
        <w:rPr>
          <w:rFonts w:hint="eastAsia" w:ascii="Times New Roman" w:hAnsi="Times New Roman" w:eastAsia="方正小标宋简体" w:cs="方正小标宋简体"/>
          <w:sz w:val="44"/>
          <w:szCs w:val="44"/>
          <w:lang w:val="en-US" w:eastAsia="zh-CN"/>
        </w:rPr>
        <w:t>试行</w:t>
      </w:r>
      <w:r>
        <w:rPr>
          <w:rFonts w:hint="eastAsia" w:ascii="Times New Roman" w:hAnsi="Times New Roman" w:eastAsia="方正小标宋简体" w:cs="方正小标宋简体"/>
          <w:sz w:val="44"/>
          <w:szCs w:val="44"/>
          <w:lang w:eastAsia="zh-CN"/>
        </w:rPr>
        <w:t>）</w:t>
      </w:r>
      <w:r>
        <w:rPr>
          <w:rFonts w:hint="eastAsia" w:ascii="Times New Roman" w:hAnsi="Times New Roman" w:eastAsia="方正小标宋简体" w:cs="方正小标宋简体"/>
          <w:bCs/>
          <w:color w:val="auto"/>
          <w:sz w:val="44"/>
          <w:szCs w:val="44"/>
          <w:lang w:eastAsia="zh-CN"/>
        </w:rPr>
        <w:t>的</w:t>
      </w:r>
      <w:r>
        <w:rPr>
          <w:rFonts w:hint="default" w:ascii="Times New Roman" w:hAnsi="Times New Roman" w:eastAsia="方正小标宋简体" w:cs="Times New Roman"/>
          <w:sz w:val="44"/>
          <w:szCs w:val="28"/>
        </w:rPr>
        <w:t>通知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各</w:t>
      </w:r>
      <w:r>
        <w:rPr>
          <w:rFonts w:hint="default" w:ascii="Times New Roman" w:hAnsi="Times New Roman" w:eastAsia="仿宋_GB2312" w:cs="Times New Roman"/>
          <w:sz w:val="32"/>
          <w:szCs w:val="28"/>
          <w:lang w:val="en-US" w:eastAsia="zh-CN"/>
        </w:rPr>
        <w:t>镇政府、街道办事处</w:t>
      </w:r>
      <w:r>
        <w:rPr>
          <w:rFonts w:hint="eastAsia" w:ascii="Times New Roman" w:hAnsi="Times New Roman" w:eastAsia="仿宋_GB2312" w:cs="Times New Roman"/>
          <w:sz w:val="32"/>
          <w:szCs w:val="28"/>
          <w:lang w:val="en-US" w:eastAsia="zh-CN"/>
        </w:rPr>
        <w:t>，</w:t>
      </w:r>
      <w:r>
        <w:rPr>
          <w:rFonts w:hint="default" w:ascii="Times New Roman" w:hAnsi="Times New Roman" w:eastAsia="仿宋_GB2312" w:cs="Times New Roman"/>
          <w:sz w:val="32"/>
          <w:szCs w:val="28"/>
          <w:lang w:val="en-US" w:eastAsia="zh-CN"/>
        </w:rPr>
        <w:t>区</w:t>
      </w:r>
      <w:r>
        <w:rPr>
          <w:rFonts w:hint="default" w:ascii="Times New Roman" w:hAnsi="Times New Roman" w:eastAsia="仿宋_GB2312" w:cs="Times New Roman"/>
          <w:sz w:val="32"/>
          <w:szCs w:val="28"/>
        </w:rPr>
        <w:t>政府各部门，各有关单位：</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现将</w:t>
      </w:r>
      <w:r>
        <w:rPr>
          <w:rFonts w:hint="default" w:ascii="Times New Roman" w:hAnsi="Times New Roman" w:eastAsia="仿宋_GB2312" w:cs="Times New Roman"/>
          <w:sz w:val="32"/>
          <w:szCs w:val="28"/>
          <w:lang w:val="en-US" w:eastAsia="zh-CN"/>
        </w:rPr>
        <w:t>《</w:t>
      </w:r>
      <w:r>
        <w:rPr>
          <w:rFonts w:hint="eastAsia" w:ascii="Times New Roman" w:hAnsi="Times New Roman" w:eastAsia="仿宋_GB2312" w:cs="Times New Roman"/>
          <w:kern w:val="2"/>
          <w:sz w:val="32"/>
          <w:szCs w:val="28"/>
          <w:lang w:val="en-US" w:eastAsia="zh-CN"/>
        </w:rPr>
        <w:t>张店区“诚信经营示范街”试点创建实施方案（试行）</w:t>
      </w:r>
      <w:r>
        <w:rPr>
          <w:rFonts w:hint="default" w:ascii="Times New Roman" w:hAnsi="Times New Roman" w:eastAsia="仿宋_GB2312" w:cs="Times New Roman"/>
          <w:sz w:val="32"/>
          <w:szCs w:val="28"/>
        </w:rPr>
        <w:t>》印发给你们，请认真贯彻执行。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28"/>
          <w:lang w:eastAsia="zh-CN"/>
        </w:rPr>
      </w:pPr>
      <w:r>
        <w:rPr>
          <w:rFonts w:hint="default" w:ascii="Times New Roman" w:hAnsi="Times New Roman" w:eastAsia="仿宋_GB2312" w:cs="Times New Roman"/>
          <w:sz w:val="32"/>
          <w:szCs w:val="28"/>
          <w:lang w:val="en-US" w:eastAsia="zh-CN"/>
        </w:rPr>
        <w:t xml:space="preserve">                 </w:t>
      </w:r>
      <w:r>
        <w:rPr>
          <w:rFonts w:hint="eastAsia" w:ascii="Times New Roman" w:hAnsi="Times New Roman" w:eastAsia="仿宋_GB2312" w:cs="Times New Roman"/>
          <w:sz w:val="32"/>
          <w:szCs w:val="28"/>
          <w:lang w:val="en-US" w:eastAsia="zh-CN"/>
        </w:rPr>
        <w:t xml:space="preserve">    </w:t>
      </w:r>
      <w:r>
        <w:rPr>
          <w:rFonts w:hint="default" w:ascii="Times New Roman" w:hAnsi="Times New Roman" w:eastAsia="仿宋_GB2312" w:cs="Times New Roman"/>
          <w:sz w:val="32"/>
          <w:szCs w:val="28"/>
          <w:lang w:val="en-US" w:eastAsia="zh-CN"/>
        </w:rPr>
        <w:t xml:space="preserve">   </w:t>
      </w:r>
      <w:r>
        <w:rPr>
          <w:rFonts w:hint="eastAsia" w:ascii="Times New Roman" w:hAnsi="Times New Roman" w:eastAsia="仿宋_GB2312" w:cs="Times New Roman"/>
          <w:sz w:val="32"/>
          <w:szCs w:val="28"/>
          <w:lang w:val="en-US" w:eastAsia="zh-CN"/>
        </w:rPr>
        <w:t>淄博市</w:t>
      </w:r>
      <w:r>
        <w:rPr>
          <w:rFonts w:hint="default" w:ascii="Times New Roman" w:hAnsi="Times New Roman" w:eastAsia="仿宋_GB2312" w:cs="Times New Roman"/>
          <w:sz w:val="32"/>
          <w:szCs w:val="28"/>
          <w:lang w:val="en-US" w:eastAsia="zh-CN"/>
        </w:rPr>
        <w:t>张店区</w:t>
      </w:r>
      <w:r>
        <w:rPr>
          <w:rFonts w:hint="default" w:ascii="Times New Roman" w:hAnsi="Times New Roman" w:eastAsia="仿宋_GB2312" w:cs="Times New Roman"/>
          <w:sz w:val="32"/>
          <w:szCs w:val="28"/>
        </w:rPr>
        <w:t>人民政府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lang w:val="en-US" w:eastAsia="zh-CN"/>
        </w:rPr>
        <w:t xml:space="preserve">            </w:t>
      </w:r>
      <w:r>
        <w:rPr>
          <w:rFonts w:hint="eastAsia" w:ascii="Times New Roman" w:hAnsi="Times New Roman" w:eastAsia="仿宋_GB2312" w:cs="Times New Roman"/>
          <w:sz w:val="32"/>
          <w:szCs w:val="28"/>
          <w:lang w:val="en-US" w:eastAsia="zh-CN"/>
        </w:rPr>
        <w:t xml:space="preserve">              </w:t>
      </w:r>
      <w:r>
        <w:rPr>
          <w:rFonts w:hint="eastAsia" w:ascii="Times New Roman" w:hAnsi="Times New Roman" w:eastAsia="仿宋_GB2312" w:cs="仿宋_GB2312"/>
          <w:sz w:val="32"/>
          <w:szCs w:val="28"/>
          <w:lang w:val="en-US" w:eastAsia="zh-CN"/>
        </w:rPr>
        <w:t>2021</w:t>
      </w:r>
      <w:r>
        <w:rPr>
          <w:rFonts w:hint="default" w:ascii="Times New Roman" w:hAnsi="Times New Roman" w:eastAsia="仿宋_GB2312" w:cs="Times New Roman"/>
          <w:sz w:val="32"/>
          <w:szCs w:val="28"/>
          <w:lang w:val="en-US" w:eastAsia="zh-CN"/>
        </w:rPr>
        <w:t>年</w:t>
      </w:r>
      <w:r>
        <w:rPr>
          <w:rFonts w:hint="eastAsia" w:ascii="Times New Roman" w:hAnsi="Times New Roman" w:eastAsia="仿宋_GB2312" w:cs="仿宋_GB2312"/>
          <w:sz w:val="32"/>
          <w:szCs w:val="28"/>
          <w:lang w:val="en-US" w:eastAsia="zh-CN"/>
        </w:rPr>
        <w:t>12</w:t>
      </w:r>
      <w:r>
        <w:rPr>
          <w:rFonts w:hint="default" w:ascii="Times New Roman" w:hAnsi="Times New Roman" w:eastAsia="仿宋_GB2312" w:cs="Times New Roman"/>
          <w:sz w:val="32"/>
          <w:szCs w:val="28"/>
          <w:lang w:val="en-US" w:eastAsia="zh-CN"/>
        </w:rPr>
        <w:t>月</w:t>
      </w:r>
      <w:r>
        <w:rPr>
          <w:rFonts w:hint="eastAsia" w:ascii="Times New Roman" w:hAnsi="Times New Roman" w:eastAsia="仿宋_GB2312" w:cs="Times New Roman"/>
          <w:sz w:val="32"/>
          <w:szCs w:val="28"/>
          <w:lang w:val="en-US" w:eastAsia="zh-CN"/>
        </w:rPr>
        <w:t>31</w:t>
      </w:r>
      <w:r>
        <w:rPr>
          <w:rFonts w:hint="default" w:ascii="Times New Roman" w:hAnsi="Times New Roman" w:eastAsia="仿宋_GB2312" w:cs="Times New Roman"/>
          <w:sz w:val="32"/>
          <w:szCs w:val="28"/>
        </w:rPr>
        <w:t>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（此件公开发布）</w:t>
      </w:r>
    </w:p>
    <w:p>
      <w:pPr>
        <w:pStyle w:val="3"/>
        <w:keepNext w:val="0"/>
        <w:keepLines w:val="0"/>
        <w:pageBreakBefore w:val="0"/>
        <w:widowControl w:val="0"/>
        <w:kinsoku/>
        <w:wordWrap/>
        <w:overflowPunct/>
        <w:topLinePunct w:val="0"/>
        <w:bidi w:val="0"/>
        <w:adjustRightInd/>
        <w:snapToGrid/>
        <w:spacing w:line="560" w:lineRule="exact"/>
        <w:ind w:left="0"/>
        <w:jc w:val="both"/>
        <w:textAlignment w:val="auto"/>
        <w:rPr>
          <w:rFonts w:hint="eastAsia" w:ascii="Times New Roman" w:hAnsi="Times New Roman" w:eastAsia="方正小标宋简体" w:cs="方正小标宋简体"/>
          <w:sz w:val="44"/>
          <w:szCs w:val="44"/>
          <w:lang w:eastAsia="zh-CN"/>
        </w:rPr>
        <w:sectPr>
          <w:footerReference r:id="rId10" w:type="default"/>
          <w:footerReference r:id="rId11" w:type="even"/>
          <w:pgSz w:w="11906" w:h="16838"/>
          <w:pgMar w:top="2098" w:right="1474" w:bottom="1984" w:left="1587" w:header="851" w:footer="1531" w:gutter="0"/>
          <w:pgNumType w:fmt="decimal"/>
          <w:cols w:space="720" w:num="1"/>
          <w:docGrid w:type="lines" w:linePitch="312" w:charSpace="0"/>
        </w:sectPr>
      </w:pPr>
    </w:p>
    <w:p>
      <w:pPr>
        <w:rPr>
          <w:rFonts w:hint="eastAsia" w:ascii="Times New Roman" w:hAnsi="Times New Roman"/>
          <w:lang w:eastAsia="zh-CN"/>
        </w:rPr>
      </w:pPr>
    </w:p>
    <w:p>
      <w:pPr>
        <w:pStyle w:val="3"/>
        <w:keepNext w:val="0"/>
        <w:keepLines w:val="0"/>
        <w:pageBreakBefore w:val="0"/>
        <w:widowControl w:val="0"/>
        <w:kinsoku/>
        <w:wordWrap/>
        <w:overflowPunct/>
        <w:topLinePunct w:val="0"/>
        <w:bidi w:val="0"/>
        <w:adjustRightInd/>
        <w:snapToGrid/>
        <w:spacing w:line="560" w:lineRule="exact"/>
        <w:ind w:left="0"/>
        <w:jc w:val="center"/>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张店区“诚信经营示范街”试点创建</w:t>
      </w:r>
    </w:p>
    <w:p>
      <w:pPr>
        <w:pStyle w:val="3"/>
        <w:keepNext w:val="0"/>
        <w:keepLines w:val="0"/>
        <w:pageBreakBefore w:val="0"/>
        <w:widowControl w:val="0"/>
        <w:kinsoku/>
        <w:wordWrap/>
        <w:overflowPunct/>
        <w:topLinePunct w:val="0"/>
        <w:bidi w:val="0"/>
        <w:adjustRightInd/>
        <w:snapToGrid/>
        <w:spacing w:line="560" w:lineRule="exact"/>
        <w:ind w:left="0"/>
        <w:jc w:val="center"/>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实施方案（</w:t>
      </w:r>
      <w:r>
        <w:rPr>
          <w:rFonts w:hint="eastAsia" w:ascii="Times New Roman" w:hAnsi="Times New Roman" w:eastAsia="方正小标宋简体" w:cs="方正小标宋简体"/>
          <w:sz w:val="44"/>
          <w:szCs w:val="44"/>
          <w:lang w:val="en-US" w:eastAsia="zh-CN"/>
        </w:rPr>
        <w:t>试行</w:t>
      </w:r>
      <w:r>
        <w:rPr>
          <w:rFonts w:hint="eastAsia" w:ascii="Times New Roman" w:hAnsi="Times New Roman" w:eastAsia="方正小标宋简体" w:cs="方正小标宋简体"/>
          <w:sz w:val="44"/>
          <w:szCs w:val="44"/>
          <w:lang w:eastAsia="zh-CN"/>
        </w:rPr>
        <w:t>）</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
          <w:sz w:val="32"/>
          <w:szCs w:val="32"/>
        </w:rPr>
      </w:pP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打造“诚信经营示范街”是创建全国文明城市和社会信用体系建设示范区的硬核指标</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也是优化营商环境、推动“放心消费在张店”落地的应有之义，对于提升商户诚信经营意识，塑造“美丽街区”良好形象，提升市民的幸福感和获得感具有重要意义。为打造我区诚信经营示范街区标杆，进一步带动全区市场经营环境和消费环境持续优化，</w:t>
      </w:r>
      <w:r>
        <w:rPr>
          <w:rFonts w:hint="eastAsia" w:ascii="Times New Roman" w:hAnsi="Times New Roman" w:eastAsia="仿宋_GB2312" w:cs="仿宋_GB2312"/>
          <w:sz w:val="32"/>
          <w:szCs w:val="32"/>
          <w:lang w:val="en-US" w:eastAsia="zh-CN"/>
        </w:rPr>
        <w:t>现</w:t>
      </w:r>
      <w:r>
        <w:rPr>
          <w:rFonts w:hint="eastAsia" w:ascii="Times New Roman" w:hAnsi="Times New Roman" w:eastAsia="仿宋_GB2312" w:cs="仿宋_GB2312"/>
          <w:sz w:val="32"/>
          <w:szCs w:val="32"/>
        </w:rPr>
        <w:t>开展“诚信经营示范街”试点创建工作，特制定本方案。</w:t>
      </w:r>
    </w:p>
    <w:p>
      <w:pPr>
        <w:pStyle w:val="2"/>
        <w:keepNext w:val="0"/>
        <w:keepLines w:val="0"/>
        <w:pageBreakBefore w:val="0"/>
        <w:widowControl w:val="0"/>
        <w:kinsoku/>
        <w:wordWrap/>
        <w:overflowPunct/>
        <w:topLinePunct w:val="0"/>
        <w:bidi w:val="0"/>
        <w:adjustRightInd/>
        <w:snapToGrid/>
        <w:spacing w:line="560" w:lineRule="exact"/>
        <w:ind w:firstLine="608" w:firstLineChars="200"/>
        <w:textAlignment w:val="auto"/>
        <w:rPr>
          <w:rFonts w:ascii="Times New Roman" w:hAnsi="Times New Roman" w:eastAsia="黑体"/>
          <w:lang w:eastAsia="zh-CN"/>
        </w:rPr>
      </w:pPr>
      <w:r>
        <w:rPr>
          <w:rFonts w:hint="eastAsia" w:ascii="Times New Roman" w:hAnsi="Times New Roman" w:eastAsia="黑体"/>
          <w:w w:val="95"/>
          <w:lang w:eastAsia="zh-CN"/>
        </w:rPr>
        <w:t>一、创建目标</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highlight w:val="none"/>
        </w:rPr>
        <w:t>把</w:t>
      </w:r>
      <w:r>
        <w:rPr>
          <w:rFonts w:hint="eastAsia" w:ascii="Times New Roman" w:hAnsi="Times New Roman" w:eastAsia="仿宋_GB2312" w:cs="仿宋_GB2312"/>
          <w:color w:val="auto"/>
          <w:sz w:val="32"/>
          <w:szCs w:val="32"/>
          <w:highlight w:val="none"/>
          <w:lang w:val="en-US" w:eastAsia="zh-CN"/>
        </w:rPr>
        <w:t>张店区水晶街</w:t>
      </w:r>
      <w:r>
        <w:rPr>
          <w:rFonts w:hint="eastAsia" w:ascii="Times New Roman" w:hAnsi="Times New Roman" w:eastAsia="仿宋_GB2312" w:cs="仿宋_GB2312"/>
          <w:color w:val="auto"/>
          <w:sz w:val="32"/>
          <w:szCs w:val="32"/>
          <w:highlight w:val="none"/>
        </w:rPr>
        <w:t>片</w:t>
      </w:r>
      <w:r>
        <w:rPr>
          <w:rFonts w:hint="eastAsia" w:ascii="Times New Roman" w:hAnsi="Times New Roman" w:eastAsia="仿宋_GB2312" w:cs="仿宋_GB2312"/>
          <w:sz w:val="32"/>
          <w:szCs w:val="32"/>
        </w:rPr>
        <w:t>区打造成全区诚信示范街区标杆，使之成为全区经营者诚信度最高、消费者体验感最佳、市场氛围最和谐的诚信示范街区。</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b w:val="0"/>
          <w:bCs/>
          <w:sz w:val="32"/>
          <w:szCs w:val="32"/>
        </w:rPr>
        <w:t>（一）街区综合治理水平全面提升。</w:t>
      </w:r>
      <w:r>
        <w:rPr>
          <w:rFonts w:hint="eastAsia" w:ascii="Times New Roman" w:hAnsi="Times New Roman" w:eastAsia="仿宋_GB2312" w:cs="仿宋_GB2312"/>
          <w:sz w:val="32"/>
          <w:szCs w:val="32"/>
        </w:rPr>
        <w:t>依托</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张店区公共信用信息</w:t>
      </w:r>
      <w:r>
        <w:rPr>
          <w:rFonts w:hint="eastAsia" w:ascii="Times New Roman" w:hAnsi="Times New Roman" w:eastAsia="仿宋_GB2312" w:cs="仿宋_GB2312"/>
          <w:sz w:val="32"/>
          <w:szCs w:val="32"/>
        </w:rPr>
        <w:t>平台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实现街区商户信用信息的“协同化归集，一体化应用”，打造多部门共享、可视化展示的信用信息的分析服务。创新信用监管方式，为各监管部门运用信用大数据加强市场主体分级分类监管、降低行政成本、营造和维护良好市场经济秩序及消费环境提供有力支撑。</w:t>
      </w:r>
      <w:r>
        <w:rPr>
          <w:rFonts w:hint="eastAsia" w:ascii="Times New Roman" w:hAnsi="Times New Roman" w:eastAsia="仿宋_GB2312" w:cs="仿宋_GB2312"/>
          <w:sz w:val="32"/>
          <w:szCs w:val="32"/>
          <w:lang w:eastAsia="zh-CN"/>
        </w:rPr>
        <w:t>（</w:t>
      </w:r>
      <w:r>
        <w:rPr>
          <w:rFonts w:hint="eastAsia" w:ascii="Times New Roman" w:hAnsi="Times New Roman" w:eastAsia="楷体_GB2312" w:cs="楷体_GB2312"/>
          <w:sz w:val="32"/>
          <w:szCs w:val="32"/>
        </w:rPr>
        <w:t>责任</w:t>
      </w:r>
      <w:r>
        <w:rPr>
          <w:rFonts w:hint="eastAsia" w:ascii="Times New Roman" w:hAnsi="Times New Roman" w:eastAsia="楷体_GB2312" w:cs="楷体_GB2312"/>
          <w:sz w:val="32"/>
          <w:szCs w:val="32"/>
          <w:lang w:val="en-US" w:eastAsia="zh-CN"/>
        </w:rPr>
        <w:t>单位</w:t>
      </w: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区市场监管局牵头，区发展改革局、</w:t>
      </w:r>
      <w:r>
        <w:rPr>
          <w:rFonts w:hint="eastAsia" w:ascii="Times New Roman" w:hAnsi="Times New Roman" w:eastAsia="楷体_GB2312" w:cs="楷体_GB2312"/>
          <w:sz w:val="32"/>
          <w:szCs w:val="32"/>
        </w:rPr>
        <w:t>区直相关部门配合</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lang w:val="en-US" w:eastAsia="zh-CN"/>
        </w:rPr>
        <w:t>完成时间：实时推进</w:t>
      </w:r>
      <w:r>
        <w:rPr>
          <w:rFonts w:hint="eastAsia" w:ascii="Times New Roman" w:hAnsi="Times New Roman" w:eastAsia="楷体_GB2312" w:cs="楷体_GB2312"/>
          <w:sz w:val="32"/>
          <w:szCs w:val="32"/>
        </w:rPr>
        <w:t>）</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b w:val="0"/>
          <w:bCs/>
          <w:sz w:val="32"/>
          <w:szCs w:val="32"/>
        </w:rPr>
        <w:t>（二）诚信商户获得实惠明显增加。</w:t>
      </w:r>
      <w:r>
        <w:rPr>
          <w:rFonts w:hint="eastAsia" w:ascii="Times New Roman" w:hAnsi="Times New Roman" w:eastAsia="仿宋_GB2312" w:cs="仿宋_GB2312"/>
          <w:sz w:val="32"/>
          <w:szCs w:val="32"/>
        </w:rPr>
        <w:t>一是破解商户贷款难问题。依托信用评价机制建立诚信商户推荐名单，定期向金融机构推荐，实现“信用越好，贷款越容易。”二是享受行政事项办理便捷服务。对诚信示范街区商户率先推行“信易批”，让信用好的商户享受行政审批绿色通道、容缺受理、减少行政检查次数等惠企服务。三是打造商户信用品牌。通过“信用张店”等多渠道展示商户信用情况。对于诚信商户，将重点进行宣传推介，促进诚信经营宣传，助力省级信用示范区和全国文明城市创建。</w:t>
      </w:r>
      <w:r>
        <w:rPr>
          <w:rFonts w:hint="eastAsia" w:ascii="Times New Roman" w:hAnsi="Times New Roman" w:eastAsia="楷体_GB2312" w:cs="楷体_GB2312"/>
          <w:sz w:val="32"/>
          <w:szCs w:val="32"/>
        </w:rPr>
        <w:t>（责任</w:t>
      </w:r>
      <w:r>
        <w:rPr>
          <w:rFonts w:hint="eastAsia" w:ascii="Times New Roman" w:hAnsi="Times New Roman" w:eastAsia="楷体_GB2312" w:cs="楷体_GB2312"/>
          <w:sz w:val="32"/>
          <w:szCs w:val="32"/>
          <w:lang w:val="en-US" w:eastAsia="zh-CN"/>
        </w:rPr>
        <w:t>单位</w:t>
      </w: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区地方金融监管局、区行政审批服务局、区发展改革局牵头，马尚街道</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区直相关部门配合</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lang w:val="en-US" w:eastAsia="zh-CN"/>
        </w:rPr>
        <w:t>完成时间：实时推进</w:t>
      </w:r>
      <w:r>
        <w:rPr>
          <w:rFonts w:hint="eastAsia" w:ascii="Times New Roman" w:hAnsi="Times New Roman" w:eastAsia="楷体_GB2312" w:cs="楷体_GB2312"/>
          <w:sz w:val="32"/>
          <w:szCs w:val="32"/>
        </w:rPr>
        <w:t>）</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b w:val="0"/>
          <w:bCs/>
          <w:sz w:val="32"/>
          <w:szCs w:val="32"/>
        </w:rPr>
        <w:t>（三）消费者权益保障水平大幅提升。</w:t>
      </w:r>
      <w:r>
        <w:rPr>
          <w:rFonts w:hint="eastAsia" w:ascii="Times New Roman" w:hAnsi="Times New Roman" w:eastAsia="仿宋"/>
          <w:sz w:val="32"/>
          <w:szCs w:val="32"/>
        </w:rPr>
        <w:t>“</w:t>
      </w:r>
      <w:r>
        <w:rPr>
          <w:rFonts w:hint="eastAsia" w:ascii="Times New Roman" w:hAnsi="Times New Roman" w:eastAsia="仿宋_GB2312" w:cs="仿宋_GB2312"/>
          <w:sz w:val="32"/>
          <w:szCs w:val="32"/>
        </w:rPr>
        <w:t>诚信经营示范街”将打造“诚信卖、放心购”的消费环境，引导消费者择优消费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提供便捷的评价维权渠道，引导社会力量对商户进行有力监督，方便消费者快速维权。</w:t>
      </w:r>
      <w:r>
        <w:rPr>
          <w:rFonts w:hint="eastAsia" w:ascii="Times New Roman" w:hAnsi="Times New Roman" w:eastAsia="楷体_GB2312" w:cs="楷体_GB2312"/>
          <w:sz w:val="32"/>
          <w:szCs w:val="32"/>
        </w:rPr>
        <w:t>（责任</w:t>
      </w:r>
      <w:r>
        <w:rPr>
          <w:rFonts w:hint="eastAsia" w:ascii="Times New Roman" w:hAnsi="Times New Roman" w:eastAsia="楷体_GB2312" w:cs="楷体_GB2312"/>
          <w:sz w:val="32"/>
          <w:szCs w:val="32"/>
          <w:lang w:val="en-US" w:eastAsia="zh-CN"/>
        </w:rPr>
        <w:t>单位</w:t>
      </w: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区市场监管局牵头，马尚街道</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区直相关部门配合</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lang w:val="en-US" w:eastAsia="zh-CN"/>
        </w:rPr>
        <w:t>完成时间：实时推进</w:t>
      </w:r>
      <w:r>
        <w:rPr>
          <w:rFonts w:hint="eastAsia" w:ascii="Times New Roman" w:hAnsi="Times New Roman" w:eastAsia="楷体_GB2312" w:cs="楷体_GB2312"/>
          <w:sz w:val="32"/>
          <w:szCs w:val="32"/>
        </w:rPr>
        <w:t>）</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黑体"/>
          <w:sz w:val="32"/>
          <w:szCs w:val="32"/>
        </w:rPr>
      </w:pPr>
      <w:r>
        <w:rPr>
          <w:rFonts w:hint="eastAsia" w:ascii="Times New Roman" w:hAnsi="Times New Roman" w:eastAsia="黑体"/>
          <w:sz w:val="32"/>
          <w:szCs w:val="32"/>
        </w:rPr>
        <w:t>二、创建原则</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按照“政府引导、企业参与、社会监督、群众受益”的原则， 从</w:t>
      </w:r>
      <w:r>
        <w:rPr>
          <w:rFonts w:hint="eastAsia" w:ascii="Times New Roman" w:hAnsi="Times New Roman" w:eastAsia="仿宋_GB2312" w:cs="仿宋_GB2312"/>
          <w:sz w:val="32"/>
          <w:szCs w:val="32"/>
          <w:lang w:eastAsia="zh-CN"/>
        </w:rPr>
        <w:t>更好地服务</w:t>
      </w:r>
      <w:r>
        <w:rPr>
          <w:rFonts w:hint="eastAsia" w:ascii="Times New Roman" w:hAnsi="Times New Roman" w:eastAsia="仿宋_GB2312" w:cs="仿宋_GB2312"/>
          <w:sz w:val="32"/>
          <w:szCs w:val="32"/>
        </w:rPr>
        <w:t>消费者角度出发，积极倡导依法诚信经营，以规范明码标价、提供诚信服务为核心，开展“诚信经营示范街”试点创建工作，做到三个坚持</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b w:val="0"/>
          <w:bCs/>
          <w:sz w:val="32"/>
          <w:szCs w:val="32"/>
        </w:rPr>
        <w:t>（一）坚持政府视角与社会视角相结合。</w:t>
      </w:r>
      <w:r>
        <w:rPr>
          <w:rFonts w:hint="eastAsia" w:ascii="Times New Roman" w:hAnsi="Times New Roman" w:eastAsia="仿宋_GB2312" w:cs="仿宋_GB2312"/>
          <w:sz w:val="32"/>
          <w:szCs w:val="32"/>
        </w:rPr>
        <w:t>把街区内政府行政监管产生的行政许可、行政检查、行政处罚等监管信息与广大消费者在消费体验中产生的评价、投诉等监督信息有机结合起来，通过可视化二维码进行公示，对街区内商户形成监管合力。在问题排查、整改提升、评选授牌环节，既注重倾听部门意见，又善于听取社会声音。</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b w:val="0"/>
          <w:bCs/>
          <w:sz w:val="32"/>
          <w:szCs w:val="32"/>
        </w:rPr>
        <w:t>（二）坚持创文标准和创信标准相结合。</w:t>
      </w:r>
      <w:r>
        <w:rPr>
          <w:rFonts w:hint="eastAsia" w:ascii="Times New Roman" w:hAnsi="Times New Roman" w:eastAsia="仿宋_GB2312" w:cs="仿宋_GB2312"/>
          <w:sz w:val="32"/>
          <w:szCs w:val="32"/>
        </w:rPr>
        <w:t>把开展街区环境卫生、市容街貌综合整治，与“三防”等病媒生物防治和打击假冒伪劣、侵犯消费者权益等诚信缺失问题整治结合起来，让诚信示范街区内外兼修、口碑过硬，经得起广大消费者评议。</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b w:val="0"/>
          <w:bCs/>
          <w:sz w:val="32"/>
          <w:szCs w:val="32"/>
        </w:rPr>
        <w:t>（三）坚持规范经营与促进发展相结合。</w:t>
      </w:r>
      <w:r>
        <w:rPr>
          <w:rFonts w:hint="eastAsia" w:ascii="Times New Roman" w:hAnsi="Times New Roman" w:eastAsia="仿宋_GB2312" w:cs="仿宋_GB2312"/>
          <w:sz w:val="32"/>
          <w:szCs w:val="32"/>
        </w:rPr>
        <w:t>定期发布街区诚信红榜、蓝榜、黄榜、黑榜，对黄榜企业实施挂号督办整改直至晋级红榜或逐出街区；对蓝榜企业实行教育引导，促进提档升级；对红榜企业在信贷、纳税、办理许可、专项资金奖补、宣传推广等方面实施激励。</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黑体"/>
          <w:sz w:val="32"/>
          <w:szCs w:val="32"/>
        </w:rPr>
      </w:pPr>
      <w:r>
        <w:rPr>
          <w:rFonts w:hint="eastAsia" w:ascii="Times New Roman" w:hAnsi="Times New Roman" w:eastAsia="黑体"/>
          <w:sz w:val="32"/>
          <w:szCs w:val="32"/>
        </w:rPr>
        <w:t>三、创建对象</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张店区水晶</w:t>
      </w:r>
      <w:r>
        <w:rPr>
          <w:rFonts w:hint="eastAsia" w:ascii="Times New Roman" w:hAnsi="Times New Roman" w:eastAsia="仿宋_GB2312" w:cs="仿宋_GB2312"/>
          <w:sz w:val="32"/>
          <w:szCs w:val="32"/>
        </w:rPr>
        <w:t>街。</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黑体"/>
          <w:sz w:val="32"/>
          <w:szCs w:val="32"/>
        </w:rPr>
      </w:pPr>
      <w:r>
        <w:rPr>
          <w:rFonts w:hint="eastAsia" w:ascii="Times New Roman" w:hAnsi="Times New Roman" w:eastAsia="黑体"/>
          <w:sz w:val="32"/>
          <w:szCs w:val="32"/>
        </w:rPr>
        <w:t>四、创建任务</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本次创建主要是开展“七个一”活动，即：标识一块创建区、开展一次启动仪式、搭建一套商户信用二维码、组织一场综合执法、实施一次整改提升行动，开展一次示范评选活动，组织一次表彰激励活动。</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b w:val="0"/>
          <w:bCs/>
          <w:sz w:val="32"/>
          <w:szCs w:val="32"/>
        </w:rPr>
        <w:t>（一）标识“诚信经营示范街创建点”区域</w:t>
      </w:r>
      <w:r>
        <w:rPr>
          <w:rFonts w:hint="eastAsia" w:ascii="Times New Roman" w:hAnsi="Times New Roman" w:eastAsia="楷体_GB2312" w:cs="楷体_GB2312"/>
          <w:b w:val="0"/>
          <w:bCs/>
          <w:sz w:val="32"/>
          <w:szCs w:val="32"/>
          <w:lang w:eastAsia="zh-CN"/>
        </w:rPr>
        <w:t>。</w:t>
      </w:r>
      <w:r>
        <w:rPr>
          <w:rFonts w:hint="eastAsia" w:ascii="Times New Roman" w:hAnsi="Times New Roman" w:eastAsia="仿宋_GB2312" w:cs="仿宋_GB2312"/>
          <w:sz w:val="32"/>
          <w:szCs w:val="32"/>
        </w:rPr>
        <w:t>在</w:t>
      </w:r>
      <w:r>
        <w:rPr>
          <w:rFonts w:hint="eastAsia" w:ascii="Times New Roman" w:hAnsi="Times New Roman" w:eastAsia="仿宋_GB2312" w:cs="仿宋_GB2312"/>
          <w:sz w:val="32"/>
          <w:szCs w:val="32"/>
          <w:lang w:val="en-US" w:eastAsia="zh-CN"/>
        </w:rPr>
        <w:t>水晶街</w:t>
      </w:r>
      <w:r>
        <w:rPr>
          <w:rFonts w:hint="eastAsia" w:ascii="Times New Roman" w:hAnsi="Times New Roman" w:eastAsia="仿宋_GB2312" w:cs="仿宋_GB2312"/>
          <w:sz w:val="32"/>
          <w:szCs w:val="32"/>
        </w:rPr>
        <w:t>树立“诚信经营示范街创建点”标识牌，明确创建点的范围和商户规模。组织开展入户宣传动员，增强创建工作的知晓度、参与度。</w:t>
      </w:r>
      <w:r>
        <w:rPr>
          <w:rFonts w:hint="eastAsia" w:ascii="Times New Roman" w:hAnsi="Times New Roman" w:eastAsia="楷体_GB2312" w:cs="楷体_GB2312"/>
          <w:sz w:val="32"/>
          <w:szCs w:val="32"/>
        </w:rPr>
        <w:t>（责任</w:t>
      </w:r>
      <w:r>
        <w:rPr>
          <w:rFonts w:hint="eastAsia" w:ascii="Times New Roman" w:hAnsi="Times New Roman" w:eastAsia="楷体_GB2312" w:cs="楷体_GB2312"/>
          <w:sz w:val="32"/>
          <w:szCs w:val="32"/>
          <w:lang w:val="en-US" w:eastAsia="zh-CN"/>
        </w:rPr>
        <w:t>单位</w:t>
      </w: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区市场监管局牵头，区综合行政执法局、马尚街道</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区直相关部门配合</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lang w:val="en-US" w:eastAsia="zh-CN"/>
        </w:rPr>
        <w:t>完成时间：2021年12月</w:t>
      </w:r>
      <w:r>
        <w:rPr>
          <w:rFonts w:hint="eastAsia" w:ascii="Times New Roman" w:hAnsi="Times New Roman" w:eastAsia="楷体_GB2312" w:cs="楷体_GB2312"/>
          <w:sz w:val="32"/>
          <w:szCs w:val="32"/>
        </w:rPr>
        <w:t>）</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b w:val="0"/>
          <w:bCs/>
          <w:sz w:val="32"/>
          <w:szCs w:val="32"/>
        </w:rPr>
        <w:t>（二）开展“诚信经营示范街”试点创建启动仪式</w:t>
      </w:r>
      <w:r>
        <w:rPr>
          <w:rFonts w:hint="eastAsia" w:ascii="Times New Roman" w:hAnsi="Times New Roman" w:eastAsia="楷体_GB2312" w:cs="楷体_GB2312"/>
          <w:b w:val="0"/>
          <w:bCs/>
          <w:sz w:val="32"/>
          <w:szCs w:val="32"/>
          <w:lang w:eastAsia="zh-CN"/>
        </w:rPr>
        <w:t>。</w:t>
      </w:r>
      <w:r>
        <w:rPr>
          <w:rFonts w:hint="eastAsia" w:ascii="Times New Roman" w:hAnsi="Times New Roman" w:eastAsia="仿宋_GB2312" w:cs="仿宋_GB2312"/>
          <w:sz w:val="32"/>
          <w:szCs w:val="32"/>
        </w:rPr>
        <w:t>在</w:t>
      </w:r>
      <w:r>
        <w:rPr>
          <w:rFonts w:hint="eastAsia" w:ascii="Times New Roman" w:hAnsi="Times New Roman" w:eastAsia="仿宋_GB2312" w:cs="仿宋_GB2312"/>
          <w:sz w:val="32"/>
          <w:szCs w:val="32"/>
          <w:lang w:val="en-US" w:eastAsia="zh-CN"/>
        </w:rPr>
        <w:t>水晶街</w:t>
      </w:r>
      <w:r>
        <w:rPr>
          <w:rFonts w:hint="eastAsia" w:ascii="Times New Roman" w:hAnsi="Times New Roman" w:eastAsia="仿宋_GB2312" w:cs="仿宋_GB2312"/>
          <w:sz w:val="32"/>
          <w:szCs w:val="32"/>
        </w:rPr>
        <w:t>开展创建“诚信经营示范街”试点启动仪式，发放“诚信经营示范街”试点创建倡议书，签署商户诚信经营信用承诺书。</w:t>
      </w:r>
      <w:r>
        <w:rPr>
          <w:rFonts w:hint="eastAsia" w:ascii="Times New Roman" w:hAnsi="Times New Roman" w:eastAsia="楷体_GB2312" w:cs="楷体_GB2312"/>
          <w:sz w:val="32"/>
          <w:szCs w:val="32"/>
        </w:rPr>
        <w:t>（责任</w:t>
      </w:r>
      <w:r>
        <w:rPr>
          <w:rFonts w:hint="eastAsia" w:ascii="Times New Roman" w:hAnsi="Times New Roman" w:eastAsia="楷体_GB2312" w:cs="楷体_GB2312"/>
          <w:sz w:val="32"/>
          <w:szCs w:val="32"/>
          <w:lang w:val="en-US" w:eastAsia="zh-CN"/>
        </w:rPr>
        <w:t>单位</w:t>
      </w: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区发展改革局牵头，区综合行政执法局、区市场监管局、区委宣传部、马尚街道</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区直相关部门配合</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lang w:val="en-US" w:eastAsia="zh-CN"/>
        </w:rPr>
        <w:t>完成时间：2021年12月</w:t>
      </w:r>
      <w:r>
        <w:rPr>
          <w:rFonts w:hint="eastAsia" w:ascii="Times New Roman" w:hAnsi="Times New Roman" w:eastAsia="楷体_GB2312" w:cs="楷体_GB2312"/>
          <w:sz w:val="32"/>
          <w:szCs w:val="32"/>
        </w:rPr>
        <w:t>）</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b w:val="0"/>
          <w:bCs/>
          <w:sz w:val="32"/>
          <w:szCs w:val="32"/>
        </w:rPr>
        <w:t>（三）建立街区商户可视化“信用二维码”</w:t>
      </w:r>
      <w:r>
        <w:rPr>
          <w:rFonts w:hint="eastAsia" w:ascii="Times New Roman" w:hAnsi="Times New Roman" w:eastAsia="楷体_GB2312" w:cs="楷体_GB2312"/>
          <w:b w:val="0"/>
          <w:bCs/>
          <w:sz w:val="32"/>
          <w:szCs w:val="32"/>
          <w:lang w:eastAsia="zh-CN"/>
        </w:rPr>
        <w:t>。</w:t>
      </w:r>
      <w:r>
        <w:rPr>
          <w:rFonts w:hint="eastAsia" w:ascii="Times New Roman" w:hAnsi="Times New Roman" w:eastAsia="仿宋_GB2312" w:cs="仿宋_GB2312"/>
          <w:sz w:val="32"/>
          <w:szCs w:val="32"/>
        </w:rPr>
        <w:t>制定并下发“诚信经营示范街”信用信息采集目录，由各有关单位按目录要求进行数据报送。依托</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张店</w:t>
      </w:r>
      <w:r>
        <w:rPr>
          <w:rFonts w:hint="eastAsia" w:ascii="Times New Roman" w:hAnsi="Times New Roman" w:eastAsia="仿宋_GB2312" w:cs="仿宋_GB2312"/>
          <w:sz w:val="32"/>
          <w:szCs w:val="32"/>
        </w:rPr>
        <w:t>区公共信用信息平台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街区商户的信用信息进行归集整理，建立街区商户综合信用档案，制作生成可视化“信用二维码”。将商户“信用二维码”标识牌进行悬挂或粘贴公示，供广大消费者扫码查询，一键掌握商户基础信息、行政许可信息、行政处罚信息、纳税信息、水电气信息、消费者评价信息、投诉处理信息、信用评价信息等，为广大消费者决策提供科学指导，进一步强化社会监督，督促商户诚信自律。</w:t>
      </w: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责任单位</w:t>
      </w:r>
      <w:r>
        <w:rPr>
          <w:rFonts w:hint="eastAsia" w:ascii="Times New Roman" w:hAnsi="Times New Roman" w:eastAsia="楷体_GB2312" w:cs="楷体_GB2312"/>
          <w:sz w:val="32"/>
          <w:szCs w:val="32"/>
        </w:rPr>
        <w:t>：区市场监管局</w:t>
      </w:r>
      <w:r>
        <w:rPr>
          <w:rFonts w:hint="eastAsia" w:ascii="Times New Roman" w:hAnsi="Times New Roman" w:eastAsia="楷体_GB2312" w:cs="楷体_GB2312"/>
          <w:sz w:val="32"/>
          <w:szCs w:val="32"/>
          <w:lang w:val="en-US" w:eastAsia="zh-CN"/>
        </w:rPr>
        <w:t>牵头，区发展改革局</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区综合行政执法局、区税务局、张店公安分局、</w:t>
      </w:r>
      <w:r>
        <w:rPr>
          <w:rFonts w:hint="eastAsia" w:ascii="Times New Roman" w:hAnsi="Times New Roman" w:eastAsia="楷体_GB2312" w:cs="楷体_GB2312"/>
          <w:sz w:val="32"/>
          <w:szCs w:val="32"/>
          <w:lang w:eastAsia="zh-CN"/>
        </w:rPr>
        <w:t>区卫生健康局</w:t>
      </w: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区住房城乡建设局、</w:t>
      </w:r>
      <w:r>
        <w:rPr>
          <w:rFonts w:hint="eastAsia" w:ascii="Times New Roman" w:hAnsi="Times New Roman" w:eastAsia="楷体_GB2312" w:cs="楷体_GB2312"/>
          <w:sz w:val="32"/>
          <w:szCs w:val="32"/>
        </w:rPr>
        <w:t>区消防救援大队、</w:t>
      </w:r>
      <w:r>
        <w:rPr>
          <w:rFonts w:hint="eastAsia" w:ascii="Times New Roman" w:hAnsi="Times New Roman" w:eastAsia="楷体_GB2312" w:cs="楷体_GB2312"/>
          <w:sz w:val="32"/>
          <w:szCs w:val="32"/>
          <w:lang w:val="en-US" w:eastAsia="zh-CN"/>
        </w:rPr>
        <w:t>张店供电中心配合；完成时间：2021年12月</w:t>
      </w:r>
      <w:r>
        <w:rPr>
          <w:rFonts w:hint="eastAsia" w:ascii="Times New Roman" w:hAnsi="Times New Roman" w:eastAsia="楷体_GB2312" w:cs="楷体_GB2312"/>
          <w:sz w:val="32"/>
          <w:szCs w:val="32"/>
        </w:rPr>
        <w:t>）</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b w:val="0"/>
          <w:bCs/>
          <w:sz w:val="32"/>
          <w:szCs w:val="32"/>
        </w:rPr>
        <w:t>（四）多部门联动综合检查执法</w:t>
      </w:r>
      <w:r>
        <w:rPr>
          <w:rFonts w:hint="eastAsia" w:ascii="Times New Roman" w:hAnsi="Times New Roman" w:eastAsia="楷体_GB2312" w:cs="楷体_GB2312"/>
          <w:b w:val="0"/>
          <w:bCs/>
          <w:sz w:val="32"/>
          <w:szCs w:val="32"/>
          <w:lang w:eastAsia="zh-CN"/>
        </w:rPr>
        <w:t>。</w:t>
      </w:r>
      <w:r>
        <w:rPr>
          <w:rFonts w:hint="eastAsia" w:ascii="Times New Roman" w:hAnsi="Times New Roman" w:eastAsia="仿宋_GB2312" w:cs="仿宋_GB2312"/>
          <w:sz w:val="32"/>
          <w:szCs w:val="32"/>
        </w:rPr>
        <w:t>按照创卫复审、创文验收、创信迎检标准，围绕环境卫生、市容街貌、病害防治、食品安全、消防安全、明码标价、产品质量、广告宣传等方面开展联合检查执法，分类制定检查工作台账和问题清单，实行“红、蓝、黄、黑”四级信用分类管理。设立街区线下消费投诉维权站，开通线上消费维权投诉渠道，健全消费矛盾快速处理机制。</w:t>
      </w: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责任单位</w:t>
      </w: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区市场监管局牵头，</w:t>
      </w:r>
      <w:r>
        <w:rPr>
          <w:rFonts w:hint="eastAsia" w:ascii="Times New Roman" w:hAnsi="Times New Roman" w:eastAsia="楷体_GB2312" w:cs="楷体_GB2312"/>
          <w:sz w:val="32"/>
          <w:szCs w:val="32"/>
        </w:rPr>
        <w:t>区综合行政执法局、区税务局、张店公安分局、</w:t>
      </w:r>
      <w:r>
        <w:rPr>
          <w:rFonts w:hint="eastAsia" w:ascii="Times New Roman" w:hAnsi="Times New Roman" w:eastAsia="楷体_GB2312" w:cs="楷体_GB2312"/>
          <w:sz w:val="32"/>
          <w:szCs w:val="32"/>
          <w:lang w:eastAsia="zh-CN"/>
        </w:rPr>
        <w:t>区卫生健康局</w:t>
      </w:r>
      <w:r>
        <w:rPr>
          <w:rFonts w:hint="eastAsia" w:ascii="Times New Roman" w:hAnsi="Times New Roman" w:eastAsia="楷体_GB2312" w:cs="楷体_GB2312"/>
          <w:sz w:val="32"/>
          <w:szCs w:val="32"/>
        </w:rPr>
        <w:t>、区消防救援大队</w:t>
      </w:r>
      <w:r>
        <w:rPr>
          <w:rFonts w:hint="eastAsia" w:ascii="Times New Roman" w:hAnsi="Times New Roman" w:eastAsia="楷体_GB2312" w:cs="楷体_GB2312"/>
          <w:sz w:val="32"/>
          <w:szCs w:val="32"/>
          <w:lang w:val="en-US" w:eastAsia="zh-CN"/>
        </w:rPr>
        <w:t>配合；完成时间：实时推进</w:t>
      </w:r>
      <w:r>
        <w:rPr>
          <w:rFonts w:hint="eastAsia" w:ascii="Times New Roman" w:hAnsi="Times New Roman" w:eastAsia="楷体_GB2312" w:cs="楷体_GB2312"/>
          <w:sz w:val="32"/>
          <w:szCs w:val="32"/>
        </w:rPr>
        <w:t>）</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b w:val="0"/>
          <w:bCs/>
          <w:sz w:val="32"/>
          <w:szCs w:val="32"/>
        </w:rPr>
        <w:t>（五）紧盯问题抓整改提升</w:t>
      </w:r>
      <w:r>
        <w:rPr>
          <w:rFonts w:hint="eastAsia" w:ascii="Times New Roman" w:hAnsi="Times New Roman" w:eastAsia="楷体_GB2312" w:cs="楷体_GB2312"/>
          <w:b w:val="0"/>
          <w:bCs/>
          <w:sz w:val="32"/>
          <w:szCs w:val="32"/>
          <w:lang w:eastAsia="zh-CN"/>
        </w:rPr>
        <w:t>。</w:t>
      </w:r>
      <w:r>
        <w:rPr>
          <w:rFonts w:hint="eastAsia" w:ascii="Times New Roman" w:hAnsi="Times New Roman" w:eastAsia="仿宋_GB2312" w:cs="仿宋_GB2312"/>
          <w:sz w:val="32"/>
          <w:szCs w:val="32"/>
        </w:rPr>
        <w:t>紧盯“黄牌和黑牌”商户，制定一户一册整改措施清单，明确整改完成时间节点，开展行政处罚类失信记录“清零”，开展商户随机抽查“回头</w:t>
      </w:r>
      <w:r>
        <w:rPr>
          <w:rFonts w:hint="eastAsia" w:ascii="Times New Roman" w:hAnsi="Times New Roman" w:eastAsia="仿宋_GB2312" w:cs="仿宋_GB2312"/>
          <w:sz w:val="32"/>
          <w:szCs w:val="32"/>
          <w:lang w:val="en-US" w:eastAsia="zh-CN"/>
        </w:rPr>
        <w:t>看</w:t>
      </w:r>
      <w:r>
        <w:rPr>
          <w:rFonts w:hint="eastAsia" w:ascii="Times New Roman" w:hAnsi="Times New Roman" w:eastAsia="仿宋_GB2312" w:cs="仿宋_GB2312"/>
          <w:sz w:val="32"/>
          <w:szCs w:val="32"/>
        </w:rPr>
        <w:t>”，努力实现问题商户提档升蓝牌，争创入红牌，确保街区内黑牌企业数为0，蓝牌企业数不低于95%，红牌企业数不低于50%。</w:t>
      </w: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责任单位</w:t>
      </w: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区市场监管局牵头，</w:t>
      </w:r>
      <w:r>
        <w:rPr>
          <w:rFonts w:hint="eastAsia" w:ascii="Times New Roman" w:hAnsi="Times New Roman" w:eastAsia="楷体_GB2312" w:cs="楷体_GB2312"/>
          <w:sz w:val="32"/>
          <w:szCs w:val="32"/>
        </w:rPr>
        <w:t>区综合行政执法局</w:t>
      </w:r>
      <w:r>
        <w:rPr>
          <w:rFonts w:hint="eastAsia" w:ascii="Times New Roman" w:hAnsi="Times New Roman" w:eastAsia="楷体_GB2312" w:cs="楷体_GB2312"/>
          <w:sz w:val="32"/>
          <w:szCs w:val="32"/>
          <w:lang w:val="en-US" w:eastAsia="zh-CN"/>
        </w:rPr>
        <w:t>、马尚街道</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区直相关部门配合</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lang w:val="en-US" w:eastAsia="zh-CN"/>
        </w:rPr>
        <w:t>完成时间：2021年12月</w:t>
      </w:r>
      <w:r>
        <w:rPr>
          <w:rFonts w:hint="eastAsia" w:ascii="Times New Roman" w:hAnsi="Times New Roman" w:eastAsia="楷体_GB2312" w:cs="楷体_GB2312"/>
          <w:sz w:val="32"/>
          <w:szCs w:val="32"/>
        </w:rPr>
        <w:t>）</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highlight w:val="none"/>
        </w:rPr>
      </w:pPr>
      <w:r>
        <w:rPr>
          <w:rFonts w:hint="eastAsia" w:ascii="Times New Roman" w:hAnsi="Times New Roman" w:eastAsia="楷体_GB2312" w:cs="楷体_GB2312"/>
          <w:b w:val="0"/>
          <w:bCs/>
          <w:sz w:val="32"/>
          <w:szCs w:val="32"/>
        </w:rPr>
        <w:t>（六）开展“诚信经营示范店”评选</w:t>
      </w:r>
      <w:r>
        <w:rPr>
          <w:rFonts w:hint="eastAsia" w:ascii="Times New Roman" w:hAnsi="Times New Roman" w:eastAsia="楷体_GB2312" w:cs="楷体_GB2312"/>
          <w:b w:val="0"/>
          <w:bCs/>
          <w:sz w:val="32"/>
          <w:szCs w:val="32"/>
          <w:lang w:eastAsia="zh-CN"/>
        </w:rPr>
        <w:t>。</w:t>
      </w:r>
      <w:r>
        <w:rPr>
          <w:rFonts w:hint="eastAsia" w:ascii="Times New Roman" w:hAnsi="Times New Roman" w:eastAsia="仿宋_GB2312" w:cs="仿宋_GB2312"/>
          <w:color w:val="auto"/>
          <w:sz w:val="32"/>
          <w:szCs w:val="32"/>
          <w:highlight w:val="none"/>
        </w:rPr>
        <w:t>开展诚信经营示范街区创建工作复审验收，依据综合检查执法问题整改情况、信用大数据画像自动评分模型</w:t>
      </w:r>
      <w:r>
        <w:rPr>
          <w:rFonts w:hint="eastAsia" w:ascii="Times New Roman" w:hAnsi="Times New Roman" w:eastAsia="仿宋_GB2312" w:cs="仿宋_GB2312"/>
          <w:color w:val="auto"/>
          <w:sz w:val="32"/>
          <w:szCs w:val="32"/>
          <w:highlight w:val="none"/>
          <w:lang w:eastAsia="zh-CN"/>
        </w:rPr>
        <w:t>及</w:t>
      </w:r>
      <w:r>
        <w:rPr>
          <w:rFonts w:hint="eastAsia" w:ascii="Times New Roman" w:hAnsi="Times New Roman" w:eastAsia="仿宋_GB2312" w:cs="仿宋_GB2312"/>
          <w:color w:val="auto"/>
          <w:sz w:val="32"/>
          <w:szCs w:val="32"/>
          <w:highlight w:val="none"/>
        </w:rPr>
        <w:t>消费者投票情况，在红牌商户中评选出</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0家诚信经营示范店。（</w:t>
      </w:r>
      <w:r>
        <w:rPr>
          <w:rFonts w:hint="eastAsia" w:ascii="Times New Roman" w:hAnsi="Times New Roman" w:eastAsia="楷体_GB2312" w:cs="楷体_GB2312"/>
          <w:color w:val="auto"/>
          <w:sz w:val="32"/>
          <w:szCs w:val="32"/>
          <w:highlight w:val="none"/>
          <w:lang w:val="en-US" w:eastAsia="zh-CN"/>
        </w:rPr>
        <w:t>责任单位</w:t>
      </w:r>
      <w:r>
        <w:rPr>
          <w:rFonts w:hint="eastAsia" w:ascii="Times New Roman" w:hAnsi="Times New Roman" w:eastAsia="楷体_GB2312" w:cs="楷体_GB2312"/>
          <w:color w:val="auto"/>
          <w:sz w:val="32"/>
          <w:szCs w:val="32"/>
          <w:highlight w:val="none"/>
        </w:rPr>
        <w:t>：</w:t>
      </w:r>
      <w:r>
        <w:rPr>
          <w:rFonts w:hint="eastAsia" w:ascii="Times New Roman" w:hAnsi="Times New Roman" w:eastAsia="楷体_GB2312" w:cs="楷体_GB2312"/>
          <w:color w:val="auto"/>
          <w:sz w:val="32"/>
          <w:szCs w:val="32"/>
          <w:highlight w:val="none"/>
          <w:lang w:val="en-US" w:eastAsia="zh-CN"/>
        </w:rPr>
        <w:t>区发展改革局牵头，</w:t>
      </w:r>
      <w:r>
        <w:rPr>
          <w:rFonts w:hint="eastAsia" w:ascii="Times New Roman" w:hAnsi="Times New Roman" w:eastAsia="楷体_GB2312" w:cs="楷体_GB2312"/>
          <w:color w:val="auto"/>
          <w:sz w:val="32"/>
          <w:szCs w:val="32"/>
          <w:highlight w:val="none"/>
        </w:rPr>
        <w:t>区市场监管局</w:t>
      </w:r>
      <w:r>
        <w:rPr>
          <w:rFonts w:hint="eastAsia" w:ascii="Times New Roman" w:hAnsi="Times New Roman" w:eastAsia="楷体_GB2312" w:cs="楷体_GB2312"/>
          <w:color w:val="auto"/>
          <w:sz w:val="32"/>
          <w:szCs w:val="32"/>
          <w:highlight w:val="none"/>
          <w:lang w:eastAsia="zh-CN"/>
        </w:rPr>
        <w:t>、</w:t>
      </w:r>
      <w:r>
        <w:rPr>
          <w:rFonts w:hint="eastAsia" w:ascii="Times New Roman" w:hAnsi="Times New Roman" w:eastAsia="楷体_GB2312" w:cs="楷体_GB2312"/>
          <w:color w:val="auto"/>
          <w:sz w:val="32"/>
          <w:szCs w:val="32"/>
          <w:highlight w:val="none"/>
          <w:lang w:val="en-US" w:eastAsia="zh-CN"/>
        </w:rPr>
        <w:t>区综合行政执法局配合；完成时间：实时推进</w:t>
      </w:r>
      <w:r>
        <w:rPr>
          <w:rFonts w:hint="eastAsia" w:ascii="Times New Roman" w:hAnsi="Times New Roman" w:eastAsia="楷体_GB2312" w:cs="楷体_GB2312"/>
          <w:color w:val="auto"/>
          <w:sz w:val="32"/>
          <w:szCs w:val="32"/>
          <w:highlight w:val="none"/>
        </w:rPr>
        <w:t>）</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b w:val="0"/>
          <w:bCs/>
          <w:sz w:val="32"/>
          <w:szCs w:val="32"/>
        </w:rPr>
        <w:t>（七）实施表彰激励</w:t>
      </w:r>
      <w:r>
        <w:rPr>
          <w:rFonts w:hint="eastAsia" w:ascii="Times New Roman" w:hAnsi="Times New Roman" w:eastAsia="楷体_GB2312" w:cs="楷体_GB2312"/>
          <w:b w:val="0"/>
          <w:bCs/>
          <w:sz w:val="32"/>
          <w:szCs w:val="32"/>
          <w:lang w:eastAsia="zh-CN"/>
        </w:rPr>
        <w:t>。</w:t>
      </w:r>
      <w:r>
        <w:rPr>
          <w:rFonts w:hint="eastAsia" w:ascii="Times New Roman" w:hAnsi="Times New Roman" w:eastAsia="仿宋_GB2312" w:cs="仿宋_GB2312"/>
          <w:sz w:val="32"/>
          <w:szCs w:val="32"/>
        </w:rPr>
        <w:t>经复审验收达标后，召开诚信经营示范街试点创建成功总结大会，对创建试点街区正式授予“诚信经营示范街”标识牌，向社会发布街区内诚信示范经营店名单，并将之推送给金融机构、政务服务中心、商务部门、新闻媒体，在信贷、纳税、办理许可、专项资金奖补、宣传推广等方面实施守信联合激励。</w:t>
      </w:r>
      <w:r>
        <w:rPr>
          <w:rFonts w:hint="eastAsia" w:ascii="Times New Roman" w:hAnsi="Times New Roman" w:eastAsia="楷体_GB2312" w:cs="楷体_GB2312"/>
          <w:sz w:val="32"/>
          <w:szCs w:val="32"/>
        </w:rPr>
        <w:t>（责任</w:t>
      </w:r>
      <w:r>
        <w:rPr>
          <w:rFonts w:hint="eastAsia" w:ascii="Times New Roman" w:hAnsi="Times New Roman" w:eastAsia="楷体_GB2312" w:cs="楷体_GB2312"/>
          <w:sz w:val="32"/>
          <w:szCs w:val="32"/>
          <w:lang w:val="en-US" w:eastAsia="zh-CN"/>
        </w:rPr>
        <w:t>单位</w:t>
      </w: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区发展改革局牵头，区综合行政执法局、区市场监管局、区委宣传部、马尚街道</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区直相关部门配合</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lang w:val="en-US" w:eastAsia="zh-CN"/>
        </w:rPr>
        <w:t>完成时间：实时推进</w:t>
      </w:r>
      <w:r>
        <w:rPr>
          <w:rFonts w:hint="eastAsia" w:ascii="Times New Roman" w:hAnsi="Times New Roman" w:eastAsia="楷体_GB2312" w:cs="楷体_GB2312"/>
          <w:sz w:val="32"/>
          <w:szCs w:val="32"/>
        </w:rPr>
        <w:t>）</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黑体"/>
          <w:sz w:val="32"/>
          <w:szCs w:val="32"/>
        </w:rPr>
      </w:pPr>
      <w:r>
        <w:rPr>
          <w:rFonts w:hint="eastAsia" w:ascii="Times New Roman" w:hAnsi="Times New Roman" w:eastAsia="黑体"/>
          <w:sz w:val="32"/>
          <w:szCs w:val="32"/>
          <w:lang w:val="en-US" w:eastAsia="zh-CN"/>
        </w:rPr>
        <w:t>五、</w:t>
      </w:r>
      <w:r>
        <w:rPr>
          <w:rFonts w:hint="eastAsia" w:ascii="Times New Roman" w:hAnsi="Times New Roman" w:eastAsia="黑体"/>
          <w:sz w:val="32"/>
          <w:szCs w:val="32"/>
        </w:rPr>
        <w:t>有关要求</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各相关部门要在区社会信用体系建设联席会议</w:t>
      </w:r>
      <w:r>
        <w:rPr>
          <w:rFonts w:hint="eastAsia" w:ascii="Times New Roman" w:hAnsi="Times New Roman" w:eastAsia="仿宋_GB2312" w:cs="仿宋_GB2312"/>
          <w:sz w:val="32"/>
          <w:szCs w:val="32"/>
        </w:rPr>
        <w:t>协调下，对照工作职责，强化协同配合，指导和督促下级对口部门按时序进度要求抓好各项节点任务落实。</w:t>
      </w:r>
      <w:r>
        <w:rPr>
          <w:rFonts w:hint="eastAsia" w:ascii="Times New Roman" w:hAnsi="Times New Roman" w:eastAsia="仿宋_GB2312" w:cs="仿宋_GB2312"/>
          <w:sz w:val="32"/>
          <w:szCs w:val="32"/>
          <w:lang w:val="en-US" w:eastAsia="zh-CN"/>
        </w:rPr>
        <w:t>示范区所在街道办要</w:t>
      </w:r>
      <w:r>
        <w:rPr>
          <w:rFonts w:hint="eastAsia" w:ascii="Times New Roman" w:hAnsi="Times New Roman" w:eastAsia="仿宋_GB2312" w:cs="仿宋_GB2312"/>
          <w:sz w:val="32"/>
          <w:szCs w:val="32"/>
        </w:rPr>
        <w:t>广泛动员社区党员干部、志愿者等力量，开展入户敲门行动，加大宣传倡议力度，争取基层群众、广大消费者对诚信示范街区试点创建工作的大力支持。年度创建工作结束后，要及时总结创建成果，加强媒体宣传报道，树立商户诚信经营观念，建立健全常态化工作机制，持续形成诚信经营的社会风气和文化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本方案</w:t>
      </w:r>
      <w:r>
        <w:rPr>
          <w:rFonts w:hint="eastAsia" w:ascii="Times New Roman" w:hAnsi="Times New Roman" w:eastAsia="仿宋_GB2312" w:cs="Times New Roman"/>
          <w:sz w:val="32"/>
          <w:szCs w:val="32"/>
          <w:lang w:eastAsia="zh-CN"/>
        </w:rPr>
        <w:t>自</w:t>
      </w:r>
      <w:r>
        <w:rPr>
          <w:rFonts w:hint="eastAsia" w:ascii="Times New Roman" w:hAnsi="Times New Roman" w:eastAsia="仿宋_GB2312" w:cs="Times New Roman"/>
          <w:b w:val="0"/>
          <w:bCs/>
          <w:color w:val="auto"/>
          <w:sz w:val="32"/>
          <w:szCs w:val="32"/>
          <w:highlight w:val="none"/>
          <w:shd w:val="clear" w:color="auto" w:fill="auto"/>
          <w:lang w:val="en-US" w:eastAsia="zh-CN"/>
        </w:rPr>
        <w:t>2022年2月1日起试行，有效期至2023年2月1日。</w:t>
      </w:r>
    </w:p>
    <w:p>
      <w:pPr>
        <w:pStyle w:val="12"/>
        <w:rPr>
          <w:rFonts w:ascii="Times New Roman" w:hAnsi="Times New Roman" w:eastAsia="仿宋"/>
          <w:sz w:val="32"/>
          <w:szCs w:val="32"/>
        </w:rPr>
      </w:pPr>
    </w:p>
    <w:p>
      <w:pPr>
        <w:rPr>
          <w:rFonts w:ascii="Times New Roman" w:hAnsi="Times New Roman" w:eastAsia="仿宋"/>
          <w:sz w:val="32"/>
          <w:szCs w:val="32"/>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480" w:lineRule="exact"/>
        <w:rPr>
          <w:rFonts w:ascii="Times New Roman" w:hAnsi="Times New Roman" w:eastAsia="仿宋_GB2312" w:cs="Times New Roman"/>
          <w:color w:val="auto"/>
          <w:szCs w:val="32"/>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480" w:lineRule="exact"/>
        <w:rPr>
          <w:rFonts w:ascii="Times New Roman" w:hAnsi="Times New Roman" w:eastAsia="仿宋_GB2312"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center"/>
        <w:rPr>
          <w:rFonts w:hint="eastAsia" w:ascii="仿宋" w:hAnsi="仿宋" w:eastAsia="仿宋_GB2312"/>
          <w:color w:val="auto"/>
          <w:sz w:val="28"/>
          <w:szCs w:val="28"/>
          <w:lang w:eastAsia="zh-CN"/>
        </w:rPr>
      </w:pPr>
      <w:r>
        <w:rPr>
          <w:rFonts w:ascii="Times New Roman" w:hAnsi="Times New Roman" w:eastAsia="仿宋_GB2312" w:cs="Times New Roman"/>
          <w:color w:val="auto"/>
          <w:sz w:val="28"/>
          <w:szCs w:val="28"/>
        </w:rPr>
        <w:t>抄送：区委办公室，区人大常委会办公室，区政协办公室，</w:t>
      </w:r>
      <w:r>
        <w:rPr>
          <w:rFonts w:hint="eastAsia" w:ascii="仿宋" w:hAnsi="仿宋" w:eastAsia="仿宋_GB2312"/>
          <w:color w:val="auto"/>
          <w:sz w:val="28"/>
          <w:szCs w:val="28"/>
          <w:lang w:eastAsia="zh-CN"/>
        </w:rPr>
        <w:t>区监委，</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center"/>
        <w:rPr>
          <w:rFonts w:ascii="Times New Roman" w:hAnsi="Times New Roman" w:eastAsia="仿宋_GB2312" w:cs="Times New Roman"/>
          <w:color w:val="auto"/>
          <w:szCs w:val="32"/>
        </w:rPr>
      </w:pPr>
      <w:r>
        <w:rPr>
          <w:rFonts w:ascii="Times New Roman" w:hAnsi="Times New Roman" w:eastAsia="仿宋_GB2312" w:cs="Times New Roman"/>
          <w:color w:val="auto"/>
          <w:sz w:val="28"/>
          <w:szCs w:val="28"/>
        </w:rPr>
        <w:t>区法院，区检察院。</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ind w:firstLine="280" w:firstLineChars="100"/>
        <w:textAlignment w:val="center"/>
        <w:rPr>
          <w:rFonts w:ascii="Times New Roman" w:hAnsi="Times New Roman" w:eastAsia="仿宋"/>
          <w:sz w:val="32"/>
          <w:szCs w:val="32"/>
        </w:rPr>
      </w:pPr>
      <w:r>
        <w:rPr>
          <w:rFonts w:ascii="Times New Roman" w:hAnsi="Times New Roman" w:eastAsia="仿宋_GB2312" w:cs="Times New Roman"/>
          <w:color w:val="auto"/>
          <w:sz w:val="28"/>
          <w:szCs w:val="28"/>
        </w:rPr>
        <w:t>淄博市张店区人民政府办公室            2021年1</w:t>
      </w:r>
      <w:r>
        <w:rPr>
          <w:rFonts w:hint="eastAsia" w:ascii="Times New Roman" w:hAnsi="Times New Roman" w:eastAsia="仿宋_GB2312" w:cs="Times New Roman"/>
          <w:color w:val="auto"/>
          <w:sz w:val="28"/>
          <w:szCs w:val="28"/>
          <w:lang w:val="en-US" w:eastAsia="zh-CN"/>
        </w:rPr>
        <w:t>2</w:t>
      </w:r>
      <w:r>
        <w:rPr>
          <w:rFonts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31</w:t>
      </w:r>
      <w:r>
        <w:rPr>
          <w:rFonts w:ascii="Times New Roman" w:hAnsi="Times New Roman" w:eastAsia="仿宋_GB2312" w:cs="Times New Roman"/>
          <w:color w:val="auto"/>
          <w:sz w:val="28"/>
          <w:szCs w:val="28"/>
        </w:rPr>
        <w:t>日印发</w:t>
      </w:r>
    </w:p>
    <w:p>
      <w:pPr>
        <w:widowControl w:val="0"/>
        <w:spacing w:after="0" w:afterLines="0" w:line="560" w:lineRule="exact"/>
        <w:jc w:val="both"/>
        <w:rPr>
          <w:rFonts w:hint="eastAsia" w:ascii="仿宋" w:hAnsi="仿宋" w:eastAsia="仿宋_GB2312" w:cs="仿宋_GB2312"/>
          <w:sz w:val="32"/>
          <w:szCs w:val="32"/>
        </w:rPr>
      </w:pPr>
    </w:p>
    <w:p>
      <w:pPr>
        <w:widowControl w:val="0"/>
        <w:spacing w:after="0" w:afterLines="0" w:line="560" w:lineRule="exact"/>
        <w:jc w:val="center"/>
        <w:rPr>
          <w:rFonts w:ascii="仿宋" w:hAnsi="仿宋" w:eastAsia="仿宋_GB2312" w:cs="仿宋_GB2312"/>
          <w:sz w:val="32"/>
          <w:szCs w:val="32"/>
        </w:rPr>
      </w:pPr>
      <w:r>
        <w:rPr>
          <w:rFonts w:hint="eastAsia" w:ascii="仿宋" w:hAnsi="仿宋" w:eastAsia="仿宋_GB2312" w:cs="仿宋_GB2312"/>
          <w:sz w:val="32"/>
          <w:szCs w:val="32"/>
        </w:rPr>
        <w:t>张政字〔2021〕</w:t>
      </w:r>
      <w:r>
        <w:rPr>
          <w:rFonts w:hint="eastAsia" w:ascii="仿宋" w:hAnsi="仿宋" w:eastAsia="仿宋_GB2312" w:cs="仿宋_GB2312"/>
          <w:sz w:val="32"/>
          <w:szCs w:val="32"/>
          <w:lang w:val="en-US" w:eastAsia="zh-CN"/>
        </w:rPr>
        <w:t>95</w:t>
      </w:r>
      <w:r>
        <w:rPr>
          <w:rFonts w:hint="eastAsia" w:ascii="仿宋" w:hAnsi="仿宋" w:eastAsia="仿宋_GB2312" w:cs="仿宋_GB2312"/>
          <w:sz w:val="32"/>
          <w:szCs w:val="32"/>
        </w:rPr>
        <w:t>号</w:t>
      </w:r>
    </w:p>
    <w:p>
      <w:pPr>
        <w:pStyle w:val="8"/>
        <w:widowControl w:val="0"/>
        <w:spacing w:after="0" w:afterLines="0" w:line="560" w:lineRule="exact"/>
        <w:ind w:firstLine="320"/>
        <w:jc w:val="center"/>
        <w:rPr>
          <w:rFonts w:ascii="仿宋" w:hAnsi="仿宋" w:cs="仿宋_GB2312"/>
          <w:sz w:val="32"/>
          <w:szCs w:val="32"/>
        </w:rPr>
      </w:pPr>
    </w:p>
    <w:p>
      <w:pPr>
        <w:widowControl w:val="0"/>
        <w:spacing w:after="0" w:afterLines="0" w:line="560" w:lineRule="exact"/>
        <w:jc w:val="center"/>
        <w:rPr>
          <w:rFonts w:ascii="仿宋" w:hAnsi="仿宋" w:eastAsia="仿宋_GB2312" w:cs="方正小标宋简体"/>
          <w:sz w:val="32"/>
          <w:szCs w:val="32"/>
        </w:rPr>
      </w:pPr>
    </w:p>
    <w:p>
      <w:pPr>
        <w:widowControl w:val="0"/>
        <w:spacing w:after="0" w:afterLines="0" w:line="560" w:lineRule="exact"/>
        <w:jc w:val="center"/>
        <w:outlineLvl w:val="0"/>
        <w:rPr>
          <w:rFonts w:ascii="仿宋" w:hAnsi="仿宋" w:eastAsia="方正小标宋简体" w:cs="方正小标宋简体"/>
          <w:sz w:val="44"/>
          <w:szCs w:val="44"/>
        </w:rPr>
      </w:pPr>
      <w:r>
        <w:rPr>
          <w:rFonts w:hint="eastAsia" w:ascii="仿宋" w:hAnsi="仿宋" w:eastAsia="方正小标宋简体" w:cs="方正小标宋简体"/>
          <w:sz w:val="44"/>
          <w:szCs w:val="44"/>
        </w:rPr>
        <w:t>张店区人民政府关于印发</w:t>
      </w:r>
    </w:p>
    <w:p>
      <w:pPr>
        <w:widowControl w:val="0"/>
        <w:spacing w:after="0" w:afterLines="0" w:line="560" w:lineRule="exact"/>
        <w:jc w:val="center"/>
        <w:outlineLvl w:val="0"/>
        <w:rPr>
          <w:rFonts w:ascii="仿宋" w:hAnsi="仿宋" w:eastAsia="方正小标宋简体" w:cs="方正小标宋简体"/>
          <w:sz w:val="44"/>
          <w:szCs w:val="44"/>
        </w:rPr>
      </w:pPr>
      <w:r>
        <w:rPr>
          <w:rFonts w:hint="eastAsia" w:ascii="仿宋" w:hAnsi="仿宋" w:eastAsia="方正小标宋简体" w:cs="方正小标宋简体"/>
          <w:sz w:val="44"/>
          <w:szCs w:val="44"/>
        </w:rPr>
        <w:t>《张店区突发事件总体应急预案》的通知</w:t>
      </w:r>
    </w:p>
    <w:p>
      <w:pPr>
        <w:widowControl w:val="0"/>
        <w:spacing w:after="0" w:afterLines="0" w:line="560" w:lineRule="exact"/>
        <w:jc w:val="both"/>
        <w:rPr>
          <w:rFonts w:ascii="仿宋" w:hAnsi="仿宋" w:eastAsia="仿宋_GB2312" w:cs="方正小标宋简体"/>
          <w:sz w:val="32"/>
          <w:szCs w:val="32"/>
        </w:rPr>
      </w:pPr>
    </w:p>
    <w:p>
      <w:pPr>
        <w:widowControl w:val="0"/>
        <w:spacing w:after="0" w:afterLines="0" w:line="560" w:lineRule="exact"/>
        <w:jc w:val="both"/>
        <w:rPr>
          <w:rFonts w:ascii="仿宋" w:hAnsi="仿宋" w:eastAsia="仿宋_GB2312" w:cs="仿宋_GB2312"/>
          <w:sz w:val="32"/>
          <w:szCs w:val="32"/>
        </w:rPr>
      </w:pPr>
      <w:r>
        <w:rPr>
          <w:rFonts w:hint="eastAsia" w:ascii="仿宋" w:hAnsi="仿宋" w:eastAsia="仿宋_GB2312" w:cs="仿宋_GB2312"/>
          <w:sz w:val="32"/>
          <w:szCs w:val="32"/>
        </w:rPr>
        <w:t>各镇</w:t>
      </w:r>
      <w:r>
        <w:rPr>
          <w:rFonts w:hint="eastAsia" w:ascii="仿宋" w:hAnsi="仿宋" w:eastAsia="仿宋_GB2312" w:cs="仿宋_GB2312"/>
          <w:sz w:val="32"/>
          <w:szCs w:val="32"/>
          <w:lang w:eastAsia="zh-CN"/>
        </w:rPr>
        <w:t>政府、街道办事处</w:t>
      </w:r>
      <w:r>
        <w:rPr>
          <w:rFonts w:hint="eastAsia" w:ascii="仿宋" w:hAnsi="仿宋" w:eastAsia="仿宋_GB2312" w:cs="仿宋_GB2312"/>
          <w:sz w:val="32"/>
          <w:szCs w:val="32"/>
        </w:rPr>
        <w:t>，区政府各部门，各有关单位：</w:t>
      </w:r>
    </w:p>
    <w:p>
      <w:pPr>
        <w:widowControl w:val="0"/>
        <w:spacing w:after="0" w:afterLines="0" w:line="560" w:lineRule="exact"/>
        <w:ind w:firstLine="640" w:firstLineChars="200"/>
        <w:jc w:val="both"/>
        <w:rPr>
          <w:rFonts w:ascii="仿宋" w:hAnsi="仿宋" w:eastAsia="仿宋_GB2312" w:cs="仿宋_GB2312"/>
          <w:sz w:val="32"/>
          <w:szCs w:val="32"/>
        </w:rPr>
      </w:pPr>
      <w:r>
        <w:rPr>
          <w:rFonts w:hint="eastAsia" w:ascii="仿宋" w:hAnsi="仿宋" w:eastAsia="仿宋_GB2312" w:cs="仿宋_GB2312"/>
          <w:sz w:val="32"/>
          <w:szCs w:val="32"/>
        </w:rPr>
        <w:t>《张店区突发事件总体应急预案》已经区政府同意，现印发给你们，请认真遵照执行。</w:t>
      </w:r>
    </w:p>
    <w:p>
      <w:pPr>
        <w:widowControl w:val="0"/>
        <w:spacing w:after="0" w:afterLines="0" w:line="560" w:lineRule="exact"/>
        <w:jc w:val="both"/>
        <w:rPr>
          <w:rFonts w:ascii="仿宋" w:hAnsi="仿宋" w:eastAsia="仿宋_GB2312" w:cs="仿宋_GB2312"/>
          <w:sz w:val="32"/>
          <w:szCs w:val="32"/>
        </w:rPr>
      </w:pPr>
    </w:p>
    <w:p>
      <w:pPr>
        <w:pStyle w:val="2"/>
        <w:widowControl w:val="0"/>
        <w:spacing w:after="0" w:afterLines="0" w:line="560" w:lineRule="exact"/>
        <w:jc w:val="both"/>
        <w:rPr>
          <w:rFonts w:ascii="仿宋" w:hAnsi="仿宋" w:eastAsia="仿宋_GB2312"/>
          <w:sz w:val="32"/>
          <w:szCs w:val="32"/>
        </w:rPr>
      </w:pPr>
    </w:p>
    <w:p>
      <w:pPr>
        <w:widowControl w:val="0"/>
        <w:wordWrap/>
        <w:spacing w:after="0" w:afterLines="0" w:line="560" w:lineRule="exact"/>
        <w:jc w:val="center"/>
        <w:rPr>
          <w:rFonts w:hint="eastAsia" w:ascii="仿宋" w:hAnsi="仿宋" w:eastAsia="仿宋_GB2312" w:cs="仿宋_GB2312"/>
          <w:sz w:val="32"/>
          <w:szCs w:val="32"/>
        </w:rPr>
      </w:pPr>
      <w:r>
        <w:rPr>
          <w:rFonts w:hint="eastAsia" w:ascii="仿宋" w:hAnsi="仿宋" w:eastAsia="仿宋_GB2312" w:cs="仿宋_GB2312"/>
          <w:sz w:val="32"/>
          <w:szCs w:val="32"/>
          <w:lang w:val="en-US" w:eastAsia="zh-CN"/>
        </w:rPr>
        <w:t xml:space="preserve">                  </w:t>
      </w:r>
      <w:r>
        <w:rPr>
          <w:rFonts w:hint="eastAsia" w:ascii="仿宋" w:hAnsi="仿宋" w:eastAsia="仿宋_GB2312" w:cs="仿宋_GB2312"/>
          <w:sz w:val="32"/>
          <w:szCs w:val="32"/>
          <w:lang w:eastAsia="zh-CN"/>
        </w:rPr>
        <w:t>淄博市</w:t>
      </w:r>
      <w:r>
        <w:rPr>
          <w:rFonts w:hint="eastAsia" w:ascii="仿宋" w:hAnsi="仿宋" w:eastAsia="仿宋_GB2312" w:cs="仿宋_GB2312"/>
          <w:sz w:val="32"/>
          <w:szCs w:val="32"/>
        </w:rPr>
        <w:t>张店区人民政府</w:t>
      </w:r>
      <w:r>
        <w:rPr>
          <w:rFonts w:hint="eastAsia" w:ascii="仿宋" w:hAnsi="仿宋" w:eastAsia="仿宋_GB2312" w:cs="仿宋_GB2312"/>
          <w:sz w:val="32"/>
          <w:szCs w:val="32"/>
          <w:lang w:val="en-US" w:eastAsia="zh-CN"/>
        </w:rPr>
        <w:t xml:space="preserve">      </w:t>
      </w:r>
      <w:r>
        <w:rPr>
          <w:rFonts w:hint="eastAsia" w:ascii="仿宋" w:hAnsi="仿宋" w:eastAsia="仿宋_GB2312" w:cs="仿宋_GB2312"/>
          <w:sz w:val="32"/>
          <w:szCs w:val="32"/>
        </w:rPr>
        <w:t xml:space="preserve">                        </w:t>
      </w:r>
    </w:p>
    <w:p>
      <w:pPr>
        <w:widowControl w:val="0"/>
        <w:wordWrap/>
        <w:spacing w:after="0" w:afterLines="0" w:line="560" w:lineRule="exact"/>
        <w:jc w:val="center"/>
        <w:rPr>
          <w:rFonts w:hint="default" w:ascii="仿宋" w:hAnsi="仿宋" w:eastAsia="仿宋_GB2312" w:cs="仿宋_GB2312"/>
          <w:sz w:val="32"/>
          <w:szCs w:val="32"/>
          <w:lang w:val="en-US" w:eastAsia="zh-CN"/>
        </w:rPr>
      </w:pPr>
      <w:r>
        <w:rPr>
          <w:rFonts w:hint="eastAsia" w:ascii="仿宋" w:hAnsi="仿宋" w:eastAsia="仿宋_GB2312" w:cs="仿宋_GB2312"/>
          <w:sz w:val="32"/>
          <w:szCs w:val="32"/>
          <w:lang w:val="en-US" w:eastAsia="zh-CN"/>
        </w:rPr>
        <w:t xml:space="preserve">                   </w:t>
      </w:r>
      <w:r>
        <w:rPr>
          <w:rFonts w:hint="eastAsia" w:ascii="仿宋" w:hAnsi="仿宋" w:eastAsia="仿宋_GB2312" w:cs="仿宋_GB2312"/>
          <w:sz w:val="32"/>
          <w:szCs w:val="32"/>
        </w:rPr>
        <w:t>2021年12月</w:t>
      </w:r>
      <w:r>
        <w:rPr>
          <w:rFonts w:hint="eastAsia" w:ascii="仿宋" w:hAnsi="仿宋" w:eastAsia="仿宋_GB2312" w:cs="仿宋_GB2312"/>
          <w:sz w:val="32"/>
          <w:szCs w:val="32"/>
          <w:lang w:val="en-US" w:eastAsia="zh-CN"/>
        </w:rPr>
        <w:t>31</w:t>
      </w:r>
      <w:r>
        <w:rPr>
          <w:rFonts w:hint="eastAsia" w:ascii="仿宋" w:hAnsi="仿宋" w:eastAsia="仿宋_GB2312" w:cs="仿宋_GB2312"/>
          <w:sz w:val="32"/>
          <w:szCs w:val="32"/>
        </w:rPr>
        <w:t>日</w:t>
      </w:r>
    </w:p>
    <w:p>
      <w:pPr>
        <w:widowControl w:val="0"/>
        <w:spacing w:after="0" w:afterLines="0" w:line="560" w:lineRule="exact"/>
        <w:ind w:firstLine="640" w:firstLineChars="200"/>
        <w:jc w:val="both"/>
        <w:rPr>
          <w:rFonts w:ascii="仿宋" w:hAnsi="仿宋" w:eastAsia="仿宋_GB2312" w:cs="仿宋_GB2312"/>
          <w:sz w:val="32"/>
          <w:szCs w:val="32"/>
        </w:rPr>
      </w:pPr>
      <w:r>
        <w:rPr>
          <w:rFonts w:hint="eastAsia" w:ascii="仿宋" w:hAnsi="仿宋" w:eastAsia="仿宋_GB2312" w:cs="仿宋_GB2312"/>
          <w:sz w:val="32"/>
          <w:szCs w:val="32"/>
        </w:rPr>
        <w:t>（此件公开发布）</w:t>
      </w:r>
    </w:p>
    <w:p>
      <w:pPr>
        <w:widowControl w:val="0"/>
        <w:spacing w:after="0" w:afterLines="0" w:line="560" w:lineRule="exact"/>
        <w:jc w:val="both"/>
        <w:outlineLvl w:val="0"/>
        <w:rPr>
          <w:rFonts w:ascii="仿宋" w:hAnsi="仿宋" w:eastAsia="仿宋_GB2312"/>
          <w:b/>
          <w:bCs/>
          <w:sz w:val="32"/>
          <w:szCs w:val="32"/>
        </w:rPr>
      </w:pPr>
      <w:bookmarkStart w:id="98" w:name="_Toc29030"/>
      <w:bookmarkStart w:id="99" w:name="_Toc11854"/>
      <w:bookmarkStart w:id="100" w:name="_Toc21577"/>
    </w:p>
    <w:p>
      <w:pPr>
        <w:widowControl w:val="0"/>
        <w:spacing w:after="0" w:afterLines="0" w:line="560" w:lineRule="exact"/>
        <w:jc w:val="both"/>
        <w:outlineLvl w:val="0"/>
        <w:rPr>
          <w:rFonts w:ascii="仿宋" w:hAnsi="仿宋" w:eastAsia="仿宋_GB2312"/>
          <w:b/>
          <w:bCs/>
          <w:sz w:val="32"/>
          <w:szCs w:val="32"/>
        </w:rPr>
      </w:pPr>
    </w:p>
    <w:p>
      <w:pPr>
        <w:widowControl w:val="0"/>
        <w:spacing w:after="0" w:afterLines="0" w:line="560" w:lineRule="exact"/>
        <w:jc w:val="center"/>
        <w:outlineLvl w:val="0"/>
        <w:rPr>
          <w:rFonts w:ascii="仿宋" w:hAnsi="仿宋" w:eastAsia="方正小标宋简体"/>
          <w:bCs/>
          <w:sz w:val="44"/>
          <w:szCs w:val="44"/>
        </w:rPr>
      </w:pPr>
      <w:r>
        <w:rPr>
          <w:rFonts w:hint="eastAsia" w:ascii="仿宋" w:hAnsi="仿宋" w:eastAsia="方正小标宋简体"/>
          <w:bCs/>
          <w:sz w:val="44"/>
          <w:szCs w:val="44"/>
        </w:rPr>
        <w:t>张店区突发事件总体应急预案</w:t>
      </w:r>
    </w:p>
    <w:p>
      <w:pPr>
        <w:widowControl w:val="0"/>
        <w:spacing w:after="0" w:afterLines="0" w:line="560" w:lineRule="exact"/>
        <w:jc w:val="center"/>
        <w:rPr>
          <w:rFonts w:ascii="仿宋" w:hAnsi="仿宋" w:eastAsia="黑体"/>
          <w:bCs/>
          <w:sz w:val="32"/>
          <w:szCs w:val="32"/>
        </w:rPr>
      </w:pPr>
      <w:r>
        <w:rPr>
          <w:rFonts w:hint="eastAsia" w:ascii="仿宋" w:hAnsi="仿宋" w:eastAsia="黑体"/>
          <w:bCs/>
          <w:sz w:val="32"/>
          <w:szCs w:val="32"/>
        </w:rPr>
        <w:t>目  录</w:t>
      </w:r>
    </w:p>
    <w:p>
      <w:pPr>
        <w:pStyle w:val="12"/>
        <w:tabs>
          <w:tab w:val="right" w:leader="dot" w:pos="8296"/>
        </w:tabs>
        <w:adjustRightInd w:val="0"/>
        <w:snapToGrid w:val="0"/>
        <w:spacing w:line="560" w:lineRule="exact"/>
        <w:rPr>
          <w:rFonts w:ascii="宋体" w:hAnsi="宋体" w:eastAsia="黑体"/>
          <w:sz w:val="32"/>
          <w:szCs w:val="32"/>
        </w:rPr>
      </w:pPr>
      <w:r>
        <w:rPr>
          <w:rFonts w:ascii="宋体" w:hAnsi="宋体"/>
        </w:rPr>
        <w:fldChar w:fldCharType="begin"/>
      </w:r>
      <w:r>
        <w:rPr>
          <w:rFonts w:hint="eastAsia" w:ascii="宋体" w:hAnsi="宋体" w:eastAsia="仿宋_GB2312"/>
          <w:sz w:val="32"/>
          <w:szCs w:val="32"/>
        </w:rPr>
        <w:instrText xml:space="preserve">TOC \o "1-3" \h \u </w:instrText>
      </w:r>
      <w:r>
        <w:rPr>
          <w:rFonts w:ascii="宋体" w:hAnsi="宋体"/>
        </w:rPr>
        <w:fldChar w:fldCharType="separate"/>
      </w: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"_Toc55226474" </w:instrText>
      </w:r>
      <w:r>
        <w:rPr>
          <w:rFonts w:ascii="宋体" w:hAnsi="宋体"/>
        </w:rPr>
        <w:fldChar w:fldCharType="separate"/>
      </w:r>
      <w:r>
        <w:rPr>
          <w:rStyle w:val="19"/>
          <w:rFonts w:hint="eastAsia" w:ascii="宋体" w:hAnsi="宋体" w:eastAsia="黑体" w:cs="黑体"/>
          <w:sz w:val="32"/>
          <w:szCs w:val="32"/>
        </w:rPr>
        <w:t>1  总则</w:t>
      </w:r>
      <w:r>
        <w:rPr>
          <w:rStyle w:val="19"/>
          <w:rFonts w:hint="eastAsia" w:ascii="宋体" w:hAnsi="宋体" w:eastAsia="黑体"/>
          <w:sz w:val="32"/>
          <w:szCs w:val="32"/>
        </w:rPr>
        <w:tab/>
      </w:r>
      <w:r>
        <w:rPr>
          <w:rFonts w:ascii="宋体" w:hAnsi="宋体"/>
        </w:rPr>
        <w:fldChar w:fldCharType="begin"/>
      </w:r>
      <w:r>
        <w:rPr>
          <w:rStyle w:val="19"/>
          <w:rFonts w:hint="eastAsia" w:ascii="宋体" w:hAnsi="宋体" w:eastAsia="黑体"/>
          <w:sz w:val="32"/>
          <w:szCs w:val="32"/>
        </w:rPr>
        <w:instrText xml:space="preserve"> PAGEREF _Toc55226474 \h </w:instrText>
      </w:r>
      <w:r>
        <w:rPr>
          <w:rFonts w:ascii="宋体" w:hAnsi="宋体"/>
        </w:rPr>
        <w:fldChar w:fldCharType="separate"/>
      </w:r>
      <w:r>
        <w:rPr>
          <w:rStyle w:val="19"/>
          <w:rFonts w:hint="eastAsia" w:ascii="宋体" w:hAnsi="宋体" w:eastAsia="黑体"/>
          <w:sz w:val="32"/>
          <w:szCs w:val="32"/>
        </w:rPr>
        <w:t>1</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560" w:lineRule="exact"/>
        <w:ind w:left="400" w:leftChars="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"_Toc55226475" </w:instrText>
      </w:r>
      <w:r>
        <w:rPr>
          <w:rFonts w:ascii="宋体" w:hAnsi="宋体"/>
        </w:rPr>
        <w:fldChar w:fldCharType="separate"/>
      </w:r>
      <w:r>
        <w:rPr>
          <w:rStyle w:val="19"/>
          <w:rFonts w:hint="eastAsia" w:ascii="宋体" w:hAnsi="宋体" w:eastAsia="楷体_GB2312"/>
          <w:sz w:val="32"/>
          <w:szCs w:val="32"/>
        </w:rPr>
        <w:t>1.1 适用范围</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_Toc55226475 \h </w:instrText>
      </w:r>
      <w:r>
        <w:rPr>
          <w:rFonts w:ascii="宋体" w:hAnsi="宋体"/>
        </w:rPr>
        <w:fldChar w:fldCharType="separate"/>
      </w:r>
      <w:r>
        <w:rPr>
          <w:rStyle w:val="19"/>
          <w:rFonts w:hint="eastAsia" w:ascii="宋体" w:hAnsi="宋体" w:eastAsia="楷体_GB2312"/>
          <w:sz w:val="32"/>
          <w:szCs w:val="32"/>
        </w:rPr>
        <w:t>1</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560" w:lineRule="exact"/>
        <w:ind w:left="400" w:leftChars="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"_Toc55226476" </w:instrText>
      </w:r>
      <w:r>
        <w:rPr>
          <w:rFonts w:ascii="宋体" w:hAnsi="宋体"/>
        </w:rPr>
        <w:fldChar w:fldCharType="separate"/>
      </w:r>
      <w:r>
        <w:rPr>
          <w:rStyle w:val="19"/>
          <w:rFonts w:hint="eastAsia" w:ascii="宋体" w:hAnsi="宋体" w:eastAsia="楷体_GB2312"/>
          <w:sz w:val="32"/>
          <w:szCs w:val="32"/>
        </w:rPr>
        <w:t>1.2  工作原则</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_Toc55226476 \h </w:instrText>
      </w:r>
      <w:r>
        <w:rPr>
          <w:rFonts w:ascii="宋体" w:hAnsi="宋体"/>
        </w:rPr>
        <w:fldChar w:fldCharType="separate"/>
      </w:r>
      <w:r>
        <w:rPr>
          <w:rStyle w:val="19"/>
          <w:rFonts w:hint="eastAsia" w:ascii="宋体" w:hAnsi="宋体" w:eastAsia="楷体_GB2312"/>
          <w:sz w:val="32"/>
          <w:szCs w:val="32"/>
        </w:rPr>
        <w:t>1</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560" w:lineRule="exact"/>
        <w:ind w:left="400" w:leftChars="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"_Toc55226477" </w:instrText>
      </w:r>
      <w:r>
        <w:rPr>
          <w:rFonts w:ascii="宋体" w:hAnsi="宋体"/>
        </w:rPr>
        <w:fldChar w:fldCharType="separate"/>
      </w:r>
      <w:r>
        <w:rPr>
          <w:rStyle w:val="19"/>
          <w:rFonts w:hint="eastAsia" w:ascii="宋体" w:hAnsi="宋体" w:eastAsia="楷体_GB2312" w:cs="楷体"/>
          <w:sz w:val="32"/>
          <w:szCs w:val="32"/>
        </w:rPr>
        <w:t>1.3  事件分类</w:t>
      </w:r>
      <w:bookmarkStart w:id="101" w:name="_Hlt66972546"/>
      <w:bookmarkStart w:id="102" w:name="_Hlt66972547"/>
      <w:r>
        <w:rPr>
          <w:rStyle w:val="19"/>
          <w:rFonts w:hint="eastAsia" w:ascii="宋体" w:hAnsi="宋体" w:eastAsia="楷体_GB2312" w:cs="楷体"/>
          <w:sz w:val="32"/>
          <w:szCs w:val="32"/>
        </w:rPr>
        <w:t>分</w:t>
      </w:r>
      <w:bookmarkEnd w:id="101"/>
      <w:bookmarkEnd w:id="102"/>
      <w:r>
        <w:rPr>
          <w:rStyle w:val="19"/>
          <w:rFonts w:hint="eastAsia" w:ascii="宋体" w:hAnsi="宋体" w:eastAsia="楷体_GB2312" w:cs="楷体"/>
          <w:sz w:val="32"/>
          <w:szCs w:val="32"/>
        </w:rPr>
        <w:t>级</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_Toc55226477 \h </w:instrText>
      </w:r>
      <w:r>
        <w:rPr>
          <w:rFonts w:ascii="宋体" w:hAnsi="宋体"/>
        </w:rPr>
        <w:fldChar w:fldCharType="separate"/>
      </w:r>
      <w:r>
        <w:rPr>
          <w:rStyle w:val="19"/>
          <w:rFonts w:hint="eastAsia" w:ascii="宋体" w:hAnsi="宋体" w:eastAsia="楷体_GB2312"/>
          <w:sz w:val="32"/>
          <w:szCs w:val="32"/>
        </w:rPr>
        <w:t>1</w:t>
      </w:r>
      <w:r>
        <w:rPr>
          <w:rFonts w:ascii="宋体" w:hAnsi="宋体"/>
        </w:rPr>
        <w:fldChar w:fldCharType="end"/>
      </w:r>
      <w:r>
        <w:rPr>
          <w:rFonts w:ascii="宋体" w:hAnsi="宋体"/>
        </w:rPr>
        <w:fldChar w:fldCharType="end"/>
      </w:r>
    </w:p>
    <w:p>
      <w:pPr>
        <w:pStyle w:val="9"/>
        <w:tabs>
          <w:tab w:val="right" w:leader="dot" w:pos="8296"/>
        </w:tabs>
        <w:adjustRightInd w:val="0"/>
        <w:snapToGrid w:val="0"/>
        <w:spacing w:line="560" w:lineRule="exact"/>
        <w:ind w:left="800" w:leftChars="0"/>
        <w:rPr>
          <w:rFonts w:ascii="宋体" w:hAnsi="宋体" w:eastAsia="仿宋_GB2312"/>
          <w:b/>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"_Toc55226478" </w:instrText>
      </w:r>
      <w:r>
        <w:rPr>
          <w:rFonts w:ascii="宋体" w:hAnsi="宋体"/>
        </w:rPr>
        <w:fldChar w:fldCharType="separate"/>
      </w:r>
      <w:r>
        <w:rPr>
          <w:rStyle w:val="19"/>
          <w:rFonts w:hint="eastAsia" w:ascii="宋体" w:hAnsi="宋体" w:eastAsia="仿宋_GB2312" w:cs="仿宋"/>
          <w:b/>
          <w:bCs/>
          <w:sz w:val="32"/>
          <w:szCs w:val="32"/>
        </w:rPr>
        <w:t>1.3.1突发事件分类</w:t>
      </w:r>
      <w:r>
        <w:rPr>
          <w:rStyle w:val="19"/>
          <w:rFonts w:hint="eastAsia" w:ascii="宋体" w:hAnsi="宋体" w:eastAsia="仿宋_GB2312"/>
          <w:b/>
          <w:sz w:val="32"/>
          <w:szCs w:val="32"/>
        </w:rPr>
        <w:tab/>
      </w:r>
      <w:r>
        <w:rPr>
          <w:rFonts w:ascii="宋体" w:hAnsi="宋体"/>
        </w:rPr>
        <w:fldChar w:fldCharType="begin"/>
      </w:r>
      <w:r>
        <w:rPr>
          <w:rStyle w:val="19"/>
          <w:rFonts w:hint="eastAsia" w:ascii="宋体" w:hAnsi="宋体" w:eastAsia="仿宋_GB2312"/>
          <w:sz w:val="32"/>
          <w:szCs w:val="32"/>
        </w:rPr>
        <w:instrText xml:space="preserve"> PAGEREF _Toc55226478 \h </w:instrText>
      </w:r>
      <w:r>
        <w:rPr>
          <w:rFonts w:ascii="宋体" w:hAnsi="宋体"/>
        </w:rPr>
        <w:fldChar w:fldCharType="separate"/>
      </w:r>
      <w:r>
        <w:rPr>
          <w:rStyle w:val="19"/>
          <w:rFonts w:hint="eastAsia" w:ascii="宋体" w:hAnsi="宋体" w:eastAsia="仿宋_GB2312"/>
          <w:sz w:val="32"/>
          <w:szCs w:val="32"/>
        </w:rPr>
        <w:t>1</w:t>
      </w:r>
      <w:r>
        <w:rPr>
          <w:rFonts w:ascii="宋体" w:hAnsi="宋体"/>
        </w:rPr>
        <w:fldChar w:fldCharType="end"/>
      </w:r>
      <w:r>
        <w:rPr>
          <w:rFonts w:ascii="宋体" w:hAnsi="宋体"/>
        </w:rPr>
        <w:fldChar w:fldCharType="end"/>
      </w:r>
    </w:p>
    <w:p>
      <w:pPr>
        <w:pStyle w:val="9"/>
        <w:tabs>
          <w:tab w:val="right" w:leader="dot" w:pos="8296"/>
        </w:tabs>
        <w:adjustRightInd w:val="0"/>
        <w:snapToGrid w:val="0"/>
        <w:spacing w:line="560" w:lineRule="exact"/>
        <w:ind w:left="800" w:leftChars="0"/>
        <w:rPr>
          <w:rFonts w:ascii="宋体" w:hAnsi="宋体" w:eastAsia="仿宋_GB2312"/>
          <w:b/>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"_Toc55226479" </w:instrText>
      </w:r>
      <w:r>
        <w:rPr>
          <w:rFonts w:ascii="宋体" w:hAnsi="宋体"/>
        </w:rPr>
        <w:fldChar w:fldCharType="separate"/>
      </w:r>
      <w:r>
        <w:rPr>
          <w:rStyle w:val="19"/>
          <w:rFonts w:hint="eastAsia" w:ascii="宋体" w:hAnsi="宋体" w:eastAsia="仿宋_GB2312" w:cs="仿宋"/>
          <w:b/>
          <w:sz w:val="32"/>
          <w:szCs w:val="32"/>
        </w:rPr>
        <w:t>1.3.2突发</w:t>
      </w:r>
      <w:bookmarkStart w:id="103" w:name="_Hlt55226538"/>
      <w:r>
        <w:rPr>
          <w:rStyle w:val="19"/>
          <w:rFonts w:hint="eastAsia" w:ascii="宋体" w:hAnsi="宋体" w:eastAsia="仿宋_GB2312" w:cs="仿宋"/>
          <w:b/>
          <w:sz w:val="32"/>
          <w:szCs w:val="32"/>
        </w:rPr>
        <w:t>事</w:t>
      </w:r>
      <w:bookmarkEnd w:id="103"/>
      <w:r>
        <w:rPr>
          <w:rStyle w:val="19"/>
          <w:rFonts w:hint="eastAsia" w:ascii="宋体" w:hAnsi="宋体" w:eastAsia="仿宋_GB2312" w:cs="仿宋"/>
          <w:b/>
          <w:sz w:val="32"/>
          <w:szCs w:val="32"/>
        </w:rPr>
        <w:t>件分级</w:t>
      </w:r>
      <w:r>
        <w:rPr>
          <w:rStyle w:val="19"/>
          <w:rFonts w:hint="eastAsia" w:ascii="宋体" w:hAnsi="宋体" w:eastAsia="仿宋_GB2312"/>
          <w:b/>
          <w:sz w:val="32"/>
          <w:szCs w:val="32"/>
        </w:rPr>
        <w:tab/>
      </w:r>
      <w:r>
        <w:rPr>
          <w:rFonts w:ascii="宋体" w:hAnsi="宋体"/>
        </w:rPr>
        <w:fldChar w:fldCharType="begin"/>
      </w:r>
      <w:r>
        <w:rPr>
          <w:rStyle w:val="19"/>
          <w:rFonts w:hint="eastAsia" w:ascii="宋体" w:hAnsi="宋体" w:eastAsia="仿宋_GB2312"/>
          <w:sz w:val="32"/>
          <w:szCs w:val="32"/>
        </w:rPr>
        <w:instrText xml:space="preserve"> PAGEREF _Toc55226479 \h </w:instrText>
      </w:r>
      <w:r>
        <w:rPr>
          <w:rFonts w:ascii="宋体" w:hAnsi="宋体"/>
        </w:rPr>
        <w:fldChar w:fldCharType="separate"/>
      </w:r>
      <w:r>
        <w:rPr>
          <w:rStyle w:val="19"/>
          <w:rFonts w:hint="eastAsia" w:ascii="宋体" w:hAnsi="宋体" w:eastAsia="仿宋_GB2312"/>
          <w:sz w:val="32"/>
          <w:szCs w:val="32"/>
        </w:rPr>
        <w:t>2</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560" w:lineRule="exact"/>
        <w:ind w:left="400" w:leftChars="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"_Toc55226480" </w:instrText>
      </w:r>
      <w:r>
        <w:rPr>
          <w:rFonts w:ascii="宋体" w:hAnsi="宋体"/>
        </w:rPr>
        <w:fldChar w:fldCharType="separate"/>
      </w:r>
      <w:r>
        <w:rPr>
          <w:rStyle w:val="19"/>
          <w:rFonts w:hint="eastAsia" w:ascii="宋体" w:hAnsi="宋体" w:eastAsia="楷体_GB2312"/>
          <w:sz w:val="32"/>
          <w:szCs w:val="32"/>
        </w:rPr>
        <w:t>1.4  分级应对</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_Toc55226480 \h </w:instrText>
      </w:r>
      <w:r>
        <w:rPr>
          <w:rFonts w:ascii="宋体" w:hAnsi="宋体"/>
        </w:rPr>
        <w:fldChar w:fldCharType="separate"/>
      </w:r>
      <w:r>
        <w:rPr>
          <w:rStyle w:val="19"/>
          <w:rFonts w:hint="eastAsia" w:ascii="宋体" w:hAnsi="宋体" w:eastAsia="楷体_GB2312"/>
          <w:sz w:val="32"/>
          <w:szCs w:val="32"/>
        </w:rPr>
        <w:t>2</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560" w:lineRule="exact"/>
        <w:ind w:left="400" w:leftChars="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"_Toc55226481" </w:instrText>
      </w:r>
      <w:r>
        <w:rPr>
          <w:rFonts w:ascii="宋体" w:hAnsi="宋体"/>
        </w:rPr>
        <w:fldChar w:fldCharType="separate"/>
      </w:r>
      <w:r>
        <w:rPr>
          <w:rStyle w:val="19"/>
          <w:rFonts w:hint="eastAsia" w:ascii="宋体" w:hAnsi="宋体" w:eastAsia="楷体_GB2312"/>
          <w:sz w:val="32"/>
          <w:szCs w:val="32"/>
        </w:rPr>
        <w:t>1.5  响应分级</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_Toc55226481 \h </w:instrText>
      </w:r>
      <w:r>
        <w:rPr>
          <w:rFonts w:ascii="宋体" w:hAnsi="宋体"/>
        </w:rPr>
        <w:fldChar w:fldCharType="separate"/>
      </w:r>
      <w:r>
        <w:rPr>
          <w:rStyle w:val="19"/>
          <w:rFonts w:hint="eastAsia" w:ascii="宋体" w:hAnsi="宋体" w:eastAsia="楷体_GB2312"/>
          <w:sz w:val="32"/>
          <w:szCs w:val="32"/>
        </w:rPr>
        <w:t>3</w:t>
      </w:r>
      <w:r>
        <w:rPr>
          <w:rFonts w:ascii="宋体" w:hAnsi="宋体"/>
        </w:rPr>
        <w:fldChar w:fldCharType="end"/>
      </w:r>
      <w:r>
        <w:rPr>
          <w:rFonts w:ascii="宋体" w:hAnsi="宋体"/>
        </w:rPr>
        <w:fldChar w:fldCharType="end"/>
      </w:r>
    </w:p>
    <w:p>
      <w:pPr>
        <w:pStyle w:val="12"/>
        <w:tabs>
          <w:tab w:val="right" w:leader="dot" w:pos="8296"/>
        </w:tabs>
        <w:adjustRightInd w:val="0"/>
        <w:snapToGrid w:val="0"/>
        <w:spacing w:line="560" w:lineRule="exact"/>
        <w:rPr>
          <w:rFonts w:ascii="宋体" w:hAnsi="宋体" w:eastAsia="黑体"/>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"_Toc55226482" </w:instrText>
      </w:r>
      <w:r>
        <w:rPr>
          <w:rFonts w:ascii="宋体" w:hAnsi="宋体"/>
        </w:rPr>
        <w:fldChar w:fldCharType="separate"/>
      </w:r>
      <w:r>
        <w:rPr>
          <w:rStyle w:val="19"/>
          <w:rFonts w:hint="eastAsia" w:ascii="宋体" w:hAnsi="宋体" w:eastAsia="黑体" w:cs="黑体"/>
          <w:sz w:val="32"/>
          <w:szCs w:val="32"/>
        </w:rPr>
        <w:t>2  应急预案体系</w:t>
      </w:r>
      <w:r>
        <w:rPr>
          <w:rStyle w:val="19"/>
          <w:rFonts w:hint="eastAsia" w:ascii="宋体" w:hAnsi="宋体" w:eastAsia="黑体"/>
          <w:sz w:val="32"/>
          <w:szCs w:val="32"/>
        </w:rPr>
        <w:tab/>
      </w:r>
      <w:r>
        <w:rPr>
          <w:rFonts w:ascii="宋体" w:hAnsi="宋体"/>
        </w:rPr>
        <w:fldChar w:fldCharType="begin"/>
      </w:r>
      <w:r>
        <w:rPr>
          <w:rStyle w:val="19"/>
          <w:rFonts w:hint="eastAsia" w:ascii="宋体" w:hAnsi="宋体" w:eastAsia="黑体"/>
          <w:sz w:val="32"/>
          <w:szCs w:val="32"/>
        </w:rPr>
        <w:instrText xml:space="preserve"> PAGEREF _Toc55226482 \h </w:instrText>
      </w:r>
      <w:r>
        <w:rPr>
          <w:rFonts w:ascii="宋体" w:hAnsi="宋体"/>
        </w:rPr>
        <w:fldChar w:fldCharType="separate"/>
      </w:r>
      <w:r>
        <w:rPr>
          <w:rStyle w:val="19"/>
          <w:rFonts w:hint="eastAsia" w:ascii="宋体" w:hAnsi="宋体" w:eastAsia="黑体"/>
          <w:sz w:val="32"/>
          <w:szCs w:val="32"/>
        </w:rPr>
        <w:t>4</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560" w:lineRule="exact"/>
        <w:ind w:left="400" w:leftChars="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"_Toc55226483" </w:instrText>
      </w:r>
      <w:r>
        <w:rPr>
          <w:rFonts w:ascii="宋体" w:hAnsi="宋体"/>
        </w:rPr>
        <w:fldChar w:fldCharType="separate"/>
      </w:r>
      <w:r>
        <w:rPr>
          <w:rStyle w:val="19"/>
          <w:rFonts w:hint="eastAsia" w:ascii="宋体" w:hAnsi="宋体" w:eastAsia="楷体_GB2312"/>
          <w:sz w:val="32"/>
          <w:szCs w:val="32"/>
        </w:rPr>
        <w:t>2.1  应急预案</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_Toc55226483 \h </w:instrText>
      </w:r>
      <w:r>
        <w:rPr>
          <w:rFonts w:ascii="宋体" w:hAnsi="宋体"/>
        </w:rPr>
        <w:fldChar w:fldCharType="separate"/>
      </w:r>
      <w:r>
        <w:rPr>
          <w:rStyle w:val="19"/>
          <w:rFonts w:hint="eastAsia" w:ascii="宋体" w:hAnsi="宋体" w:eastAsia="楷体_GB2312"/>
          <w:sz w:val="32"/>
          <w:szCs w:val="32"/>
        </w:rPr>
        <w:t>4</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560" w:lineRule="exact"/>
        <w:ind w:left="400" w:leftChars="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"_Toc55226484" </w:instrText>
      </w:r>
      <w:r>
        <w:rPr>
          <w:rFonts w:ascii="宋体" w:hAnsi="宋体"/>
        </w:rPr>
        <w:fldChar w:fldCharType="separate"/>
      </w:r>
      <w:r>
        <w:rPr>
          <w:rStyle w:val="19"/>
          <w:rFonts w:hint="eastAsia" w:ascii="宋体" w:hAnsi="宋体" w:eastAsia="楷体_GB2312"/>
          <w:sz w:val="32"/>
          <w:szCs w:val="32"/>
        </w:rPr>
        <w:t>2.2  应急预案支撑文件</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_Toc55226484 \h </w:instrText>
      </w:r>
      <w:r>
        <w:rPr>
          <w:rFonts w:ascii="宋体" w:hAnsi="宋体"/>
        </w:rPr>
        <w:fldChar w:fldCharType="separate"/>
      </w:r>
      <w:r>
        <w:rPr>
          <w:rStyle w:val="19"/>
          <w:rFonts w:hint="eastAsia" w:ascii="宋体" w:hAnsi="宋体" w:eastAsia="楷体_GB2312"/>
          <w:sz w:val="32"/>
          <w:szCs w:val="32"/>
        </w:rPr>
        <w:t>5</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560" w:lineRule="exact"/>
        <w:ind w:left="0" w:leftChars="0"/>
        <w:rPr>
          <w:rFonts w:ascii="宋体" w:hAnsi="宋体" w:eastAsia="黑体"/>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"_Toc55226485" </w:instrText>
      </w:r>
      <w:r>
        <w:rPr>
          <w:rFonts w:ascii="宋体" w:hAnsi="宋体"/>
        </w:rPr>
        <w:fldChar w:fldCharType="separate"/>
      </w:r>
      <w:r>
        <w:rPr>
          <w:rStyle w:val="19"/>
          <w:rFonts w:hint="eastAsia" w:ascii="宋体" w:hAnsi="宋体" w:eastAsia="黑体" w:cs="黑体"/>
          <w:sz w:val="32"/>
          <w:szCs w:val="32"/>
        </w:rPr>
        <w:t>3  组织指挥体系</w:t>
      </w:r>
      <w:r>
        <w:rPr>
          <w:rStyle w:val="19"/>
          <w:rFonts w:hint="eastAsia" w:ascii="宋体" w:hAnsi="宋体" w:eastAsia="黑体"/>
          <w:sz w:val="32"/>
          <w:szCs w:val="32"/>
        </w:rPr>
        <w:tab/>
      </w:r>
      <w:r>
        <w:rPr>
          <w:rFonts w:ascii="宋体" w:hAnsi="宋体"/>
        </w:rPr>
        <w:fldChar w:fldCharType="begin"/>
      </w:r>
      <w:r>
        <w:rPr>
          <w:rStyle w:val="19"/>
          <w:rFonts w:hint="eastAsia" w:ascii="宋体" w:hAnsi="宋体" w:eastAsia="黑体"/>
          <w:sz w:val="32"/>
          <w:szCs w:val="32"/>
        </w:rPr>
        <w:instrText xml:space="preserve"> PAGEREF _Toc55226485 \h </w:instrText>
      </w:r>
      <w:r>
        <w:rPr>
          <w:rFonts w:ascii="宋体" w:hAnsi="宋体"/>
        </w:rPr>
        <w:fldChar w:fldCharType="separate"/>
      </w:r>
      <w:r>
        <w:rPr>
          <w:rStyle w:val="19"/>
          <w:rFonts w:hint="eastAsia" w:ascii="宋体" w:hAnsi="宋体" w:eastAsia="黑体"/>
          <w:sz w:val="32"/>
          <w:szCs w:val="32"/>
        </w:rPr>
        <w:t>6</w:t>
      </w:r>
      <w:r>
        <w:rPr>
          <w:rFonts w:ascii="宋体" w:hAnsi="宋体"/>
        </w:rPr>
        <w:fldChar w:fldCharType="end"/>
      </w:r>
      <w:r>
        <w:rPr>
          <w:rFonts w:ascii="宋体" w:hAnsi="宋体"/>
        </w:rPr>
        <w:fldChar w:fldCharType="end"/>
      </w:r>
    </w:p>
    <w:p>
      <w:pPr>
        <w:pStyle w:val="9"/>
        <w:tabs>
          <w:tab w:val="right" w:leader="dot" w:pos="8296"/>
        </w:tabs>
        <w:adjustRightInd w:val="0"/>
        <w:snapToGrid w:val="0"/>
        <w:spacing w:line="560" w:lineRule="exact"/>
        <w:ind w:left="0" w:leftChars="0" w:firstLine="315" w:firstLineChars="15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"_Toc55226486" </w:instrText>
      </w:r>
      <w:r>
        <w:rPr>
          <w:rFonts w:ascii="宋体" w:hAnsi="宋体"/>
        </w:rPr>
        <w:fldChar w:fldCharType="separate"/>
      </w:r>
      <w:r>
        <w:rPr>
          <w:rStyle w:val="19"/>
          <w:rFonts w:hint="eastAsia" w:ascii="宋体" w:hAnsi="宋体" w:eastAsia="楷体_GB2312" w:cs="楷体"/>
          <w:sz w:val="32"/>
          <w:szCs w:val="32"/>
          <w:shd w:val="clear" w:color="auto" w:fill="FFFFFF"/>
        </w:rPr>
        <w:t>3.1  区级领导机制</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_Toc55226486 \h </w:instrText>
      </w:r>
      <w:r>
        <w:rPr>
          <w:rFonts w:ascii="宋体" w:hAnsi="宋体"/>
        </w:rPr>
        <w:fldChar w:fldCharType="separate"/>
      </w:r>
      <w:r>
        <w:rPr>
          <w:rStyle w:val="19"/>
          <w:rFonts w:hint="eastAsia" w:ascii="宋体" w:hAnsi="宋体" w:eastAsia="楷体_GB2312"/>
          <w:sz w:val="32"/>
          <w:szCs w:val="32"/>
        </w:rPr>
        <w:t>6</w:t>
      </w:r>
      <w:r>
        <w:rPr>
          <w:rFonts w:ascii="宋体" w:hAnsi="宋体"/>
        </w:rPr>
        <w:fldChar w:fldCharType="end"/>
      </w:r>
      <w:r>
        <w:rPr>
          <w:rFonts w:ascii="宋体" w:hAnsi="宋体"/>
        </w:rPr>
        <w:fldChar w:fldCharType="end"/>
      </w:r>
    </w:p>
    <w:p>
      <w:pPr>
        <w:pStyle w:val="9"/>
        <w:tabs>
          <w:tab w:val="right" w:leader="dot" w:pos="8296"/>
        </w:tabs>
        <w:adjustRightInd w:val="0"/>
        <w:snapToGrid w:val="0"/>
        <w:spacing w:line="560" w:lineRule="exact"/>
        <w:ind w:left="0" w:leftChars="0" w:firstLine="315" w:firstLineChars="15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"_Toc55226487" </w:instrText>
      </w:r>
      <w:r>
        <w:rPr>
          <w:rFonts w:ascii="宋体" w:hAnsi="宋体"/>
        </w:rPr>
        <w:fldChar w:fldCharType="separate"/>
      </w:r>
      <w:r>
        <w:rPr>
          <w:rStyle w:val="19"/>
          <w:rFonts w:hint="eastAsia" w:ascii="宋体" w:hAnsi="宋体" w:eastAsia="楷体_GB2312" w:cs="楷体"/>
          <w:sz w:val="32"/>
          <w:szCs w:val="32"/>
          <w:shd w:val="clear" w:color="auto" w:fill="FFFFFF"/>
        </w:rPr>
        <w:t>3.2  区级专项应急指挥机构（机制）</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_Toc55226487 \h </w:instrText>
      </w:r>
      <w:r>
        <w:rPr>
          <w:rFonts w:ascii="宋体" w:hAnsi="宋体"/>
        </w:rPr>
        <w:fldChar w:fldCharType="separate"/>
      </w:r>
      <w:r>
        <w:rPr>
          <w:rStyle w:val="19"/>
          <w:rFonts w:hint="eastAsia" w:ascii="宋体" w:hAnsi="宋体" w:eastAsia="楷体_GB2312"/>
          <w:sz w:val="32"/>
          <w:szCs w:val="32"/>
        </w:rPr>
        <w:t>6</w:t>
      </w:r>
      <w:r>
        <w:rPr>
          <w:rFonts w:ascii="宋体" w:hAnsi="宋体"/>
        </w:rPr>
        <w:fldChar w:fldCharType="end"/>
      </w:r>
      <w:r>
        <w:rPr>
          <w:rFonts w:ascii="宋体" w:hAnsi="宋体"/>
        </w:rPr>
        <w:fldChar w:fldCharType="end"/>
      </w:r>
    </w:p>
    <w:p>
      <w:pPr>
        <w:pStyle w:val="9"/>
        <w:tabs>
          <w:tab w:val="right" w:leader="dot" w:pos="8296"/>
        </w:tabs>
        <w:adjustRightInd w:val="0"/>
        <w:snapToGrid w:val="0"/>
        <w:spacing w:line="560" w:lineRule="exact"/>
        <w:ind w:left="0" w:leftChars="0" w:firstLine="315" w:firstLineChars="15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"_Toc55226488" </w:instrText>
      </w:r>
      <w:r>
        <w:rPr>
          <w:rFonts w:ascii="宋体" w:hAnsi="宋体"/>
        </w:rPr>
        <w:fldChar w:fldCharType="separate"/>
      </w:r>
      <w:r>
        <w:rPr>
          <w:rStyle w:val="19"/>
          <w:rFonts w:hint="eastAsia" w:ascii="宋体" w:hAnsi="宋体" w:eastAsia="楷体_GB2312" w:cs="楷体"/>
          <w:sz w:val="32"/>
          <w:szCs w:val="32"/>
          <w:shd w:val="clear" w:color="auto" w:fill="FFFFFF"/>
        </w:rPr>
        <w:t>3.3  区级工作机构</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_Toc55226488 \h </w:instrText>
      </w:r>
      <w:r>
        <w:rPr>
          <w:rFonts w:ascii="宋体" w:hAnsi="宋体"/>
        </w:rPr>
        <w:fldChar w:fldCharType="separate"/>
      </w:r>
      <w:r>
        <w:rPr>
          <w:rStyle w:val="19"/>
          <w:rFonts w:hint="eastAsia" w:ascii="宋体" w:hAnsi="宋体" w:eastAsia="楷体_GB2312"/>
          <w:sz w:val="32"/>
          <w:szCs w:val="32"/>
        </w:rPr>
        <w:t>7</w:t>
      </w:r>
      <w:r>
        <w:rPr>
          <w:rFonts w:ascii="宋体" w:hAnsi="宋体"/>
        </w:rPr>
        <w:fldChar w:fldCharType="end"/>
      </w:r>
      <w:r>
        <w:rPr>
          <w:rFonts w:ascii="宋体" w:hAnsi="宋体"/>
        </w:rPr>
        <w:fldChar w:fldCharType="end"/>
      </w:r>
    </w:p>
    <w:p>
      <w:pPr>
        <w:pStyle w:val="9"/>
        <w:tabs>
          <w:tab w:val="right" w:leader="dot" w:pos="8296"/>
        </w:tabs>
        <w:adjustRightInd w:val="0"/>
        <w:snapToGrid w:val="0"/>
        <w:spacing w:line="560" w:lineRule="exact"/>
        <w:ind w:left="0" w:leftChars="0" w:firstLine="315" w:firstLineChars="15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"_Toc55226489" </w:instrText>
      </w:r>
      <w:r>
        <w:rPr>
          <w:rFonts w:ascii="宋体" w:hAnsi="宋体"/>
        </w:rPr>
        <w:fldChar w:fldCharType="separate"/>
      </w:r>
      <w:r>
        <w:rPr>
          <w:rStyle w:val="19"/>
          <w:rFonts w:hint="eastAsia" w:ascii="宋体" w:hAnsi="宋体" w:eastAsia="楷体_GB2312" w:cs="楷体"/>
          <w:sz w:val="32"/>
          <w:szCs w:val="32"/>
          <w:shd w:val="clear" w:color="auto" w:fill="FFFFFF"/>
        </w:rPr>
        <w:t>3.4  联合应急指挥部</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_Toc55226489 \h </w:instrText>
      </w:r>
      <w:r>
        <w:rPr>
          <w:rFonts w:ascii="宋体" w:hAnsi="宋体"/>
        </w:rPr>
        <w:fldChar w:fldCharType="separate"/>
      </w:r>
      <w:r>
        <w:rPr>
          <w:rStyle w:val="19"/>
          <w:rFonts w:hint="eastAsia" w:ascii="宋体" w:hAnsi="宋体" w:eastAsia="楷体_GB2312"/>
          <w:sz w:val="32"/>
          <w:szCs w:val="32"/>
        </w:rPr>
        <w:t>7</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560" w:lineRule="exact"/>
        <w:ind w:left="0" w:leftChars="0" w:firstLine="315" w:firstLineChars="15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"_Toc55226490" </w:instrText>
      </w:r>
      <w:r>
        <w:rPr>
          <w:rFonts w:ascii="宋体" w:hAnsi="宋体"/>
        </w:rPr>
        <w:fldChar w:fldCharType="separate"/>
      </w:r>
      <w:r>
        <w:rPr>
          <w:rStyle w:val="19"/>
          <w:rFonts w:hint="eastAsia" w:ascii="宋体" w:hAnsi="宋体" w:eastAsia="楷体_GB2312" w:cs="楷体"/>
          <w:sz w:val="32"/>
          <w:szCs w:val="32"/>
        </w:rPr>
        <w:t>3.5  镇办级组织指挥机制</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_Toc55226490 \h </w:instrText>
      </w:r>
      <w:r>
        <w:rPr>
          <w:rFonts w:ascii="宋体" w:hAnsi="宋体"/>
        </w:rPr>
        <w:fldChar w:fldCharType="separate"/>
      </w:r>
      <w:r>
        <w:rPr>
          <w:rStyle w:val="19"/>
          <w:rFonts w:hint="eastAsia" w:ascii="宋体" w:hAnsi="宋体" w:eastAsia="楷体_GB2312"/>
          <w:sz w:val="32"/>
          <w:szCs w:val="32"/>
        </w:rPr>
        <w:t>7</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560" w:lineRule="exact"/>
        <w:ind w:left="0" w:leftChars="0" w:firstLine="315" w:firstLineChars="15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"_Toc55226491" </w:instrText>
      </w:r>
      <w:r>
        <w:rPr>
          <w:rFonts w:ascii="宋体" w:hAnsi="宋体"/>
        </w:rPr>
        <w:fldChar w:fldCharType="separate"/>
      </w:r>
      <w:r>
        <w:rPr>
          <w:rStyle w:val="19"/>
          <w:rFonts w:hint="eastAsia" w:ascii="宋体" w:hAnsi="宋体" w:eastAsia="楷体_GB2312" w:cs="楷体"/>
          <w:sz w:val="32"/>
          <w:szCs w:val="32"/>
        </w:rPr>
        <w:t>3.6  现场指挥机构</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_Toc55226491 \h </w:instrText>
      </w:r>
      <w:r>
        <w:rPr>
          <w:rFonts w:ascii="宋体" w:hAnsi="宋体"/>
        </w:rPr>
        <w:fldChar w:fldCharType="separate"/>
      </w:r>
      <w:r>
        <w:rPr>
          <w:rStyle w:val="19"/>
          <w:rFonts w:hint="eastAsia" w:ascii="宋体" w:hAnsi="宋体" w:eastAsia="楷体_GB2312"/>
          <w:sz w:val="32"/>
          <w:szCs w:val="32"/>
        </w:rPr>
        <w:t>8</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560" w:lineRule="exact"/>
        <w:ind w:left="0" w:leftChars="0" w:firstLine="315" w:firstLineChars="15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"_Toc55226492" </w:instrText>
      </w:r>
      <w:r>
        <w:rPr>
          <w:rFonts w:ascii="宋体" w:hAnsi="宋体"/>
        </w:rPr>
        <w:fldChar w:fldCharType="separate"/>
      </w:r>
      <w:r>
        <w:rPr>
          <w:rStyle w:val="19"/>
          <w:rFonts w:hint="eastAsia" w:ascii="宋体" w:hAnsi="宋体" w:eastAsia="楷体_GB2312"/>
          <w:sz w:val="32"/>
          <w:szCs w:val="32"/>
        </w:rPr>
        <w:t>3.7  专家组</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_Toc55226492 \h </w:instrText>
      </w:r>
      <w:r>
        <w:rPr>
          <w:rFonts w:ascii="宋体" w:hAnsi="宋体"/>
        </w:rPr>
        <w:fldChar w:fldCharType="separate"/>
      </w:r>
      <w:r>
        <w:rPr>
          <w:rStyle w:val="19"/>
          <w:rFonts w:hint="eastAsia" w:ascii="宋体" w:hAnsi="宋体" w:eastAsia="楷体_GB2312"/>
          <w:sz w:val="32"/>
          <w:szCs w:val="32"/>
        </w:rPr>
        <w:t>10</w:t>
      </w:r>
      <w:r>
        <w:rPr>
          <w:rFonts w:ascii="宋体" w:hAnsi="宋体"/>
        </w:rPr>
        <w:fldChar w:fldCharType="end"/>
      </w:r>
      <w:r>
        <w:rPr>
          <w:rFonts w:ascii="宋体" w:hAnsi="宋体"/>
        </w:rPr>
        <w:fldChar w:fldCharType="end"/>
      </w:r>
    </w:p>
    <w:p>
      <w:pPr>
        <w:pStyle w:val="12"/>
        <w:tabs>
          <w:tab w:val="right" w:leader="dot" w:pos="8296"/>
        </w:tabs>
        <w:adjustRightInd w:val="0"/>
        <w:snapToGrid w:val="0"/>
        <w:spacing w:line="560" w:lineRule="exact"/>
        <w:rPr>
          <w:rFonts w:ascii="宋体" w:hAnsi="宋体" w:eastAsia="黑体"/>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"_Toc55226493" </w:instrText>
      </w:r>
      <w:r>
        <w:rPr>
          <w:rFonts w:ascii="宋体" w:hAnsi="宋体"/>
        </w:rPr>
        <w:fldChar w:fldCharType="separate"/>
      </w:r>
      <w:r>
        <w:rPr>
          <w:rStyle w:val="19"/>
          <w:rFonts w:hint="eastAsia" w:ascii="宋体" w:hAnsi="宋体" w:eastAsia="黑体" w:cs="黑体"/>
          <w:sz w:val="32"/>
          <w:szCs w:val="32"/>
        </w:rPr>
        <w:t>4  运行机制</w:t>
      </w:r>
      <w:r>
        <w:rPr>
          <w:rStyle w:val="19"/>
          <w:rFonts w:hint="eastAsia" w:ascii="宋体" w:hAnsi="宋体" w:eastAsia="黑体"/>
          <w:sz w:val="32"/>
          <w:szCs w:val="32"/>
        </w:rPr>
        <w:tab/>
      </w:r>
      <w:r>
        <w:rPr>
          <w:rFonts w:ascii="宋体" w:hAnsi="宋体"/>
        </w:rPr>
        <w:fldChar w:fldCharType="begin"/>
      </w:r>
      <w:r>
        <w:rPr>
          <w:rStyle w:val="19"/>
          <w:rFonts w:hint="eastAsia" w:ascii="宋体" w:hAnsi="宋体" w:eastAsia="黑体"/>
          <w:sz w:val="32"/>
          <w:szCs w:val="32"/>
        </w:rPr>
        <w:instrText xml:space="preserve"> PAGEREF _Toc55226493 \h </w:instrText>
      </w:r>
      <w:r>
        <w:rPr>
          <w:rFonts w:ascii="宋体" w:hAnsi="宋体"/>
        </w:rPr>
        <w:fldChar w:fldCharType="separate"/>
      </w:r>
      <w:r>
        <w:rPr>
          <w:rStyle w:val="19"/>
          <w:rFonts w:hint="eastAsia" w:ascii="宋体" w:hAnsi="宋体" w:eastAsia="黑体"/>
          <w:sz w:val="32"/>
          <w:szCs w:val="32"/>
        </w:rPr>
        <w:t>10</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560" w:lineRule="exact"/>
        <w:ind w:left="400" w:leftChars="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"_Toc55226494" </w:instrText>
      </w:r>
      <w:r>
        <w:rPr>
          <w:rFonts w:ascii="宋体" w:hAnsi="宋体"/>
        </w:rPr>
        <w:fldChar w:fldCharType="separate"/>
      </w:r>
      <w:r>
        <w:rPr>
          <w:rStyle w:val="19"/>
          <w:rFonts w:hint="eastAsia" w:ascii="宋体" w:hAnsi="宋体" w:eastAsia="楷体_GB2312"/>
          <w:sz w:val="32"/>
          <w:szCs w:val="32"/>
        </w:rPr>
        <w:t>4.1  风险防控</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_Toc55226494 \h </w:instrText>
      </w:r>
      <w:r>
        <w:rPr>
          <w:rFonts w:ascii="宋体" w:hAnsi="宋体"/>
        </w:rPr>
        <w:fldChar w:fldCharType="separate"/>
      </w:r>
      <w:r>
        <w:rPr>
          <w:rStyle w:val="19"/>
          <w:rFonts w:hint="eastAsia" w:ascii="宋体" w:hAnsi="宋体" w:eastAsia="楷体_GB2312"/>
          <w:sz w:val="32"/>
          <w:szCs w:val="32"/>
        </w:rPr>
        <w:t>10</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560" w:lineRule="exact"/>
        <w:ind w:left="400" w:leftChars="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"_Toc55226495" </w:instrText>
      </w:r>
      <w:r>
        <w:rPr>
          <w:rFonts w:ascii="宋体" w:hAnsi="宋体"/>
        </w:rPr>
        <w:fldChar w:fldCharType="separate"/>
      </w:r>
      <w:r>
        <w:rPr>
          <w:rStyle w:val="19"/>
          <w:rFonts w:hint="eastAsia" w:ascii="宋体" w:hAnsi="宋体" w:eastAsia="楷体_GB2312" w:cs="楷体"/>
          <w:bCs/>
          <w:sz w:val="32"/>
          <w:szCs w:val="32"/>
        </w:rPr>
        <w:t>4.2  监测预警</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_Toc55226495 \h </w:instrText>
      </w:r>
      <w:r>
        <w:rPr>
          <w:rFonts w:ascii="宋体" w:hAnsi="宋体"/>
        </w:rPr>
        <w:fldChar w:fldCharType="separate"/>
      </w:r>
      <w:r>
        <w:rPr>
          <w:rStyle w:val="19"/>
          <w:rFonts w:hint="eastAsia" w:ascii="宋体" w:hAnsi="宋体" w:eastAsia="楷体_GB2312"/>
          <w:sz w:val="32"/>
          <w:szCs w:val="32"/>
        </w:rPr>
        <w:t>12</w:t>
      </w:r>
      <w:r>
        <w:rPr>
          <w:rFonts w:ascii="宋体" w:hAnsi="宋体"/>
        </w:rPr>
        <w:fldChar w:fldCharType="end"/>
      </w:r>
      <w:r>
        <w:rPr>
          <w:rFonts w:ascii="宋体" w:hAnsi="宋体"/>
        </w:rPr>
        <w:fldChar w:fldCharType="end"/>
      </w:r>
    </w:p>
    <w:p>
      <w:pPr>
        <w:pStyle w:val="9"/>
        <w:tabs>
          <w:tab w:val="right" w:leader="dot" w:pos="8296"/>
        </w:tabs>
        <w:adjustRightInd w:val="0"/>
        <w:snapToGrid w:val="0"/>
        <w:spacing w:line="560" w:lineRule="exact"/>
        <w:ind w:left="800" w:leftChars="0"/>
        <w:rPr>
          <w:rFonts w:ascii="宋体" w:hAnsi="宋体" w:eastAsia="仿宋_GB2312"/>
          <w:b/>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"_Toc55226496" </w:instrText>
      </w:r>
      <w:r>
        <w:rPr>
          <w:rFonts w:ascii="宋体" w:hAnsi="宋体"/>
        </w:rPr>
        <w:fldChar w:fldCharType="separate"/>
      </w:r>
      <w:r>
        <w:rPr>
          <w:rStyle w:val="19"/>
          <w:rFonts w:hint="eastAsia" w:ascii="宋体" w:hAnsi="宋体" w:eastAsia="仿宋_GB2312" w:cs="仿宋"/>
          <w:b/>
          <w:sz w:val="32"/>
          <w:szCs w:val="32"/>
        </w:rPr>
        <w:t>4.2.1  监测</w:t>
      </w:r>
      <w:r>
        <w:rPr>
          <w:rStyle w:val="19"/>
          <w:rFonts w:hint="eastAsia" w:ascii="宋体" w:hAnsi="宋体" w:eastAsia="仿宋_GB2312"/>
          <w:b/>
          <w:sz w:val="32"/>
          <w:szCs w:val="32"/>
        </w:rPr>
        <w:tab/>
      </w:r>
      <w:r>
        <w:rPr>
          <w:rFonts w:ascii="宋体" w:hAnsi="宋体"/>
        </w:rPr>
        <w:fldChar w:fldCharType="begin"/>
      </w:r>
      <w:r>
        <w:rPr>
          <w:rStyle w:val="19"/>
          <w:rFonts w:hint="eastAsia" w:ascii="宋体" w:hAnsi="宋体" w:eastAsia="仿宋_GB2312"/>
          <w:sz w:val="32"/>
          <w:szCs w:val="32"/>
        </w:rPr>
        <w:instrText xml:space="preserve"> PAGEREF _Toc55226496 \h </w:instrText>
      </w:r>
      <w:r>
        <w:rPr>
          <w:rFonts w:ascii="宋体" w:hAnsi="宋体"/>
        </w:rPr>
        <w:fldChar w:fldCharType="separate"/>
      </w:r>
      <w:r>
        <w:rPr>
          <w:rStyle w:val="19"/>
          <w:rFonts w:hint="eastAsia" w:ascii="宋体" w:hAnsi="宋体" w:eastAsia="仿宋_GB2312"/>
          <w:sz w:val="32"/>
          <w:szCs w:val="32"/>
        </w:rPr>
        <w:t>12</w:t>
      </w:r>
      <w:r>
        <w:rPr>
          <w:rFonts w:ascii="宋体" w:hAnsi="宋体"/>
        </w:rPr>
        <w:fldChar w:fldCharType="end"/>
      </w:r>
      <w:r>
        <w:rPr>
          <w:rFonts w:ascii="宋体" w:hAnsi="宋体"/>
        </w:rPr>
        <w:fldChar w:fldCharType="end"/>
      </w:r>
    </w:p>
    <w:p>
      <w:pPr>
        <w:pStyle w:val="9"/>
        <w:tabs>
          <w:tab w:val="right" w:leader="dot" w:pos="8296"/>
        </w:tabs>
        <w:adjustRightInd w:val="0"/>
        <w:snapToGrid w:val="0"/>
        <w:spacing w:line="560" w:lineRule="exact"/>
        <w:ind w:left="800" w:leftChars="0"/>
        <w:rPr>
          <w:rFonts w:ascii="宋体" w:hAnsi="宋体" w:eastAsia="仿宋_GB2312"/>
          <w:b/>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"_Toc55226497" </w:instrText>
      </w:r>
      <w:r>
        <w:rPr>
          <w:rFonts w:ascii="宋体" w:hAnsi="宋体"/>
        </w:rPr>
        <w:fldChar w:fldCharType="separate"/>
      </w:r>
      <w:r>
        <w:rPr>
          <w:rStyle w:val="19"/>
          <w:rFonts w:hint="eastAsia" w:ascii="宋体" w:hAnsi="宋体" w:eastAsia="仿宋_GB2312" w:cs="仿宋"/>
          <w:b/>
          <w:sz w:val="32"/>
          <w:szCs w:val="32"/>
        </w:rPr>
        <w:t>4.2.2  预警</w:t>
      </w:r>
      <w:r>
        <w:rPr>
          <w:rStyle w:val="19"/>
          <w:rFonts w:hint="eastAsia" w:ascii="宋体" w:hAnsi="宋体" w:eastAsia="仿宋_GB2312"/>
          <w:b/>
          <w:sz w:val="32"/>
          <w:szCs w:val="32"/>
        </w:rPr>
        <w:tab/>
      </w:r>
      <w:r>
        <w:rPr>
          <w:rFonts w:ascii="宋体" w:hAnsi="宋体"/>
        </w:rPr>
        <w:fldChar w:fldCharType="begin"/>
      </w:r>
      <w:r>
        <w:rPr>
          <w:rStyle w:val="19"/>
          <w:rFonts w:hint="eastAsia" w:ascii="宋体" w:hAnsi="宋体" w:eastAsia="仿宋_GB2312"/>
          <w:sz w:val="32"/>
          <w:szCs w:val="32"/>
        </w:rPr>
        <w:instrText xml:space="preserve"> PAGEREF _Toc55226497 \h </w:instrText>
      </w:r>
      <w:r>
        <w:rPr>
          <w:rFonts w:ascii="宋体" w:hAnsi="宋体"/>
        </w:rPr>
        <w:fldChar w:fldCharType="separate"/>
      </w:r>
      <w:r>
        <w:rPr>
          <w:rStyle w:val="19"/>
          <w:rFonts w:hint="eastAsia" w:ascii="宋体" w:hAnsi="宋体" w:eastAsia="仿宋_GB2312"/>
          <w:sz w:val="32"/>
          <w:szCs w:val="32"/>
        </w:rPr>
        <w:t>12</w:t>
      </w:r>
      <w:r>
        <w:rPr>
          <w:rFonts w:ascii="宋体" w:hAnsi="宋体"/>
        </w:rPr>
        <w:fldChar w:fldCharType="end"/>
      </w:r>
      <w:r>
        <w:rPr>
          <w:rFonts w:ascii="宋体" w:hAnsi="宋体"/>
        </w:rPr>
        <w:fldChar w:fldCharType="end"/>
      </w:r>
    </w:p>
    <w:p>
      <w:pPr>
        <w:pStyle w:val="9"/>
        <w:tabs>
          <w:tab w:val="right" w:leader="dot" w:pos="8296"/>
        </w:tabs>
        <w:adjustRightInd w:val="0"/>
        <w:snapToGrid w:val="0"/>
        <w:spacing w:line="560" w:lineRule="exact"/>
        <w:ind w:left="0" w:leftChars="0" w:firstLine="315" w:firstLineChars="15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"_Toc55226498" </w:instrText>
      </w:r>
      <w:r>
        <w:rPr>
          <w:rFonts w:ascii="宋体" w:hAnsi="宋体"/>
        </w:rPr>
        <w:fldChar w:fldCharType="separate"/>
      </w:r>
      <w:r>
        <w:rPr>
          <w:rStyle w:val="19"/>
          <w:rFonts w:hint="eastAsia" w:ascii="宋体" w:hAnsi="宋体" w:eastAsia="楷体_GB2312"/>
          <w:sz w:val="32"/>
          <w:szCs w:val="32"/>
        </w:rPr>
        <w:t>4.3  信息报告</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_Toc55226498 \h </w:instrText>
      </w:r>
      <w:r>
        <w:rPr>
          <w:rFonts w:ascii="宋体" w:hAnsi="宋体"/>
        </w:rPr>
        <w:fldChar w:fldCharType="separate"/>
      </w:r>
      <w:r>
        <w:rPr>
          <w:rStyle w:val="19"/>
          <w:rFonts w:hint="eastAsia" w:ascii="宋体" w:hAnsi="宋体" w:eastAsia="楷体_GB2312"/>
          <w:sz w:val="32"/>
          <w:szCs w:val="32"/>
        </w:rPr>
        <w:t>15</w:t>
      </w:r>
      <w:r>
        <w:rPr>
          <w:rFonts w:ascii="宋体" w:hAnsi="宋体"/>
        </w:rPr>
        <w:fldChar w:fldCharType="end"/>
      </w:r>
      <w:r>
        <w:rPr>
          <w:rFonts w:ascii="宋体" w:hAnsi="宋体"/>
        </w:rPr>
        <w:fldChar w:fldCharType="end"/>
      </w:r>
    </w:p>
    <w:p>
      <w:pPr>
        <w:pStyle w:val="9"/>
        <w:tabs>
          <w:tab w:val="right" w:leader="dot" w:pos="8296"/>
        </w:tabs>
        <w:adjustRightInd w:val="0"/>
        <w:snapToGrid w:val="0"/>
        <w:spacing w:line="560" w:lineRule="exact"/>
        <w:ind w:left="0" w:leftChars="0" w:firstLine="315" w:firstLineChars="15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"_Toc55226499" </w:instrText>
      </w:r>
      <w:r>
        <w:rPr>
          <w:rFonts w:ascii="宋体" w:hAnsi="宋体"/>
        </w:rPr>
        <w:fldChar w:fldCharType="separate"/>
      </w:r>
      <w:r>
        <w:rPr>
          <w:rStyle w:val="19"/>
          <w:rFonts w:hint="eastAsia" w:ascii="宋体" w:hAnsi="宋体" w:eastAsia="楷体_GB2312" w:cs="楷体"/>
          <w:sz w:val="32"/>
          <w:szCs w:val="32"/>
        </w:rPr>
        <w:t>4.4  应急救援和处置</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_Toc55226499 \h </w:instrText>
      </w:r>
      <w:r>
        <w:rPr>
          <w:rFonts w:ascii="宋体" w:hAnsi="宋体"/>
        </w:rPr>
        <w:fldChar w:fldCharType="separate"/>
      </w:r>
      <w:r>
        <w:rPr>
          <w:rStyle w:val="19"/>
          <w:rFonts w:hint="eastAsia" w:ascii="宋体" w:hAnsi="宋体" w:eastAsia="楷体_GB2312"/>
          <w:sz w:val="32"/>
          <w:szCs w:val="32"/>
        </w:rPr>
        <w:t>16</w:t>
      </w:r>
      <w:r>
        <w:rPr>
          <w:rFonts w:ascii="宋体" w:hAnsi="宋体"/>
        </w:rPr>
        <w:fldChar w:fldCharType="end"/>
      </w:r>
      <w:r>
        <w:rPr>
          <w:rFonts w:ascii="宋体" w:hAnsi="宋体"/>
        </w:rPr>
        <w:fldChar w:fldCharType="end"/>
      </w:r>
    </w:p>
    <w:p>
      <w:pPr>
        <w:pStyle w:val="9"/>
        <w:tabs>
          <w:tab w:val="right" w:leader="dot" w:pos="8296"/>
        </w:tabs>
        <w:adjustRightInd w:val="0"/>
        <w:snapToGrid w:val="0"/>
        <w:spacing w:line="560" w:lineRule="exact"/>
        <w:ind w:left="800" w:leftChars="0"/>
        <w:rPr>
          <w:rFonts w:ascii="宋体" w:hAnsi="宋体" w:eastAsia="仿宋_GB2312"/>
          <w:b/>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"_Toc55226500" </w:instrText>
      </w:r>
      <w:r>
        <w:rPr>
          <w:rFonts w:ascii="宋体" w:hAnsi="宋体"/>
        </w:rPr>
        <w:fldChar w:fldCharType="separate"/>
      </w:r>
      <w:r>
        <w:rPr>
          <w:rStyle w:val="19"/>
          <w:rFonts w:hint="eastAsia" w:ascii="宋体" w:hAnsi="宋体" w:eastAsia="仿宋_GB2312" w:cs="仿宋"/>
          <w:b/>
          <w:sz w:val="32"/>
          <w:szCs w:val="32"/>
        </w:rPr>
        <w:t>4.4.1  先期处置</w:t>
      </w:r>
      <w:r>
        <w:rPr>
          <w:rStyle w:val="19"/>
          <w:rFonts w:hint="eastAsia" w:ascii="宋体" w:hAnsi="宋体" w:eastAsia="仿宋_GB2312"/>
          <w:b/>
          <w:sz w:val="32"/>
          <w:szCs w:val="32"/>
        </w:rPr>
        <w:tab/>
      </w:r>
      <w:r>
        <w:rPr>
          <w:rFonts w:ascii="宋体" w:hAnsi="宋体"/>
        </w:rPr>
        <w:fldChar w:fldCharType="begin"/>
      </w:r>
      <w:r>
        <w:rPr>
          <w:rStyle w:val="19"/>
          <w:rFonts w:hint="eastAsia" w:ascii="宋体" w:hAnsi="宋体" w:eastAsia="仿宋_GB2312"/>
          <w:sz w:val="32"/>
          <w:szCs w:val="32"/>
        </w:rPr>
        <w:instrText xml:space="preserve"> PAGEREF _Toc55226500 \h </w:instrText>
      </w:r>
      <w:r>
        <w:rPr>
          <w:rFonts w:ascii="宋体" w:hAnsi="宋体"/>
        </w:rPr>
        <w:fldChar w:fldCharType="separate"/>
      </w:r>
      <w:r>
        <w:rPr>
          <w:rStyle w:val="19"/>
          <w:rFonts w:hint="eastAsia" w:ascii="宋体" w:hAnsi="宋体" w:eastAsia="仿宋_GB2312"/>
          <w:sz w:val="32"/>
          <w:szCs w:val="32"/>
        </w:rPr>
        <w:t>16</w:t>
      </w:r>
      <w:r>
        <w:rPr>
          <w:rFonts w:ascii="宋体" w:hAnsi="宋体"/>
        </w:rPr>
        <w:fldChar w:fldCharType="end"/>
      </w:r>
      <w:r>
        <w:rPr>
          <w:rFonts w:ascii="宋体" w:hAnsi="宋体"/>
        </w:rPr>
        <w:fldChar w:fldCharType="end"/>
      </w:r>
    </w:p>
    <w:p>
      <w:pPr>
        <w:pStyle w:val="9"/>
        <w:tabs>
          <w:tab w:val="right" w:leader="dot" w:pos="8296"/>
        </w:tabs>
        <w:adjustRightInd w:val="0"/>
        <w:snapToGrid w:val="0"/>
        <w:spacing w:line="560" w:lineRule="exact"/>
        <w:ind w:left="800" w:leftChars="0"/>
        <w:rPr>
          <w:rFonts w:ascii="宋体" w:hAnsi="宋体" w:eastAsia="仿宋_GB2312"/>
          <w:b/>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"_Toc55226501" </w:instrText>
      </w:r>
      <w:r>
        <w:rPr>
          <w:rFonts w:ascii="宋体" w:hAnsi="宋体"/>
        </w:rPr>
        <w:fldChar w:fldCharType="separate"/>
      </w:r>
      <w:r>
        <w:rPr>
          <w:rStyle w:val="19"/>
          <w:rFonts w:hint="eastAsia" w:ascii="宋体" w:hAnsi="宋体" w:eastAsia="仿宋_GB2312" w:cs="仿宋"/>
          <w:b/>
          <w:sz w:val="32"/>
          <w:szCs w:val="32"/>
        </w:rPr>
        <w:t>4.4.2  指挥协调</w:t>
      </w:r>
      <w:r>
        <w:rPr>
          <w:rStyle w:val="19"/>
          <w:rFonts w:hint="eastAsia" w:ascii="宋体" w:hAnsi="宋体" w:eastAsia="仿宋_GB2312"/>
          <w:b/>
          <w:sz w:val="32"/>
          <w:szCs w:val="32"/>
        </w:rPr>
        <w:tab/>
      </w:r>
      <w:r>
        <w:rPr>
          <w:rFonts w:ascii="宋体" w:hAnsi="宋体"/>
        </w:rPr>
        <w:fldChar w:fldCharType="begin"/>
      </w:r>
      <w:r>
        <w:rPr>
          <w:rStyle w:val="19"/>
          <w:rFonts w:hint="eastAsia" w:ascii="宋体" w:hAnsi="宋体" w:eastAsia="仿宋_GB2312"/>
          <w:sz w:val="32"/>
          <w:szCs w:val="32"/>
        </w:rPr>
        <w:instrText xml:space="preserve"> PAGEREF _Toc55226501 \h </w:instrText>
      </w:r>
      <w:r>
        <w:rPr>
          <w:rFonts w:ascii="宋体" w:hAnsi="宋体"/>
        </w:rPr>
        <w:fldChar w:fldCharType="separate"/>
      </w:r>
      <w:r>
        <w:rPr>
          <w:rStyle w:val="19"/>
          <w:rFonts w:hint="eastAsia" w:ascii="宋体" w:hAnsi="宋体" w:eastAsia="仿宋_GB2312"/>
          <w:sz w:val="32"/>
          <w:szCs w:val="32"/>
        </w:rPr>
        <w:t>17</w:t>
      </w:r>
      <w:r>
        <w:rPr>
          <w:rFonts w:ascii="宋体" w:hAnsi="宋体"/>
        </w:rPr>
        <w:fldChar w:fldCharType="end"/>
      </w:r>
      <w:r>
        <w:rPr>
          <w:rFonts w:ascii="宋体" w:hAnsi="宋体"/>
        </w:rPr>
        <w:fldChar w:fldCharType="end"/>
      </w:r>
    </w:p>
    <w:p>
      <w:pPr>
        <w:pStyle w:val="9"/>
        <w:tabs>
          <w:tab w:val="right" w:leader="dot" w:pos="8296"/>
        </w:tabs>
        <w:adjustRightInd w:val="0"/>
        <w:snapToGrid w:val="0"/>
        <w:spacing w:line="560" w:lineRule="exact"/>
        <w:ind w:left="800" w:leftChars="0"/>
        <w:rPr>
          <w:rFonts w:ascii="宋体" w:hAnsi="宋体" w:eastAsia="仿宋_GB2312"/>
          <w:b/>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"_Toc55226502" </w:instrText>
      </w:r>
      <w:r>
        <w:rPr>
          <w:rFonts w:ascii="宋体" w:hAnsi="宋体"/>
        </w:rPr>
        <w:fldChar w:fldCharType="separate"/>
      </w:r>
      <w:r>
        <w:rPr>
          <w:rStyle w:val="19"/>
          <w:rFonts w:hint="eastAsia" w:ascii="宋体" w:hAnsi="宋体" w:eastAsia="仿宋_GB2312" w:cs="仿宋"/>
          <w:b/>
          <w:sz w:val="32"/>
          <w:szCs w:val="32"/>
        </w:rPr>
        <w:t>4.4.3  处置措施</w:t>
      </w:r>
      <w:r>
        <w:rPr>
          <w:rStyle w:val="19"/>
          <w:rFonts w:hint="eastAsia" w:ascii="宋体" w:hAnsi="宋体" w:eastAsia="仿宋_GB2312"/>
          <w:b/>
          <w:sz w:val="32"/>
          <w:szCs w:val="32"/>
        </w:rPr>
        <w:tab/>
      </w:r>
      <w:bookmarkStart w:id="104" w:name="_Hlt90886639"/>
      <w:bookmarkStart w:id="105" w:name="_Hlt90886640"/>
      <w:r>
        <w:rPr>
          <w:rFonts w:ascii="宋体" w:hAnsi="宋体"/>
        </w:rPr>
        <w:fldChar w:fldCharType="begin"/>
      </w:r>
      <w:r>
        <w:rPr>
          <w:rStyle w:val="19"/>
          <w:rFonts w:hint="eastAsia" w:ascii="宋体" w:hAnsi="宋体" w:eastAsia="仿宋_GB2312"/>
          <w:sz w:val="32"/>
          <w:szCs w:val="32"/>
        </w:rPr>
        <w:instrText xml:space="preserve"> PAGEREF _Toc55226502 \h </w:instrText>
      </w:r>
      <w:r>
        <w:rPr>
          <w:rFonts w:ascii="宋体" w:hAnsi="宋体"/>
        </w:rPr>
        <w:fldChar w:fldCharType="separate"/>
      </w:r>
      <w:r>
        <w:rPr>
          <w:rStyle w:val="19"/>
          <w:rFonts w:hint="eastAsia" w:ascii="宋体" w:hAnsi="宋体" w:eastAsia="仿宋_GB2312"/>
          <w:sz w:val="32"/>
          <w:szCs w:val="32"/>
        </w:rPr>
        <w:t>18</w:t>
      </w:r>
      <w:r>
        <w:rPr>
          <w:rFonts w:ascii="宋体" w:hAnsi="宋体"/>
        </w:rPr>
        <w:fldChar w:fldCharType="end"/>
      </w:r>
      <w:bookmarkEnd w:id="104"/>
      <w:bookmarkEnd w:id="105"/>
      <w:r>
        <w:rPr>
          <w:rFonts w:ascii="宋体" w:hAnsi="宋体"/>
        </w:rPr>
        <w:fldChar w:fldCharType="end"/>
      </w:r>
    </w:p>
    <w:p>
      <w:pPr>
        <w:pStyle w:val="9"/>
        <w:tabs>
          <w:tab w:val="right" w:leader="dot" w:pos="8296"/>
        </w:tabs>
        <w:adjustRightInd w:val="0"/>
        <w:snapToGrid w:val="0"/>
        <w:spacing w:line="560" w:lineRule="exact"/>
        <w:ind w:left="800" w:leftChars="0"/>
        <w:rPr>
          <w:rFonts w:ascii="宋体" w:hAnsi="宋体" w:eastAsia="仿宋_GB2312"/>
          <w:b/>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"_Toc55226503" </w:instrText>
      </w:r>
      <w:r>
        <w:rPr>
          <w:rFonts w:ascii="宋体" w:hAnsi="宋体"/>
        </w:rPr>
        <w:fldChar w:fldCharType="separate"/>
      </w:r>
      <w:r>
        <w:rPr>
          <w:rStyle w:val="19"/>
          <w:rFonts w:hint="eastAsia" w:ascii="宋体" w:hAnsi="宋体" w:eastAsia="仿宋_GB2312" w:cs="仿宋"/>
          <w:b/>
          <w:sz w:val="32"/>
          <w:szCs w:val="32"/>
        </w:rPr>
        <w:t>4.4.4  信息发布与舆论引导</w:t>
      </w:r>
      <w:r>
        <w:rPr>
          <w:rStyle w:val="19"/>
          <w:rFonts w:hint="eastAsia" w:ascii="宋体" w:hAnsi="宋体" w:eastAsia="仿宋_GB2312"/>
          <w:b/>
          <w:sz w:val="32"/>
          <w:szCs w:val="32"/>
        </w:rPr>
        <w:tab/>
      </w:r>
      <w:r>
        <w:rPr>
          <w:rFonts w:ascii="宋体" w:hAnsi="宋体"/>
        </w:rPr>
        <w:fldChar w:fldCharType="begin"/>
      </w:r>
      <w:r>
        <w:rPr>
          <w:rStyle w:val="19"/>
          <w:rFonts w:hint="eastAsia" w:ascii="宋体" w:hAnsi="宋体" w:eastAsia="仿宋_GB2312"/>
          <w:sz w:val="32"/>
          <w:szCs w:val="32"/>
        </w:rPr>
        <w:instrText xml:space="preserve"> PAGEREF _Toc55226503 \h </w:instrText>
      </w:r>
      <w:r>
        <w:rPr>
          <w:rFonts w:ascii="宋体" w:hAnsi="宋体"/>
        </w:rPr>
        <w:fldChar w:fldCharType="separate"/>
      </w:r>
      <w:r>
        <w:rPr>
          <w:rStyle w:val="19"/>
          <w:rFonts w:hint="eastAsia" w:ascii="宋体" w:hAnsi="宋体" w:eastAsia="仿宋_GB2312"/>
          <w:sz w:val="32"/>
          <w:szCs w:val="32"/>
        </w:rPr>
        <w:t>21</w:t>
      </w:r>
      <w:r>
        <w:rPr>
          <w:rFonts w:ascii="宋体" w:hAnsi="宋体"/>
        </w:rPr>
        <w:fldChar w:fldCharType="end"/>
      </w:r>
      <w:r>
        <w:rPr>
          <w:rFonts w:ascii="宋体" w:hAnsi="宋体"/>
        </w:rPr>
        <w:fldChar w:fldCharType="end"/>
      </w:r>
    </w:p>
    <w:p>
      <w:pPr>
        <w:pStyle w:val="9"/>
        <w:tabs>
          <w:tab w:val="right" w:leader="dot" w:pos="8296"/>
        </w:tabs>
        <w:adjustRightInd w:val="0"/>
        <w:snapToGrid w:val="0"/>
        <w:spacing w:line="560" w:lineRule="exact"/>
        <w:ind w:left="800" w:leftChars="0"/>
        <w:rPr>
          <w:rFonts w:ascii="宋体" w:hAnsi="宋体" w:eastAsia="仿宋_GB2312"/>
          <w:b/>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"_Toc55226504" </w:instrText>
      </w:r>
      <w:r>
        <w:rPr>
          <w:rFonts w:ascii="宋体" w:hAnsi="宋体"/>
        </w:rPr>
        <w:fldChar w:fldCharType="separate"/>
      </w:r>
      <w:r>
        <w:rPr>
          <w:rStyle w:val="19"/>
          <w:rFonts w:hint="eastAsia" w:ascii="宋体" w:hAnsi="宋体" w:eastAsia="仿宋_GB2312" w:cs="仿宋"/>
          <w:b/>
          <w:sz w:val="32"/>
          <w:szCs w:val="32"/>
        </w:rPr>
        <w:t>4.4.5  紧急状态</w:t>
      </w:r>
      <w:r>
        <w:rPr>
          <w:rStyle w:val="19"/>
          <w:rFonts w:hint="eastAsia" w:ascii="宋体" w:hAnsi="宋体" w:eastAsia="仿宋_GB2312"/>
          <w:b/>
          <w:sz w:val="32"/>
          <w:szCs w:val="32"/>
        </w:rPr>
        <w:tab/>
      </w:r>
      <w:r>
        <w:rPr>
          <w:rFonts w:ascii="宋体" w:hAnsi="宋体"/>
        </w:rPr>
        <w:fldChar w:fldCharType="begin"/>
      </w:r>
      <w:r>
        <w:rPr>
          <w:rStyle w:val="19"/>
          <w:rFonts w:hint="eastAsia" w:ascii="宋体" w:hAnsi="宋体" w:eastAsia="仿宋_GB2312"/>
          <w:sz w:val="32"/>
          <w:szCs w:val="32"/>
        </w:rPr>
        <w:instrText xml:space="preserve"> PAGEREF _Toc55226504 \h </w:instrText>
      </w:r>
      <w:r>
        <w:rPr>
          <w:rFonts w:ascii="宋体" w:hAnsi="宋体"/>
        </w:rPr>
        <w:fldChar w:fldCharType="separate"/>
      </w:r>
      <w:r>
        <w:rPr>
          <w:rStyle w:val="19"/>
          <w:rFonts w:hint="eastAsia" w:ascii="宋体" w:hAnsi="宋体" w:eastAsia="仿宋_GB2312"/>
          <w:sz w:val="32"/>
          <w:szCs w:val="32"/>
        </w:rPr>
        <w:t>23</w:t>
      </w:r>
      <w:r>
        <w:rPr>
          <w:rFonts w:ascii="宋体" w:hAnsi="宋体"/>
        </w:rPr>
        <w:fldChar w:fldCharType="end"/>
      </w:r>
      <w:r>
        <w:rPr>
          <w:rFonts w:ascii="宋体" w:hAnsi="宋体"/>
        </w:rPr>
        <w:fldChar w:fldCharType="end"/>
      </w:r>
    </w:p>
    <w:p>
      <w:pPr>
        <w:pStyle w:val="9"/>
        <w:tabs>
          <w:tab w:val="right" w:leader="dot" w:pos="8296"/>
        </w:tabs>
        <w:adjustRightInd w:val="0"/>
        <w:snapToGrid w:val="0"/>
        <w:spacing w:line="560" w:lineRule="exact"/>
        <w:ind w:left="800" w:leftChars="0"/>
        <w:rPr>
          <w:rFonts w:ascii="宋体" w:hAnsi="宋体" w:eastAsia="仿宋_GB2312"/>
          <w:b/>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"_Toc55226505" </w:instrText>
      </w:r>
      <w:r>
        <w:rPr>
          <w:rFonts w:ascii="宋体" w:hAnsi="宋体"/>
        </w:rPr>
        <w:fldChar w:fldCharType="separate"/>
      </w:r>
      <w:r>
        <w:rPr>
          <w:rStyle w:val="19"/>
          <w:rFonts w:hint="eastAsia" w:ascii="宋体" w:hAnsi="宋体" w:eastAsia="仿宋_GB2312" w:cs="仿宋"/>
          <w:b/>
          <w:sz w:val="32"/>
          <w:szCs w:val="32"/>
        </w:rPr>
        <w:t>4.4.6  应急结束</w:t>
      </w:r>
      <w:r>
        <w:rPr>
          <w:rStyle w:val="19"/>
          <w:rFonts w:hint="eastAsia" w:ascii="宋体" w:hAnsi="宋体" w:eastAsia="仿宋_GB2312"/>
          <w:b/>
          <w:sz w:val="32"/>
          <w:szCs w:val="32"/>
        </w:rPr>
        <w:tab/>
      </w:r>
      <w:r>
        <w:rPr>
          <w:rFonts w:ascii="宋体" w:hAnsi="宋体"/>
        </w:rPr>
        <w:fldChar w:fldCharType="begin"/>
      </w:r>
      <w:r>
        <w:rPr>
          <w:rStyle w:val="19"/>
          <w:rFonts w:hint="eastAsia" w:ascii="宋体" w:hAnsi="宋体" w:eastAsia="仿宋_GB2312"/>
          <w:sz w:val="32"/>
          <w:szCs w:val="32"/>
        </w:rPr>
        <w:instrText xml:space="preserve"> PAGEREF _Toc55226505 \h </w:instrText>
      </w:r>
      <w:r>
        <w:rPr>
          <w:rFonts w:ascii="宋体" w:hAnsi="宋体"/>
        </w:rPr>
        <w:fldChar w:fldCharType="separate"/>
      </w:r>
      <w:r>
        <w:rPr>
          <w:rStyle w:val="19"/>
          <w:rFonts w:hint="eastAsia" w:ascii="宋体" w:hAnsi="宋体" w:eastAsia="仿宋_GB2312"/>
          <w:sz w:val="32"/>
          <w:szCs w:val="32"/>
        </w:rPr>
        <w:t>23</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560" w:lineRule="exact"/>
        <w:ind w:left="400" w:leftChars="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"_Toc55226506" </w:instrText>
      </w:r>
      <w:r>
        <w:rPr>
          <w:rFonts w:ascii="宋体" w:hAnsi="宋体"/>
        </w:rPr>
        <w:fldChar w:fldCharType="separate"/>
      </w:r>
      <w:r>
        <w:rPr>
          <w:rStyle w:val="19"/>
          <w:rFonts w:hint="eastAsia" w:ascii="宋体" w:hAnsi="宋体" w:eastAsia="楷体_GB2312" w:cs="楷体"/>
          <w:sz w:val="32"/>
          <w:szCs w:val="32"/>
        </w:rPr>
        <w:t>4.5  恢复重建</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_Toc55226506 \h </w:instrText>
      </w:r>
      <w:r>
        <w:rPr>
          <w:rFonts w:ascii="宋体" w:hAnsi="宋体"/>
        </w:rPr>
        <w:fldChar w:fldCharType="separate"/>
      </w:r>
      <w:r>
        <w:rPr>
          <w:rStyle w:val="19"/>
          <w:rFonts w:hint="eastAsia" w:ascii="宋体" w:hAnsi="宋体" w:eastAsia="楷体_GB2312"/>
          <w:sz w:val="32"/>
          <w:szCs w:val="32"/>
        </w:rPr>
        <w:t>23</w:t>
      </w:r>
      <w:r>
        <w:rPr>
          <w:rFonts w:ascii="宋体" w:hAnsi="宋体"/>
        </w:rPr>
        <w:fldChar w:fldCharType="end"/>
      </w:r>
      <w:r>
        <w:rPr>
          <w:rFonts w:ascii="宋体" w:hAnsi="宋体"/>
        </w:rPr>
        <w:fldChar w:fldCharType="end"/>
      </w:r>
    </w:p>
    <w:p>
      <w:pPr>
        <w:pStyle w:val="9"/>
        <w:tabs>
          <w:tab w:val="right" w:leader="dot" w:pos="8296"/>
        </w:tabs>
        <w:adjustRightInd w:val="0"/>
        <w:snapToGrid w:val="0"/>
        <w:spacing w:line="560" w:lineRule="exact"/>
        <w:ind w:left="800" w:leftChars="0"/>
        <w:rPr>
          <w:rFonts w:ascii="宋体" w:hAnsi="宋体" w:eastAsia="仿宋_GB2312"/>
          <w:b/>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"_Toc55226507" </w:instrText>
      </w:r>
      <w:r>
        <w:rPr>
          <w:rFonts w:ascii="宋体" w:hAnsi="宋体"/>
        </w:rPr>
        <w:fldChar w:fldCharType="separate"/>
      </w:r>
      <w:r>
        <w:rPr>
          <w:rStyle w:val="19"/>
          <w:rFonts w:hint="eastAsia" w:ascii="宋体" w:hAnsi="宋体" w:eastAsia="仿宋_GB2312" w:cs="仿宋"/>
          <w:b/>
          <w:sz w:val="32"/>
          <w:szCs w:val="32"/>
        </w:rPr>
        <w:t>4.5.1  善后处置</w:t>
      </w:r>
      <w:r>
        <w:rPr>
          <w:rStyle w:val="19"/>
          <w:rFonts w:hint="eastAsia" w:ascii="宋体" w:hAnsi="宋体" w:eastAsia="仿宋_GB2312"/>
          <w:b/>
          <w:sz w:val="32"/>
          <w:szCs w:val="32"/>
        </w:rPr>
        <w:tab/>
      </w:r>
      <w:r>
        <w:rPr>
          <w:rFonts w:ascii="宋体" w:hAnsi="宋体"/>
        </w:rPr>
        <w:fldChar w:fldCharType="begin"/>
      </w:r>
      <w:r>
        <w:rPr>
          <w:rStyle w:val="19"/>
          <w:rFonts w:hint="eastAsia" w:ascii="宋体" w:hAnsi="宋体" w:eastAsia="仿宋_GB2312"/>
          <w:sz w:val="32"/>
          <w:szCs w:val="32"/>
        </w:rPr>
        <w:instrText xml:space="preserve"> PAGEREF _Toc55226507 \h </w:instrText>
      </w:r>
      <w:r>
        <w:rPr>
          <w:rFonts w:ascii="宋体" w:hAnsi="宋体"/>
        </w:rPr>
        <w:fldChar w:fldCharType="separate"/>
      </w:r>
      <w:r>
        <w:rPr>
          <w:rStyle w:val="19"/>
          <w:rFonts w:hint="eastAsia" w:ascii="宋体" w:hAnsi="宋体" w:eastAsia="仿宋_GB2312"/>
          <w:sz w:val="32"/>
          <w:szCs w:val="32"/>
        </w:rPr>
        <w:t>23</w:t>
      </w:r>
      <w:r>
        <w:rPr>
          <w:rFonts w:ascii="宋体" w:hAnsi="宋体"/>
        </w:rPr>
        <w:fldChar w:fldCharType="end"/>
      </w:r>
      <w:r>
        <w:rPr>
          <w:rFonts w:ascii="宋体" w:hAnsi="宋体"/>
        </w:rPr>
        <w:fldChar w:fldCharType="end"/>
      </w:r>
    </w:p>
    <w:p>
      <w:pPr>
        <w:pStyle w:val="9"/>
        <w:tabs>
          <w:tab w:val="right" w:leader="dot" w:pos="8296"/>
        </w:tabs>
        <w:adjustRightInd w:val="0"/>
        <w:snapToGrid w:val="0"/>
        <w:spacing w:line="560" w:lineRule="exact"/>
        <w:ind w:left="800" w:leftChars="0"/>
        <w:rPr>
          <w:rFonts w:ascii="宋体" w:hAnsi="宋体" w:eastAsia="仿宋_GB2312"/>
          <w:b/>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"_Toc55226508" </w:instrText>
      </w:r>
      <w:r>
        <w:rPr>
          <w:rFonts w:ascii="宋体" w:hAnsi="宋体"/>
        </w:rPr>
        <w:fldChar w:fldCharType="separate"/>
      </w:r>
      <w:r>
        <w:rPr>
          <w:rStyle w:val="19"/>
          <w:rFonts w:hint="eastAsia" w:ascii="宋体" w:hAnsi="宋体" w:eastAsia="仿宋_GB2312" w:cs="仿宋"/>
          <w:b/>
          <w:sz w:val="32"/>
          <w:szCs w:val="32"/>
        </w:rPr>
        <w:t>4.5.2  恢复重建</w:t>
      </w:r>
      <w:r>
        <w:rPr>
          <w:rStyle w:val="19"/>
          <w:rFonts w:hint="eastAsia" w:ascii="宋体" w:hAnsi="宋体" w:eastAsia="仿宋_GB2312"/>
          <w:b/>
          <w:sz w:val="32"/>
          <w:szCs w:val="32"/>
        </w:rPr>
        <w:tab/>
      </w:r>
      <w:r>
        <w:rPr>
          <w:rFonts w:ascii="宋体" w:hAnsi="宋体"/>
        </w:rPr>
        <w:fldChar w:fldCharType="begin"/>
      </w:r>
      <w:r>
        <w:rPr>
          <w:rStyle w:val="19"/>
          <w:rFonts w:hint="eastAsia" w:ascii="宋体" w:hAnsi="宋体" w:eastAsia="仿宋_GB2312"/>
          <w:sz w:val="32"/>
          <w:szCs w:val="32"/>
        </w:rPr>
        <w:instrText xml:space="preserve"> PAGEREF _Toc55226508 \h </w:instrText>
      </w:r>
      <w:r>
        <w:rPr>
          <w:rFonts w:ascii="宋体" w:hAnsi="宋体"/>
        </w:rPr>
        <w:fldChar w:fldCharType="separate"/>
      </w:r>
      <w:r>
        <w:rPr>
          <w:rStyle w:val="19"/>
          <w:rFonts w:hint="eastAsia" w:ascii="宋体" w:hAnsi="宋体" w:eastAsia="仿宋_GB2312"/>
          <w:sz w:val="32"/>
          <w:szCs w:val="32"/>
        </w:rPr>
        <w:t>24</w:t>
      </w:r>
      <w:r>
        <w:rPr>
          <w:rFonts w:ascii="宋体" w:hAnsi="宋体"/>
        </w:rPr>
        <w:fldChar w:fldCharType="end"/>
      </w:r>
      <w:r>
        <w:rPr>
          <w:rFonts w:ascii="宋体" w:hAnsi="宋体"/>
        </w:rPr>
        <w:fldChar w:fldCharType="end"/>
      </w:r>
    </w:p>
    <w:p>
      <w:pPr>
        <w:pStyle w:val="9"/>
        <w:tabs>
          <w:tab w:val="right" w:leader="dot" w:pos="8296"/>
        </w:tabs>
        <w:adjustRightInd w:val="0"/>
        <w:snapToGrid w:val="0"/>
        <w:spacing w:line="560" w:lineRule="exact"/>
        <w:ind w:left="800" w:leftChars="0"/>
        <w:rPr>
          <w:rFonts w:ascii="宋体" w:hAnsi="宋体" w:eastAsia="仿宋_GB2312"/>
          <w:b/>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"_Toc55226509" </w:instrText>
      </w:r>
      <w:r>
        <w:rPr>
          <w:rFonts w:ascii="宋体" w:hAnsi="宋体"/>
        </w:rPr>
        <w:fldChar w:fldCharType="separate"/>
      </w:r>
      <w:r>
        <w:rPr>
          <w:rStyle w:val="19"/>
          <w:rFonts w:hint="eastAsia" w:ascii="宋体" w:hAnsi="宋体" w:eastAsia="仿宋_GB2312" w:cs="仿宋"/>
          <w:b/>
          <w:sz w:val="32"/>
          <w:szCs w:val="32"/>
        </w:rPr>
        <w:t>4.5.3  调查与评估</w:t>
      </w:r>
      <w:r>
        <w:rPr>
          <w:rStyle w:val="19"/>
          <w:rFonts w:hint="eastAsia" w:ascii="宋体" w:hAnsi="宋体" w:eastAsia="仿宋_GB2312"/>
          <w:b/>
          <w:sz w:val="32"/>
          <w:szCs w:val="32"/>
        </w:rPr>
        <w:tab/>
      </w:r>
      <w:r>
        <w:rPr>
          <w:rFonts w:ascii="宋体" w:hAnsi="宋体"/>
        </w:rPr>
        <w:fldChar w:fldCharType="begin"/>
      </w:r>
      <w:r>
        <w:rPr>
          <w:rStyle w:val="19"/>
          <w:rFonts w:hint="eastAsia" w:ascii="宋体" w:hAnsi="宋体" w:eastAsia="仿宋_GB2312"/>
          <w:sz w:val="32"/>
          <w:szCs w:val="32"/>
        </w:rPr>
        <w:instrText xml:space="preserve"> PAGEREF _Toc55226509 \h </w:instrText>
      </w:r>
      <w:r>
        <w:rPr>
          <w:rFonts w:ascii="宋体" w:hAnsi="宋体"/>
        </w:rPr>
        <w:fldChar w:fldCharType="separate"/>
      </w:r>
      <w:r>
        <w:rPr>
          <w:rStyle w:val="19"/>
          <w:rFonts w:hint="eastAsia" w:ascii="宋体" w:hAnsi="宋体" w:eastAsia="仿宋_GB2312"/>
          <w:sz w:val="32"/>
          <w:szCs w:val="32"/>
        </w:rPr>
        <w:t>25</w:t>
      </w:r>
      <w:r>
        <w:rPr>
          <w:rFonts w:ascii="宋体" w:hAnsi="宋体"/>
        </w:rPr>
        <w:fldChar w:fldCharType="end"/>
      </w:r>
      <w:r>
        <w:rPr>
          <w:rFonts w:ascii="宋体" w:hAnsi="宋体"/>
        </w:rPr>
        <w:fldChar w:fldCharType="end"/>
      </w:r>
    </w:p>
    <w:p>
      <w:pPr>
        <w:pStyle w:val="12"/>
        <w:tabs>
          <w:tab w:val="right" w:leader="dot" w:pos="8296"/>
        </w:tabs>
        <w:adjustRightInd w:val="0"/>
        <w:snapToGrid w:val="0"/>
        <w:spacing w:line="560" w:lineRule="exact"/>
        <w:rPr>
          <w:rFonts w:ascii="宋体" w:hAnsi="宋体" w:eastAsia="黑体"/>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"_Toc55226510" </w:instrText>
      </w:r>
      <w:r>
        <w:rPr>
          <w:rFonts w:ascii="宋体" w:hAnsi="宋体"/>
        </w:rPr>
        <w:fldChar w:fldCharType="separate"/>
      </w:r>
      <w:r>
        <w:rPr>
          <w:rStyle w:val="19"/>
          <w:rFonts w:hint="eastAsia" w:ascii="宋体" w:hAnsi="宋体" w:eastAsia="黑体" w:cs="黑体"/>
          <w:sz w:val="32"/>
          <w:szCs w:val="32"/>
        </w:rPr>
        <w:t>5  资源保障</w:t>
      </w:r>
      <w:r>
        <w:rPr>
          <w:rStyle w:val="19"/>
          <w:rFonts w:hint="eastAsia" w:ascii="宋体" w:hAnsi="宋体" w:eastAsia="黑体"/>
          <w:sz w:val="32"/>
          <w:szCs w:val="32"/>
        </w:rPr>
        <w:tab/>
      </w:r>
      <w:r>
        <w:rPr>
          <w:rFonts w:ascii="宋体" w:hAnsi="宋体"/>
        </w:rPr>
        <w:fldChar w:fldCharType="begin"/>
      </w:r>
      <w:r>
        <w:rPr>
          <w:rStyle w:val="19"/>
          <w:rFonts w:hint="eastAsia" w:ascii="宋体" w:hAnsi="宋体" w:eastAsia="黑体"/>
          <w:sz w:val="32"/>
          <w:szCs w:val="32"/>
        </w:rPr>
        <w:instrText xml:space="preserve"> PAGEREF _Toc55226510 \h </w:instrText>
      </w:r>
      <w:r>
        <w:rPr>
          <w:rFonts w:ascii="宋体" w:hAnsi="宋体"/>
        </w:rPr>
        <w:fldChar w:fldCharType="separate"/>
      </w:r>
      <w:r>
        <w:rPr>
          <w:rStyle w:val="19"/>
          <w:rFonts w:hint="eastAsia" w:ascii="宋体" w:hAnsi="宋体" w:eastAsia="黑体"/>
          <w:sz w:val="32"/>
          <w:szCs w:val="32"/>
        </w:rPr>
        <w:t>25</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560" w:lineRule="exact"/>
        <w:ind w:left="400" w:leftChars="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"_Toc55226511" </w:instrText>
      </w:r>
      <w:r>
        <w:rPr>
          <w:rFonts w:ascii="宋体" w:hAnsi="宋体"/>
        </w:rPr>
        <w:fldChar w:fldCharType="separate"/>
      </w:r>
      <w:r>
        <w:rPr>
          <w:rStyle w:val="19"/>
          <w:rFonts w:hint="eastAsia" w:ascii="宋体" w:hAnsi="宋体" w:eastAsia="楷体_GB2312"/>
          <w:sz w:val="32"/>
          <w:szCs w:val="32"/>
        </w:rPr>
        <w:t>5.1  人力资源</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_Toc55226511 \h </w:instrText>
      </w:r>
      <w:r>
        <w:rPr>
          <w:rFonts w:ascii="宋体" w:hAnsi="宋体"/>
        </w:rPr>
        <w:fldChar w:fldCharType="separate"/>
      </w:r>
      <w:r>
        <w:rPr>
          <w:rStyle w:val="19"/>
          <w:rFonts w:hint="eastAsia" w:ascii="宋体" w:hAnsi="宋体" w:eastAsia="楷体_GB2312"/>
          <w:sz w:val="32"/>
          <w:szCs w:val="32"/>
        </w:rPr>
        <w:t>25</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560" w:lineRule="exact"/>
        <w:ind w:left="400" w:leftChars="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"_Toc55226512" </w:instrText>
      </w:r>
      <w:r>
        <w:rPr>
          <w:rFonts w:ascii="宋体" w:hAnsi="宋体"/>
        </w:rPr>
        <w:fldChar w:fldCharType="separate"/>
      </w:r>
      <w:r>
        <w:rPr>
          <w:rStyle w:val="19"/>
          <w:rFonts w:hint="eastAsia" w:ascii="宋体" w:hAnsi="宋体" w:eastAsia="楷体_GB2312"/>
          <w:sz w:val="32"/>
          <w:szCs w:val="32"/>
        </w:rPr>
        <w:t>5.2  财力支持</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_Toc55226512 \h </w:instrText>
      </w:r>
      <w:r>
        <w:rPr>
          <w:rFonts w:ascii="宋体" w:hAnsi="宋体"/>
        </w:rPr>
        <w:fldChar w:fldCharType="separate"/>
      </w:r>
      <w:r>
        <w:rPr>
          <w:rStyle w:val="19"/>
          <w:rFonts w:hint="eastAsia" w:ascii="宋体" w:hAnsi="宋体" w:eastAsia="楷体_GB2312"/>
          <w:sz w:val="32"/>
          <w:szCs w:val="32"/>
        </w:rPr>
        <w:t>26</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560" w:lineRule="exact"/>
        <w:ind w:left="400" w:leftChars="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"_Toc55226513" </w:instrText>
      </w:r>
      <w:r>
        <w:rPr>
          <w:rFonts w:ascii="宋体" w:hAnsi="宋体"/>
        </w:rPr>
        <w:fldChar w:fldCharType="separate"/>
      </w:r>
      <w:r>
        <w:rPr>
          <w:rStyle w:val="19"/>
          <w:rFonts w:hint="eastAsia" w:ascii="宋体" w:hAnsi="宋体" w:eastAsia="楷体_GB2312"/>
          <w:sz w:val="32"/>
          <w:szCs w:val="32"/>
        </w:rPr>
        <w:t>5.3  物资装备</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_Toc55226513 \h </w:instrText>
      </w:r>
      <w:r>
        <w:rPr>
          <w:rFonts w:ascii="宋体" w:hAnsi="宋体"/>
        </w:rPr>
        <w:fldChar w:fldCharType="separate"/>
      </w:r>
      <w:r>
        <w:rPr>
          <w:rStyle w:val="19"/>
          <w:rFonts w:hint="eastAsia" w:ascii="宋体" w:hAnsi="宋体" w:eastAsia="楷体_GB2312"/>
          <w:sz w:val="32"/>
          <w:szCs w:val="32"/>
        </w:rPr>
        <w:t>27</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560" w:lineRule="exact"/>
        <w:ind w:left="400" w:leftChars="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"_Toc55226514" </w:instrText>
      </w:r>
      <w:r>
        <w:rPr>
          <w:rFonts w:ascii="宋体" w:hAnsi="宋体"/>
        </w:rPr>
        <w:fldChar w:fldCharType="separate"/>
      </w:r>
      <w:r>
        <w:rPr>
          <w:rStyle w:val="19"/>
          <w:rFonts w:hint="eastAsia" w:ascii="宋体" w:hAnsi="宋体" w:eastAsia="楷体_GB2312"/>
          <w:bCs/>
          <w:sz w:val="32"/>
          <w:szCs w:val="32"/>
        </w:rPr>
        <w:t>5.4  科技支撑</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_Toc55226514 \h </w:instrText>
      </w:r>
      <w:r>
        <w:rPr>
          <w:rFonts w:ascii="宋体" w:hAnsi="宋体"/>
        </w:rPr>
        <w:fldChar w:fldCharType="separate"/>
      </w:r>
      <w:r>
        <w:rPr>
          <w:rStyle w:val="19"/>
          <w:rFonts w:hint="eastAsia" w:ascii="宋体" w:hAnsi="宋体" w:eastAsia="楷体_GB2312"/>
          <w:sz w:val="32"/>
          <w:szCs w:val="32"/>
        </w:rPr>
        <w:t>30</w:t>
      </w:r>
      <w:r>
        <w:rPr>
          <w:rFonts w:ascii="宋体" w:hAnsi="宋体"/>
        </w:rPr>
        <w:fldChar w:fldCharType="end"/>
      </w:r>
      <w:r>
        <w:rPr>
          <w:rFonts w:ascii="宋体" w:hAnsi="宋体"/>
        </w:rPr>
        <w:fldChar w:fldCharType="end"/>
      </w:r>
    </w:p>
    <w:p>
      <w:pPr>
        <w:pStyle w:val="12"/>
        <w:tabs>
          <w:tab w:val="right" w:leader="dot" w:pos="8296"/>
        </w:tabs>
        <w:adjustRightInd w:val="0"/>
        <w:snapToGrid w:val="0"/>
        <w:spacing w:line="560" w:lineRule="exact"/>
        <w:rPr>
          <w:rFonts w:ascii="宋体" w:hAnsi="宋体" w:eastAsia="黑体"/>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"_Toc55226515" </w:instrText>
      </w:r>
      <w:r>
        <w:rPr>
          <w:rFonts w:ascii="宋体" w:hAnsi="宋体"/>
        </w:rPr>
        <w:fldChar w:fldCharType="separate"/>
      </w:r>
      <w:r>
        <w:rPr>
          <w:rStyle w:val="19"/>
          <w:rFonts w:hint="eastAsia" w:ascii="宋体" w:hAnsi="宋体" w:eastAsia="黑体" w:cs="楷体"/>
          <w:sz w:val="32"/>
          <w:szCs w:val="32"/>
        </w:rPr>
        <w:t>6  责任与奖惩</w:t>
      </w:r>
      <w:r>
        <w:rPr>
          <w:rStyle w:val="19"/>
          <w:rFonts w:hint="eastAsia" w:ascii="宋体" w:hAnsi="宋体" w:eastAsia="黑体"/>
          <w:sz w:val="32"/>
          <w:szCs w:val="32"/>
        </w:rPr>
        <w:tab/>
      </w:r>
      <w:r>
        <w:rPr>
          <w:rFonts w:ascii="宋体" w:hAnsi="宋体"/>
        </w:rPr>
        <w:fldChar w:fldCharType="begin"/>
      </w:r>
      <w:r>
        <w:rPr>
          <w:rStyle w:val="19"/>
          <w:rFonts w:hint="eastAsia" w:ascii="宋体" w:hAnsi="宋体" w:eastAsia="黑体"/>
          <w:sz w:val="32"/>
          <w:szCs w:val="32"/>
        </w:rPr>
        <w:instrText xml:space="preserve"> PAGEREF _Toc55226515 \h </w:instrText>
      </w:r>
      <w:r>
        <w:rPr>
          <w:rFonts w:ascii="宋体" w:hAnsi="宋体"/>
        </w:rPr>
        <w:fldChar w:fldCharType="separate"/>
      </w:r>
      <w:r>
        <w:rPr>
          <w:rStyle w:val="19"/>
          <w:rFonts w:hint="eastAsia" w:ascii="宋体" w:hAnsi="宋体" w:eastAsia="黑体"/>
          <w:sz w:val="32"/>
          <w:szCs w:val="32"/>
        </w:rPr>
        <w:t>31</w:t>
      </w:r>
      <w:r>
        <w:rPr>
          <w:rFonts w:ascii="宋体" w:hAnsi="宋体"/>
        </w:rPr>
        <w:fldChar w:fldCharType="end"/>
      </w:r>
      <w:r>
        <w:rPr>
          <w:rFonts w:ascii="宋体" w:hAnsi="宋体"/>
        </w:rPr>
        <w:fldChar w:fldCharType="end"/>
      </w:r>
    </w:p>
    <w:p>
      <w:pPr>
        <w:pStyle w:val="12"/>
        <w:tabs>
          <w:tab w:val="right" w:leader="dot" w:pos="8296"/>
        </w:tabs>
        <w:adjustRightInd w:val="0"/>
        <w:snapToGrid w:val="0"/>
        <w:spacing w:line="560" w:lineRule="exact"/>
        <w:rPr>
          <w:rFonts w:ascii="宋体" w:hAnsi="宋体" w:eastAsia="黑体"/>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"_Toc55226516" </w:instrText>
      </w:r>
      <w:r>
        <w:rPr>
          <w:rFonts w:ascii="宋体" w:hAnsi="宋体"/>
        </w:rPr>
        <w:fldChar w:fldCharType="separate"/>
      </w:r>
      <w:r>
        <w:rPr>
          <w:rStyle w:val="19"/>
          <w:rFonts w:hint="eastAsia" w:ascii="宋体" w:hAnsi="宋体" w:eastAsia="黑体" w:cs="黑体"/>
          <w:sz w:val="32"/>
          <w:szCs w:val="32"/>
        </w:rPr>
        <w:t>7  预案管理</w:t>
      </w:r>
      <w:r>
        <w:rPr>
          <w:rStyle w:val="19"/>
          <w:rFonts w:hint="eastAsia" w:ascii="宋体" w:hAnsi="宋体" w:eastAsia="黑体"/>
          <w:sz w:val="32"/>
          <w:szCs w:val="32"/>
        </w:rPr>
        <w:tab/>
      </w:r>
      <w:r>
        <w:rPr>
          <w:rFonts w:ascii="宋体" w:hAnsi="宋体"/>
        </w:rPr>
        <w:fldChar w:fldCharType="begin"/>
      </w:r>
      <w:r>
        <w:rPr>
          <w:rStyle w:val="19"/>
          <w:rFonts w:hint="eastAsia" w:ascii="宋体" w:hAnsi="宋体" w:eastAsia="黑体"/>
          <w:sz w:val="32"/>
          <w:szCs w:val="32"/>
        </w:rPr>
        <w:instrText xml:space="preserve"> PAGEREF _Toc55226516 \h </w:instrText>
      </w:r>
      <w:r>
        <w:rPr>
          <w:rFonts w:ascii="宋体" w:hAnsi="宋体"/>
        </w:rPr>
        <w:fldChar w:fldCharType="separate"/>
      </w:r>
      <w:r>
        <w:rPr>
          <w:rStyle w:val="19"/>
          <w:rFonts w:hint="eastAsia" w:ascii="宋体" w:hAnsi="宋体" w:eastAsia="黑体"/>
          <w:sz w:val="32"/>
          <w:szCs w:val="32"/>
        </w:rPr>
        <w:t>32</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560" w:lineRule="exact"/>
        <w:ind w:left="400" w:leftChars="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"_Toc55226517" </w:instrText>
      </w:r>
      <w:r>
        <w:rPr>
          <w:rFonts w:ascii="宋体" w:hAnsi="宋体"/>
        </w:rPr>
        <w:fldChar w:fldCharType="separate"/>
      </w:r>
      <w:r>
        <w:rPr>
          <w:rStyle w:val="19"/>
          <w:rFonts w:hint="eastAsia" w:ascii="宋体" w:hAnsi="宋体" w:eastAsia="楷体_GB2312"/>
          <w:sz w:val="32"/>
          <w:szCs w:val="32"/>
        </w:rPr>
        <w:t>7.1  预案编制</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_Toc55226517 \h </w:instrText>
      </w:r>
      <w:r>
        <w:rPr>
          <w:rFonts w:ascii="宋体" w:hAnsi="宋体"/>
        </w:rPr>
        <w:fldChar w:fldCharType="separate"/>
      </w:r>
      <w:r>
        <w:rPr>
          <w:rStyle w:val="19"/>
          <w:rFonts w:hint="eastAsia" w:ascii="宋体" w:hAnsi="宋体" w:eastAsia="楷体_GB2312"/>
          <w:sz w:val="32"/>
          <w:szCs w:val="32"/>
        </w:rPr>
        <w:t>32</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560" w:lineRule="exact"/>
        <w:ind w:left="400" w:leftChars="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"_Toc55226518" </w:instrText>
      </w:r>
      <w:r>
        <w:rPr>
          <w:rFonts w:ascii="宋体" w:hAnsi="宋体"/>
        </w:rPr>
        <w:fldChar w:fldCharType="separate"/>
      </w:r>
      <w:r>
        <w:rPr>
          <w:rStyle w:val="19"/>
          <w:rFonts w:hint="eastAsia" w:ascii="宋体" w:hAnsi="宋体" w:eastAsia="楷体_GB2312"/>
          <w:sz w:val="32"/>
          <w:szCs w:val="32"/>
        </w:rPr>
        <w:t>7.2  预案审批与衔接</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_Toc55226518 \h </w:instrText>
      </w:r>
      <w:r>
        <w:rPr>
          <w:rFonts w:ascii="宋体" w:hAnsi="宋体"/>
        </w:rPr>
        <w:fldChar w:fldCharType="separate"/>
      </w:r>
      <w:r>
        <w:rPr>
          <w:rStyle w:val="19"/>
          <w:rFonts w:hint="eastAsia" w:ascii="宋体" w:hAnsi="宋体" w:eastAsia="楷体_GB2312"/>
          <w:sz w:val="32"/>
          <w:szCs w:val="32"/>
        </w:rPr>
        <w:t>33</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560" w:lineRule="exact"/>
        <w:ind w:left="400" w:leftChars="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"_Toc55226519" </w:instrText>
      </w:r>
      <w:r>
        <w:rPr>
          <w:rFonts w:ascii="宋体" w:hAnsi="宋体"/>
        </w:rPr>
        <w:fldChar w:fldCharType="separate"/>
      </w:r>
      <w:r>
        <w:rPr>
          <w:rStyle w:val="19"/>
          <w:rFonts w:hint="eastAsia" w:ascii="宋体" w:hAnsi="宋体" w:eastAsia="楷体_GB2312"/>
          <w:sz w:val="32"/>
          <w:szCs w:val="32"/>
        </w:rPr>
        <w:t>7.3  预案演练</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_Toc55226519 \h </w:instrText>
      </w:r>
      <w:r>
        <w:rPr>
          <w:rFonts w:ascii="宋体" w:hAnsi="宋体"/>
        </w:rPr>
        <w:fldChar w:fldCharType="separate"/>
      </w:r>
      <w:r>
        <w:rPr>
          <w:rStyle w:val="19"/>
          <w:rFonts w:hint="eastAsia" w:ascii="宋体" w:hAnsi="宋体" w:eastAsia="楷体_GB2312"/>
          <w:sz w:val="32"/>
          <w:szCs w:val="32"/>
        </w:rPr>
        <w:t>33</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560" w:lineRule="exact"/>
        <w:ind w:left="400" w:leftChars="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"_Toc55226520" </w:instrText>
      </w:r>
      <w:r>
        <w:rPr>
          <w:rFonts w:ascii="宋体" w:hAnsi="宋体"/>
        </w:rPr>
        <w:fldChar w:fldCharType="separate"/>
      </w:r>
      <w:r>
        <w:rPr>
          <w:rStyle w:val="19"/>
          <w:rFonts w:hint="eastAsia" w:ascii="宋体" w:hAnsi="宋体" w:eastAsia="楷体_GB2312"/>
          <w:sz w:val="32"/>
          <w:szCs w:val="32"/>
        </w:rPr>
        <w:t>7.4  预案评估与修订</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_Toc55226520 \h </w:instrText>
      </w:r>
      <w:r>
        <w:rPr>
          <w:rFonts w:ascii="宋体" w:hAnsi="宋体"/>
        </w:rPr>
        <w:fldChar w:fldCharType="separate"/>
      </w:r>
      <w:r>
        <w:rPr>
          <w:rStyle w:val="19"/>
          <w:rFonts w:hint="eastAsia" w:ascii="宋体" w:hAnsi="宋体" w:eastAsia="楷体_GB2312"/>
          <w:sz w:val="32"/>
          <w:szCs w:val="32"/>
        </w:rPr>
        <w:t>34</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560" w:lineRule="exact"/>
        <w:ind w:left="400" w:leftChars="0"/>
        <w:rPr>
          <w:rFonts w:ascii="宋体" w:hAnsi="宋体" w:eastAsia="楷体_GB2312"/>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"_Toc55226521" </w:instrText>
      </w:r>
      <w:r>
        <w:rPr>
          <w:rFonts w:ascii="宋体" w:hAnsi="宋体"/>
        </w:rPr>
        <w:fldChar w:fldCharType="separate"/>
      </w:r>
      <w:r>
        <w:rPr>
          <w:rStyle w:val="19"/>
          <w:rFonts w:hint="eastAsia" w:ascii="宋体" w:hAnsi="宋体" w:eastAsia="楷体_GB2312"/>
          <w:sz w:val="32"/>
          <w:szCs w:val="32"/>
        </w:rPr>
        <w:t>7.5  宣传和培训</w:t>
      </w:r>
      <w:r>
        <w:rPr>
          <w:rStyle w:val="19"/>
          <w:rFonts w:hint="eastAsia" w:ascii="宋体" w:hAnsi="宋体" w:eastAsia="楷体_GB2312"/>
          <w:sz w:val="32"/>
          <w:szCs w:val="32"/>
        </w:rPr>
        <w:tab/>
      </w:r>
      <w:r>
        <w:rPr>
          <w:rFonts w:ascii="宋体" w:hAnsi="宋体"/>
        </w:rPr>
        <w:fldChar w:fldCharType="begin"/>
      </w:r>
      <w:r>
        <w:rPr>
          <w:rStyle w:val="19"/>
          <w:rFonts w:hint="eastAsia" w:ascii="宋体" w:hAnsi="宋体" w:eastAsia="楷体_GB2312"/>
          <w:sz w:val="32"/>
          <w:szCs w:val="32"/>
        </w:rPr>
        <w:instrText xml:space="preserve"> PAGEREF _Toc55226521 \h </w:instrText>
      </w:r>
      <w:r>
        <w:rPr>
          <w:rFonts w:ascii="宋体" w:hAnsi="宋体"/>
        </w:rPr>
        <w:fldChar w:fldCharType="separate"/>
      </w:r>
      <w:r>
        <w:rPr>
          <w:rStyle w:val="19"/>
          <w:rFonts w:hint="eastAsia" w:ascii="宋体" w:hAnsi="宋体" w:eastAsia="楷体_GB2312"/>
          <w:sz w:val="32"/>
          <w:szCs w:val="32"/>
        </w:rPr>
        <w:t>35</w:t>
      </w:r>
      <w:r>
        <w:rPr>
          <w:rFonts w:ascii="宋体" w:hAnsi="宋体"/>
        </w:rPr>
        <w:fldChar w:fldCharType="end"/>
      </w:r>
      <w:r>
        <w:rPr>
          <w:rFonts w:ascii="宋体" w:hAnsi="宋体"/>
        </w:rPr>
        <w:fldChar w:fldCharType="end"/>
      </w:r>
    </w:p>
    <w:p>
      <w:pPr>
        <w:pStyle w:val="12"/>
        <w:tabs>
          <w:tab w:val="right" w:leader="dot" w:pos="8296"/>
        </w:tabs>
        <w:adjustRightInd w:val="0"/>
        <w:snapToGrid w:val="0"/>
        <w:spacing w:line="560" w:lineRule="exact"/>
        <w:rPr>
          <w:rFonts w:ascii="宋体" w:hAnsi="宋体" w:eastAsia="黑体"/>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"_Toc55226522" </w:instrText>
      </w:r>
      <w:r>
        <w:rPr>
          <w:rFonts w:ascii="宋体" w:hAnsi="宋体"/>
        </w:rPr>
        <w:fldChar w:fldCharType="separate"/>
      </w:r>
      <w:r>
        <w:rPr>
          <w:rStyle w:val="19"/>
          <w:rFonts w:hint="eastAsia" w:ascii="宋体" w:hAnsi="宋体" w:eastAsia="黑体" w:cs="黑体"/>
          <w:sz w:val="32"/>
          <w:szCs w:val="32"/>
        </w:rPr>
        <w:t>8  附则</w:t>
      </w:r>
      <w:r>
        <w:rPr>
          <w:rStyle w:val="19"/>
          <w:rFonts w:hint="eastAsia" w:ascii="宋体" w:hAnsi="宋体" w:eastAsia="黑体"/>
          <w:sz w:val="32"/>
          <w:szCs w:val="32"/>
        </w:rPr>
        <w:tab/>
      </w:r>
      <w:r>
        <w:rPr>
          <w:rFonts w:ascii="宋体" w:hAnsi="宋体"/>
        </w:rPr>
        <w:fldChar w:fldCharType="begin"/>
      </w:r>
      <w:r>
        <w:rPr>
          <w:rStyle w:val="19"/>
          <w:rFonts w:hint="eastAsia" w:ascii="宋体" w:hAnsi="宋体" w:eastAsia="黑体"/>
          <w:sz w:val="32"/>
          <w:szCs w:val="32"/>
        </w:rPr>
        <w:instrText xml:space="preserve"> PAGEREF _Toc55226522 \h </w:instrText>
      </w:r>
      <w:r>
        <w:rPr>
          <w:rFonts w:ascii="宋体" w:hAnsi="宋体"/>
        </w:rPr>
        <w:fldChar w:fldCharType="separate"/>
      </w:r>
      <w:r>
        <w:rPr>
          <w:rStyle w:val="19"/>
          <w:rFonts w:hint="eastAsia" w:ascii="宋体" w:hAnsi="宋体" w:eastAsia="黑体"/>
          <w:sz w:val="32"/>
          <w:szCs w:val="32"/>
        </w:rPr>
        <w:t>36</w:t>
      </w:r>
      <w:r>
        <w:rPr>
          <w:rFonts w:ascii="宋体" w:hAnsi="宋体"/>
        </w:rPr>
        <w:fldChar w:fldCharType="end"/>
      </w:r>
      <w:r>
        <w:rPr>
          <w:rFonts w:ascii="宋体" w:hAnsi="宋体"/>
        </w:rPr>
        <w:fldChar w:fldCharType="end"/>
      </w:r>
    </w:p>
    <w:p>
      <w:pPr>
        <w:pStyle w:val="12"/>
        <w:tabs>
          <w:tab w:val="right" w:leader="dot" w:pos="8296"/>
        </w:tabs>
        <w:adjustRightInd w:val="0"/>
        <w:snapToGrid w:val="0"/>
        <w:spacing w:line="560" w:lineRule="exact"/>
        <w:rPr>
          <w:rFonts w:ascii="宋体" w:hAnsi="宋体" w:eastAsia="黑体"/>
          <w:sz w:val="32"/>
          <w:szCs w:val="32"/>
        </w:rPr>
      </w:pPr>
      <w:r>
        <w:rPr>
          <w:rFonts w:ascii="宋体" w:hAnsi="宋体"/>
        </w:rPr>
        <w:fldChar w:fldCharType="begin"/>
      </w:r>
      <w:r>
        <w:rPr>
          <w:rFonts w:ascii="宋体" w:hAnsi="宋体"/>
        </w:rPr>
        <w:instrText xml:space="preserve"> HYPERLINK "file:///C:\\Users\\Administrator\\Desktop\\张店区人民政府办公室关于印发《张店区自然灾害救助应急预案》等8项应急预案的通知%20(自动保存的).docx" \l "_Toc55226523" </w:instrText>
      </w:r>
      <w:r>
        <w:rPr>
          <w:rFonts w:ascii="宋体" w:hAnsi="宋体"/>
        </w:rPr>
        <w:fldChar w:fldCharType="separate"/>
      </w:r>
      <w:r>
        <w:rPr>
          <w:rStyle w:val="19"/>
          <w:rFonts w:hint="eastAsia" w:ascii="宋体" w:hAnsi="宋体" w:eastAsia="黑体" w:cs="黑体"/>
          <w:sz w:val="32"/>
          <w:szCs w:val="32"/>
        </w:rPr>
        <w:t>9  附件</w:t>
      </w:r>
      <w:r>
        <w:rPr>
          <w:rStyle w:val="19"/>
          <w:rFonts w:hint="eastAsia" w:ascii="宋体" w:hAnsi="宋体" w:eastAsia="黑体"/>
          <w:sz w:val="32"/>
          <w:szCs w:val="32"/>
        </w:rPr>
        <w:tab/>
      </w:r>
      <w:r>
        <w:rPr>
          <w:rFonts w:ascii="宋体" w:hAnsi="宋体"/>
        </w:rPr>
        <w:fldChar w:fldCharType="begin"/>
      </w:r>
      <w:r>
        <w:rPr>
          <w:rStyle w:val="19"/>
          <w:rFonts w:hint="eastAsia" w:ascii="宋体" w:hAnsi="宋体" w:eastAsia="黑体"/>
          <w:sz w:val="32"/>
          <w:szCs w:val="32"/>
        </w:rPr>
        <w:instrText xml:space="preserve"> PAGEREF _Toc55226523 \h </w:instrText>
      </w:r>
      <w:r>
        <w:rPr>
          <w:rFonts w:ascii="宋体" w:hAnsi="宋体"/>
        </w:rPr>
        <w:fldChar w:fldCharType="separate"/>
      </w:r>
      <w:r>
        <w:rPr>
          <w:rStyle w:val="19"/>
          <w:rFonts w:hint="eastAsia" w:ascii="宋体" w:hAnsi="宋体" w:eastAsia="黑体"/>
          <w:sz w:val="32"/>
          <w:szCs w:val="32"/>
        </w:rPr>
        <w:t>37</w:t>
      </w:r>
      <w:r>
        <w:rPr>
          <w:rFonts w:ascii="宋体" w:hAnsi="宋体"/>
        </w:rPr>
        <w:fldChar w:fldCharType="end"/>
      </w:r>
      <w:r>
        <w:rPr>
          <w:rFonts w:ascii="宋体" w:hAnsi="宋体"/>
        </w:rPr>
        <w:fldChar w:fldCharType="end"/>
      </w:r>
    </w:p>
    <w:p>
      <w:pPr>
        <w:widowControl w:val="0"/>
        <w:spacing w:after="0" w:afterLines="0" w:line="560" w:lineRule="exact"/>
        <w:jc w:val="both"/>
        <w:rPr>
          <w:rFonts w:ascii="仿宋" w:hAnsi="仿宋" w:eastAsia="仿宋_GB2312"/>
          <w:sz w:val="32"/>
          <w:szCs w:val="32"/>
        </w:rPr>
      </w:pPr>
      <w:r>
        <w:rPr>
          <w:rFonts w:ascii="宋体" w:hAnsi="宋体"/>
        </w:rPr>
        <w:fldChar w:fldCharType="end"/>
      </w:r>
    </w:p>
    <w:p>
      <w:pPr>
        <w:widowControl w:val="0"/>
        <w:spacing w:after="0" w:afterLines="0" w:line="560" w:lineRule="exact"/>
        <w:jc w:val="both"/>
        <w:outlineLvl w:val="0"/>
        <w:rPr>
          <w:rFonts w:ascii="仿宋" w:hAnsi="仿宋" w:eastAsia="仿宋_GB2312"/>
          <w:b/>
          <w:bCs/>
          <w:sz w:val="32"/>
          <w:szCs w:val="32"/>
        </w:rPr>
      </w:pPr>
      <w:bookmarkStart w:id="106" w:name="_Toc12066"/>
      <w:bookmarkStart w:id="107" w:name="_Toc15784"/>
      <w:bookmarkStart w:id="108" w:name="_Toc55226473"/>
      <w:r>
        <w:rPr>
          <w:rFonts w:hint="eastAsia" w:ascii="仿宋" w:hAnsi="仿宋" w:eastAsia="仿宋_GB2312"/>
          <w:b/>
          <w:bCs/>
          <w:sz w:val="32"/>
          <w:szCs w:val="32"/>
        </w:rPr>
        <w:t xml:space="preserve"> </w:t>
      </w:r>
      <w:bookmarkEnd w:id="98"/>
      <w:bookmarkEnd w:id="99"/>
      <w:bookmarkEnd w:id="100"/>
      <w:bookmarkEnd w:id="106"/>
      <w:bookmarkEnd w:id="107"/>
      <w:bookmarkEnd w:id="108"/>
    </w:p>
    <w:p>
      <w:pPr>
        <w:widowControl w:val="0"/>
        <w:adjustRightInd/>
        <w:snapToGrid/>
        <w:spacing w:after="100" w:afterLines="0" w:afterAutospacing="1"/>
        <w:rPr>
          <w:rFonts w:ascii="仿宋" w:hAnsi="仿宋" w:eastAsia="仿宋_GB2312"/>
          <w:b/>
          <w:bCs/>
          <w:sz w:val="32"/>
          <w:szCs w:val="32"/>
        </w:rPr>
        <w:sectPr>
          <w:pgSz w:w="11906" w:h="16838"/>
          <w:pgMar w:top="2098" w:right="1474" w:bottom="1985" w:left="1588" w:header="851" w:footer="992" w:gutter="0"/>
          <w:pgNumType w:start="1"/>
          <w:cols w:space="720" w:num="1"/>
          <w:docGrid w:linePitch="299" w:charSpace="0"/>
        </w:sectPr>
      </w:pPr>
    </w:p>
    <w:p>
      <w:pPr>
        <w:pStyle w:val="3"/>
        <w:keepNext w:val="0"/>
        <w:keepLines w:val="0"/>
        <w:widowControl w:val="0"/>
        <w:spacing w:before="0" w:beforeLines="0" w:after="0" w:afterLines="0" w:line="560" w:lineRule="exact"/>
        <w:ind w:firstLine="640" w:firstLineChars="200"/>
        <w:jc w:val="both"/>
        <w:rPr>
          <w:rFonts w:ascii="仿宋" w:hAnsi="仿宋" w:eastAsia="黑体"/>
          <w:b w:val="0"/>
          <w:bCs w:val="0"/>
          <w:sz w:val="32"/>
          <w:szCs w:val="32"/>
        </w:rPr>
      </w:pPr>
      <w:bookmarkStart w:id="109" w:name="_Toc13248"/>
      <w:bookmarkStart w:id="110" w:name="_Toc55226474"/>
      <w:bookmarkStart w:id="111" w:name="_Toc4584"/>
      <w:bookmarkStart w:id="112" w:name="_Toc30488"/>
      <w:bookmarkStart w:id="113" w:name="_Toc22119"/>
      <w:bookmarkStart w:id="114" w:name="_Toc22226"/>
      <w:r>
        <w:rPr>
          <w:rFonts w:hint="eastAsia" w:ascii="仿宋" w:hAnsi="仿宋" w:eastAsia="黑体" w:cs="黑体"/>
          <w:b w:val="0"/>
          <w:bCs w:val="0"/>
          <w:sz w:val="32"/>
          <w:szCs w:val="32"/>
        </w:rPr>
        <w:t>1  总则</w:t>
      </w:r>
      <w:bookmarkEnd w:id="109"/>
      <w:bookmarkEnd w:id="110"/>
      <w:bookmarkEnd w:id="111"/>
      <w:bookmarkEnd w:id="112"/>
      <w:bookmarkEnd w:id="113"/>
      <w:bookmarkEnd w:id="114"/>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以习近平新时代中国特色社会主义思想为指导，全面提高我区应对各种突发事件的能力，推进治理体系和治理能力现代化水平提升，维护全区安全和社会稳定，依据《中华人民共和国突发事件应对法》《山东省突发事件应对条例》《山东省突发事件总体应急预案》《关于淄博市市级机构改革的实施意见》《淄博市突发事件总体应急预案》等法律法规和有关规定，制定本预案。</w:t>
      </w:r>
    </w:p>
    <w:p>
      <w:pPr>
        <w:pStyle w:val="5"/>
        <w:keepNext w:val="0"/>
        <w:keepLines w:val="0"/>
        <w:widowControl w:val="0"/>
        <w:spacing w:before="0" w:beforeLines="0" w:after="0" w:afterLines="0" w:line="560" w:lineRule="exact"/>
        <w:ind w:firstLine="640" w:firstLineChars="200"/>
        <w:jc w:val="both"/>
        <w:rPr>
          <w:rFonts w:ascii="仿宋" w:hAnsi="仿宋" w:eastAsia="楷体_GB2312" w:cs="仿宋"/>
          <w:b w:val="0"/>
          <w:bCs w:val="0"/>
        </w:rPr>
      </w:pPr>
      <w:bookmarkStart w:id="115" w:name="_Toc30523"/>
      <w:bookmarkStart w:id="116" w:name="_Toc29611"/>
      <w:bookmarkStart w:id="117" w:name="_Toc20547"/>
      <w:bookmarkStart w:id="118" w:name="_Toc27057"/>
      <w:bookmarkStart w:id="119" w:name="_Toc30259"/>
      <w:bookmarkStart w:id="120" w:name="_Toc55226475"/>
      <w:r>
        <w:rPr>
          <w:rFonts w:hint="eastAsia" w:ascii="仿宋" w:hAnsi="仿宋" w:eastAsia="楷体_GB2312"/>
          <w:b w:val="0"/>
          <w:bCs w:val="0"/>
        </w:rPr>
        <w:t>1.1 适用范围</w:t>
      </w:r>
      <w:bookmarkEnd w:id="115"/>
      <w:bookmarkEnd w:id="116"/>
      <w:bookmarkEnd w:id="117"/>
      <w:bookmarkEnd w:id="118"/>
      <w:bookmarkEnd w:id="119"/>
      <w:bookmarkEnd w:id="120"/>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本预案是张店区应急预案体系的总纲，是组织应对突发事件的总体制度安排，规定突发事件应对的基本原则、组织体系、运行机制以及应急保障等内容，指导全区的突发事件风险防控、应急准备、监测预警、处置救援以及恢复重建等工作。</w:t>
      </w:r>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本预案所称突发事件是指突然发生，造成或者可能造成严重社会危害，需要采取应急处置措施予以应对的自然灾害、事故灾难、公共卫生事件和社会安全事件。</w:t>
      </w:r>
    </w:p>
    <w:p>
      <w:pPr>
        <w:pStyle w:val="5"/>
        <w:keepNext w:val="0"/>
        <w:keepLines w:val="0"/>
        <w:widowControl w:val="0"/>
        <w:spacing w:before="0" w:beforeLines="0" w:after="0" w:afterLines="0" w:line="560" w:lineRule="exact"/>
        <w:ind w:firstLine="640" w:firstLineChars="200"/>
        <w:jc w:val="both"/>
        <w:rPr>
          <w:rFonts w:ascii="仿宋" w:hAnsi="仿宋" w:eastAsia="楷体_GB2312"/>
          <w:b w:val="0"/>
          <w:bCs w:val="0"/>
        </w:rPr>
      </w:pPr>
      <w:bookmarkStart w:id="121" w:name="_Toc8311"/>
      <w:bookmarkStart w:id="122" w:name="_Toc19750"/>
      <w:bookmarkStart w:id="123" w:name="_Toc13584"/>
      <w:bookmarkStart w:id="124" w:name="_Toc25589"/>
      <w:bookmarkStart w:id="125" w:name="_Toc55226476"/>
      <w:bookmarkStart w:id="126" w:name="_Toc5077"/>
      <w:r>
        <w:rPr>
          <w:rFonts w:hint="eastAsia" w:ascii="仿宋" w:hAnsi="仿宋" w:eastAsia="楷体_GB2312"/>
          <w:b w:val="0"/>
          <w:bCs w:val="0"/>
        </w:rPr>
        <w:t>1.2  工作原则</w:t>
      </w:r>
      <w:bookmarkEnd w:id="121"/>
      <w:bookmarkEnd w:id="122"/>
      <w:bookmarkEnd w:id="123"/>
      <w:bookmarkEnd w:id="124"/>
      <w:bookmarkEnd w:id="125"/>
      <w:bookmarkEnd w:id="126"/>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应对突发事件坚持以人为本、安全至上，统一领导、协调联动，分级负责、属地为主，快速反应、高效应对，科技支撑、依法管理的工作原则。</w:t>
      </w:r>
    </w:p>
    <w:p>
      <w:pPr>
        <w:pStyle w:val="5"/>
        <w:keepNext w:val="0"/>
        <w:keepLines w:val="0"/>
        <w:widowControl w:val="0"/>
        <w:spacing w:before="0" w:beforeLines="0" w:after="0" w:afterLines="0" w:line="560" w:lineRule="exact"/>
        <w:ind w:firstLine="640" w:firstLineChars="200"/>
        <w:jc w:val="both"/>
        <w:rPr>
          <w:rFonts w:ascii="仿宋" w:hAnsi="仿宋" w:eastAsia="楷体_GB2312" w:cs="楷体"/>
          <w:b w:val="0"/>
          <w:bCs w:val="0"/>
        </w:rPr>
      </w:pPr>
      <w:bookmarkStart w:id="127" w:name="_Toc26453"/>
      <w:bookmarkStart w:id="128" w:name="_Toc55226477"/>
      <w:bookmarkStart w:id="129" w:name="_Toc855"/>
      <w:bookmarkStart w:id="130" w:name="_Toc17974"/>
      <w:bookmarkStart w:id="131" w:name="_Toc10911"/>
      <w:bookmarkStart w:id="132" w:name="_Toc11821"/>
      <w:r>
        <w:rPr>
          <w:rFonts w:hint="eastAsia" w:ascii="仿宋" w:hAnsi="仿宋" w:eastAsia="楷体_GB2312" w:cs="楷体"/>
          <w:b w:val="0"/>
          <w:bCs w:val="0"/>
        </w:rPr>
        <w:t>1.3  事件分类分级</w:t>
      </w:r>
      <w:bookmarkEnd w:id="127"/>
      <w:bookmarkEnd w:id="128"/>
      <w:bookmarkEnd w:id="129"/>
      <w:bookmarkEnd w:id="130"/>
      <w:bookmarkEnd w:id="131"/>
      <w:bookmarkEnd w:id="132"/>
    </w:p>
    <w:p>
      <w:pPr>
        <w:widowControl w:val="0"/>
        <w:spacing w:after="0" w:afterLines="0" w:line="560" w:lineRule="exact"/>
        <w:ind w:firstLine="643" w:firstLineChars="200"/>
        <w:jc w:val="both"/>
        <w:outlineLvl w:val="2"/>
        <w:rPr>
          <w:rFonts w:ascii="仿宋" w:hAnsi="仿宋" w:eastAsia="仿宋_GB2312" w:cs="仿宋"/>
          <w:b/>
          <w:bCs/>
          <w:sz w:val="32"/>
          <w:szCs w:val="32"/>
        </w:rPr>
      </w:pPr>
      <w:bookmarkStart w:id="133" w:name="_Toc9787"/>
      <w:bookmarkStart w:id="134" w:name="_Toc55226478"/>
      <w:r>
        <w:rPr>
          <w:rFonts w:hint="eastAsia" w:ascii="仿宋" w:hAnsi="仿宋" w:eastAsia="仿宋_GB2312" w:cs="仿宋"/>
          <w:b/>
          <w:bCs/>
          <w:sz w:val="32"/>
          <w:szCs w:val="32"/>
        </w:rPr>
        <w:t>1.3.1突发事件分类</w:t>
      </w:r>
      <w:bookmarkEnd w:id="133"/>
      <w:bookmarkEnd w:id="134"/>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（1）自然灾害。主要包括水旱灾害、气象灾害、地震灾害、地质灾害、生物灾害和森林草原火灾等。</w:t>
      </w:r>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（2）事故灾难。主要包括各类安全事故、交通运输事故、公共设施和设备事故、辐射事故、突发环境事件等。</w:t>
      </w:r>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（3）公共卫生事件。主要包括传染病疫情、群体性不明原因疾病、重大食物和职业中毒以及其它严重影响公众健康的事件。</w:t>
      </w:r>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（4）社会安全事件。主要包括恐怖袭击事件、严重刑事案件、群体性事件、金融突发事件、涉外突发事件、民族宗教事件、舆情突发事件、网络与信息安全事件等。</w:t>
      </w:r>
    </w:p>
    <w:p>
      <w:pPr>
        <w:widowControl w:val="0"/>
        <w:spacing w:after="0" w:afterLines="0" w:line="560" w:lineRule="exact"/>
        <w:ind w:firstLine="643" w:firstLineChars="200"/>
        <w:jc w:val="both"/>
        <w:outlineLvl w:val="2"/>
        <w:rPr>
          <w:rFonts w:ascii="仿宋" w:hAnsi="仿宋" w:eastAsia="仿宋_GB2312" w:cs="仿宋"/>
          <w:b/>
          <w:sz w:val="32"/>
          <w:szCs w:val="32"/>
        </w:rPr>
      </w:pPr>
      <w:bookmarkStart w:id="135" w:name="_Toc23908"/>
      <w:bookmarkStart w:id="136" w:name="_Toc55226479"/>
      <w:r>
        <w:rPr>
          <w:rFonts w:hint="eastAsia" w:ascii="仿宋" w:hAnsi="仿宋" w:eastAsia="仿宋_GB2312" w:cs="仿宋"/>
          <w:b/>
          <w:sz w:val="32"/>
          <w:szCs w:val="32"/>
        </w:rPr>
        <w:t>1.3.2突发事件分级</w:t>
      </w:r>
      <w:bookmarkEnd w:id="135"/>
      <w:bookmarkEnd w:id="136"/>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各类突发事件按照其性质、造成损失、危害程度、可控性和影响范围等因素，从高到低一般分为特别重大、重大、较大和一般四个级别。各类突发事件分级标准在相应区级专项应急预案、部门应急预案中予以明确。</w:t>
      </w:r>
      <w:bookmarkStart w:id="137" w:name="_Toc8968"/>
      <w:bookmarkStart w:id="138" w:name="_Toc25274"/>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各类突发事件风险评估及分类分级简要情况应当纳入相应专项应急预案。</w:t>
      </w:r>
    </w:p>
    <w:p>
      <w:pPr>
        <w:pStyle w:val="5"/>
        <w:keepNext w:val="0"/>
        <w:keepLines w:val="0"/>
        <w:widowControl w:val="0"/>
        <w:spacing w:before="0" w:beforeLines="0" w:after="0" w:afterLines="0" w:line="560" w:lineRule="exact"/>
        <w:ind w:firstLine="640" w:firstLineChars="200"/>
        <w:jc w:val="both"/>
        <w:rPr>
          <w:rFonts w:ascii="仿宋" w:hAnsi="仿宋" w:eastAsia="楷体_GB2312"/>
          <w:b w:val="0"/>
          <w:bCs w:val="0"/>
        </w:rPr>
      </w:pPr>
      <w:bookmarkStart w:id="139" w:name="_Toc55226480"/>
      <w:bookmarkStart w:id="140" w:name="_Toc11733"/>
      <w:bookmarkStart w:id="141" w:name="_Toc27029"/>
      <w:bookmarkStart w:id="142" w:name="_Toc12170"/>
      <w:r>
        <w:rPr>
          <w:rFonts w:hint="eastAsia" w:ascii="仿宋" w:hAnsi="仿宋" w:eastAsia="楷体_GB2312"/>
          <w:b w:val="0"/>
          <w:bCs w:val="0"/>
        </w:rPr>
        <w:t>1.4  分级应对</w:t>
      </w:r>
      <w:bookmarkEnd w:id="137"/>
      <w:bookmarkEnd w:id="138"/>
      <w:bookmarkEnd w:id="139"/>
      <w:bookmarkEnd w:id="140"/>
      <w:bookmarkEnd w:id="141"/>
      <w:bookmarkEnd w:id="142"/>
    </w:p>
    <w:p>
      <w:pPr>
        <w:widowControl w:val="0"/>
        <w:spacing w:after="0" w:afterLines="0" w:line="560" w:lineRule="exact"/>
        <w:ind w:firstLine="640" w:firstLineChars="200"/>
        <w:jc w:val="both"/>
        <w:rPr>
          <w:rFonts w:hint="eastAsia"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突发事件应对一般遵循属地为主、分级负责的原则，当突发事件超出属地党委、政府的应对能力时，由上级党委、政府负责应对。</w:t>
      </w:r>
    </w:p>
    <w:p>
      <w:pPr>
        <w:widowControl w:val="0"/>
        <w:spacing w:after="0" w:afterLines="0" w:line="560" w:lineRule="exact"/>
        <w:ind w:firstLine="640" w:firstLineChars="200"/>
        <w:jc w:val="both"/>
        <w:rPr>
          <w:rFonts w:hint="eastAsia"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一般突发事件由区委、区政府负责应对。涉及跨县级行政区域的，由有关行政区域共同的上级党委、政府负责应对，或者由各有关行政区域的上级党委、政府共同负责应对。区委、区政府负责应对的突发事件，必要时请求市委、市政府主要牵头部门负责响应支援。</w:t>
      </w:r>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较大突发事件，报请市委、市政府负责应对，区委、区政府按要求组织相关应对工作。重大和特别重大突发事件，由市委、市政府报请省委、省政府或相关部门负责应对，区委、区政府按要求组织相关应对工作。</w:t>
      </w:r>
    </w:p>
    <w:p>
      <w:pPr>
        <w:pStyle w:val="5"/>
        <w:keepNext w:val="0"/>
        <w:keepLines w:val="0"/>
        <w:widowControl w:val="0"/>
        <w:spacing w:before="0" w:beforeLines="0" w:after="0" w:afterLines="0" w:line="560" w:lineRule="exact"/>
        <w:ind w:firstLine="640" w:firstLineChars="200"/>
        <w:jc w:val="both"/>
        <w:rPr>
          <w:rFonts w:ascii="仿宋" w:hAnsi="仿宋" w:eastAsia="楷体_GB2312"/>
          <w:b w:val="0"/>
          <w:bCs w:val="0"/>
        </w:rPr>
      </w:pPr>
      <w:bookmarkStart w:id="143" w:name="_Toc3220"/>
      <w:bookmarkStart w:id="144" w:name="_Toc6629"/>
      <w:bookmarkStart w:id="145" w:name="_Toc55226481"/>
      <w:bookmarkStart w:id="146" w:name="_Toc6315"/>
      <w:bookmarkStart w:id="147" w:name="_Toc28027"/>
      <w:bookmarkStart w:id="148" w:name="_Toc24499"/>
      <w:r>
        <w:rPr>
          <w:rFonts w:hint="eastAsia" w:ascii="仿宋" w:hAnsi="仿宋" w:eastAsia="楷体_GB2312"/>
          <w:b w:val="0"/>
          <w:bCs w:val="0"/>
        </w:rPr>
        <w:t>1.5  响应分级</w:t>
      </w:r>
      <w:bookmarkEnd w:id="143"/>
      <w:bookmarkEnd w:id="144"/>
      <w:bookmarkEnd w:id="145"/>
      <w:bookmarkEnd w:id="146"/>
      <w:bookmarkEnd w:id="147"/>
      <w:bookmarkEnd w:id="148"/>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突发事件发生后，各镇办、有关部门（单位），基层组织和单位等根据突发事件初判级别、处置难度、自有处置能力以及预期后果，综合研判确定本层级响应级别，采取相应应急处置措施。对于事件本身比较敏感，或发生在重点地区，可适当提高响应级别。应急响应启动后，可视突发事件事态发展情况及时调整响应级别。</w:t>
      </w:r>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初判发生特别重大或重大突发事件，立即报市委、市政府，由市委、市政府报请省委、省政府立即启动应急响应，必要时报请国务院或相关部门启动国家层面应急响应。</w:t>
      </w:r>
      <w:r>
        <w:rPr>
          <w:rFonts w:hint="eastAsia" w:ascii="仿宋" w:hAnsi="仿宋" w:eastAsia="仿宋_GB2312" w:cs="仿宋_GB2312"/>
          <w:sz w:val="32"/>
          <w:szCs w:val="32"/>
        </w:rPr>
        <w:t>初判发生较大突发事件，报请市委、市政府立即启动应急响应，必要时报请启动省级层面应急响应。</w:t>
      </w:r>
      <w:r>
        <w:rPr>
          <w:rFonts w:hint="eastAsia" w:ascii="仿宋" w:hAnsi="仿宋" w:eastAsia="仿宋_GB2312" w:cs="仿宋_GB2312"/>
          <w:bCs/>
          <w:sz w:val="32"/>
          <w:szCs w:val="32"/>
          <w:shd w:val="clear" w:color="auto" w:fill="FFFFFF"/>
        </w:rPr>
        <w:t>初判发生一般突发事件，区委、区政府立即启动应急响应，必要时报请启动市级层面应急响应。区级层面应急响应依据突发事件处置难度、现实结果或预期后果等，由高到低分为</w:t>
      </w:r>
      <w:r>
        <w:rPr>
          <w:rFonts w:hint="eastAsia" w:ascii="仿宋" w:hAnsi="仿宋" w:eastAsia="仿宋" w:cs="仿宋_GB2312"/>
          <w:bCs/>
          <w:sz w:val="32"/>
          <w:szCs w:val="32"/>
          <w:shd w:val="clear" w:color="auto" w:fill="FFFFFF"/>
        </w:rPr>
        <w:t>一级、二级、三级、四级。</w:t>
      </w:r>
      <w:r>
        <w:rPr>
          <w:rFonts w:hint="eastAsia" w:ascii="仿宋" w:hAnsi="仿宋" w:eastAsia="仿宋_GB2312" w:cs="仿宋_GB2312"/>
          <w:bCs/>
          <w:sz w:val="32"/>
          <w:szCs w:val="32"/>
          <w:shd w:val="clear" w:color="auto" w:fill="FFFFFF"/>
        </w:rPr>
        <w:t>一级响应由区委、区政府决定启动，由区长组织指导协调，必要时赴事发地组织指挥；二级响应由区政府决定启动，由常务副区长组织指导协调，必要时赴事发地组织指挥；三级响应由区政府分管负责同志决定启动，由区政府分管负责同志和牵头部门主要负责同志组织指导协调，必要时赴事发地组织指挥；四级响应由区级突发事件应对主要牵头部门决定启动，由牵头部门主要或分管负责同志组织指导协调，必要时赴事发地组织指挥。响应分级标准在相关区级专项应急预案中明确。对涉及面广、敏感复杂或处置不当易引发严重后果的一般突发事件，根据应对工作需要，可启动区级层面相应级别应急响应。以上响应启动程序将根据区级层面应急指挥体制机制变化作相应调整。</w:t>
      </w:r>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 xml:space="preserve">各镇办响应等级可结合本地实际情况予以明确。 </w:t>
      </w:r>
    </w:p>
    <w:p>
      <w:pPr>
        <w:pStyle w:val="3"/>
        <w:keepNext w:val="0"/>
        <w:keepLines w:val="0"/>
        <w:widowControl w:val="0"/>
        <w:spacing w:before="0" w:beforeLines="0" w:after="0" w:afterLines="0" w:line="560" w:lineRule="exact"/>
        <w:ind w:firstLine="640" w:firstLineChars="200"/>
        <w:jc w:val="both"/>
        <w:rPr>
          <w:rFonts w:ascii="仿宋" w:hAnsi="仿宋" w:eastAsia="黑体" w:cs="黑体"/>
          <w:b w:val="0"/>
          <w:bCs w:val="0"/>
          <w:sz w:val="32"/>
          <w:szCs w:val="32"/>
        </w:rPr>
      </w:pPr>
      <w:bookmarkStart w:id="149" w:name="_Toc31681"/>
      <w:bookmarkStart w:id="150" w:name="_Toc14443"/>
      <w:bookmarkStart w:id="151" w:name="_Toc11069"/>
      <w:bookmarkStart w:id="152" w:name="_Toc7114"/>
      <w:bookmarkStart w:id="153" w:name="_Toc55226482"/>
      <w:bookmarkStart w:id="154" w:name="_Toc17760"/>
      <w:r>
        <w:rPr>
          <w:rFonts w:hint="eastAsia" w:ascii="仿宋" w:hAnsi="仿宋" w:eastAsia="黑体" w:cs="黑体"/>
          <w:b w:val="0"/>
          <w:bCs w:val="0"/>
          <w:sz w:val="32"/>
          <w:szCs w:val="32"/>
        </w:rPr>
        <w:t>2  应急预案体系</w:t>
      </w:r>
      <w:bookmarkEnd w:id="149"/>
      <w:bookmarkEnd w:id="150"/>
      <w:bookmarkEnd w:id="151"/>
      <w:bookmarkEnd w:id="152"/>
      <w:bookmarkEnd w:id="153"/>
      <w:bookmarkEnd w:id="154"/>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应急预案体系包括各级党委、政府及其部门，基层组织和单位制定的各类突发事件应急预案，以及为应急预案提供支撑的应急工作手册和应急行动方案。</w:t>
      </w:r>
    </w:p>
    <w:p>
      <w:pPr>
        <w:pStyle w:val="5"/>
        <w:keepNext w:val="0"/>
        <w:keepLines w:val="0"/>
        <w:widowControl w:val="0"/>
        <w:spacing w:before="0" w:beforeLines="0" w:after="0" w:afterLines="0" w:line="560" w:lineRule="exact"/>
        <w:ind w:firstLine="640" w:firstLineChars="200"/>
        <w:jc w:val="both"/>
        <w:rPr>
          <w:rFonts w:ascii="仿宋" w:hAnsi="仿宋" w:eastAsia="楷体_GB2312"/>
          <w:b w:val="0"/>
          <w:bCs w:val="0"/>
        </w:rPr>
      </w:pPr>
      <w:bookmarkStart w:id="155" w:name="_Toc8395"/>
      <w:bookmarkStart w:id="156" w:name="_Toc5892"/>
      <w:bookmarkStart w:id="157" w:name="_Toc917"/>
      <w:bookmarkStart w:id="158" w:name="_Toc3663"/>
      <w:bookmarkStart w:id="159" w:name="_Toc3284"/>
      <w:bookmarkStart w:id="160" w:name="_Toc55226483"/>
      <w:r>
        <w:rPr>
          <w:rFonts w:hint="eastAsia" w:ascii="仿宋" w:hAnsi="仿宋" w:eastAsia="楷体_GB2312"/>
          <w:b w:val="0"/>
          <w:bCs w:val="0"/>
        </w:rPr>
        <w:t>2.1  应急预案</w:t>
      </w:r>
      <w:bookmarkEnd w:id="155"/>
      <w:bookmarkEnd w:id="156"/>
      <w:bookmarkEnd w:id="157"/>
      <w:bookmarkEnd w:id="158"/>
      <w:bookmarkEnd w:id="159"/>
      <w:bookmarkEnd w:id="160"/>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区级应急预案包括总体应急预案、专项应急预案、部门应急预案以及重要设施保护、重大活动保障和跨区域应急预案等，</w:t>
      </w:r>
      <w:r>
        <w:rPr>
          <w:rFonts w:hint="eastAsia" w:ascii="仿宋" w:hAnsi="仿宋" w:eastAsia="仿宋_GB2312" w:cs="仿宋_GB2312"/>
          <w:sz w:val="32"/>
          <w:szCs w:val="32"/>
        </w:rPr>
        <w:t>由党委、政府和相关部门研究制定</w:t>
      </w:r>
      <w:r>
        <w:rPr>
          <w:rFonts w:hint="eastAsia" w:ascii="仿宋" w:hAnsi="仿宋" w:eastAsia="仿宋_GB2312" w:cs="仿宋_GB2312"/>
          <w:bCs/>
          <w:sz w:val="32"/>
          <w:szCs w:val="32"/>
          <w:shd w:val="clear" w:color="auto" w:fill="FFFFFF"/>
        </w:rPr>
        <w:t>。</w:t>
      </w:r>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（1）总体应急预案。总体应急预案是应急预案体系的总纲，是本级党委、政府组织应对各类突发事件的总体制度安排。</w:t>
      </w:r>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（2）专项应急预案。专项应急预案是为应对涉及面广、情况复杂的某一种或某一类型突发事件，或针对应急保障预先制定的涉及多个部门(单位)职责的工作方案。</w:t>
      </w:r>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（3）部门应急预案。部门应急预案是有关部门为应对本部门(行业、领域)某一种或某一类型突发事件，或者针对应急资源保障等涉及本部门工作的，依据同级党委、政府专项应急预案而预先制定的工作方案。</w:t>
      </w:r>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（4）重要基础设施保护、重大活动保障和跨区域应急预案。由有关部门和各级党委、政府根据实际组织编制。</w:t>
      </w:r>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镇级应急预案，由镇办根据实际情况研究制定。</w:t>
      </w:r>
    </w:p>
    <w:p>
      <w:pPr>
        <w:widowControl w:val="0"/>
        <w:spacing w:after="0" w:afterLines="0" w:line="560" w:lineRule="exact"/>
        <w:ind w:firstLine="640" w:firstLineChars="200"/>
        <w:jc w:val="both"/>
        <w:rPr>
          <w:rFonts w:ascii="仿宋" w:hAnsi="仿宋" w:eastAsia="仿宋_GB2312" w:cs="仿宋_GB2312"/>
          <w:sz w:val="32"/>
          <w:szCs w:val="32"/>
        </w:rPr>
      </w:pPr>
      <w:r>
        <w:rPr>
          <w:rFonts w:hint="eastAsia" w:ascii="仿宋" w:hAnsi="仿宋" w:eastAsia="仿宋_GB2312" w:cs="仿宋_GB2312"/>
          <w:bCs/>
          <w:sz w:val="32"/>
          <w:szCs w:val="32"/>
          <w:shd w:val="clear" w:color="auto" w:fill="FFFFFF"/>
        </w:rPr>
        <w:t>基层组织和单位应急预案，由机关、企业、事业单位、社会组织和村（居）民委员会等法人制定，主要针对本单位和基层组织面临的风险，规范突发事件应对工作。</w:t>
      </w:r>
    </w:p>
    <w:p>
      <w:pPr>
        <w:pStyle w:val="5"/>
        <w:keepNext w:val="0"/>
        <w:keepLines w:val="0"/>
        <w:widowControl w:val="0"/>
        <w:spacing w:before="0" w:beforeLines="0" w:after="0" w:afterLines="0" w:line="560" w:lineRule="exact"/>
        <w:ind w:firstLine="640" w:firstLineChars="200"/>
        <w:jc w:val="both"/>
        <w:rPr>
          <w:rFonts w:ascii="仿宋" w:hAnsi="仿宋" w:eastAsia="楷体_GB2312"/>
          <w:b w:val="0"/>
          <w:bCs w:val="0"/>
        </w:rPr>
      </w:pPr>
      <w:bookmarkStart w:id="161" w:name="_Toc55226484"/>
      <w:bookmarkStart w:id="162" w:name="_Toc19997"/>
      <w:bookmarkStart w:id="163" w:name="_Toc7313"/>
      <w:bookmarkStart w:id="164" w:name="_Toc15848"/>
      <w:bookmarkStart w:id="165" w:name="_Toc29699"/>
      <w:bookmarkStart w:id="166" w:name="_Toc31768"/>
      <w:r>
        <w:rPr>
          <w:rFonts w:hint="eastAsia" w:ascii="仿宋" w:hAnsi="仿宋" w:eastAsia="楷体_GB2312"/>
          <w:b w:val="0"/>
          <w:bCs w:val="0"/>
        </w:rPr>
        <w:t>2.2  应急预案支撑文件</w:t>
      </w:r>
      <w:bookmarkEnd w:id="161"/>
      <w:bookmarkEnd w:id="162"/>
      <w:bookmarkEnd w:id="163"/>
      <w:bookmarkEnd w:id="164"/>
      <w:bookmarkEnd w:id="165"/>
      <w:bookmarkEnd w:id="166"/>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各级各类应急预案涉及的相关单位要结合实际，制定配套工作手册、行动方案等多种形式的支撑性文件，提高应急预案的针对性、操作性。</w:t>
      </w:r>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1）应急工作手册。工作手册是预案涉及的有关镇办、部门和单位对自身承担职责任务进一步分解细化的工作方案，是本部门和单位应对突发事件的工作指引。各镇办、各有关部门（单位）要编制相应工作手册，把每一项职责任务细化、具体化，明确工作内容和流程，并落实到具体责任科室、具体责任人。基层组织和单位应急预案涉及有关方面根据自身实际情况，可单独编制工作手册，也可将有关内容融入预案，合并编制。</w:t>
      </w:r>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2）应急行动方案。行动方案是参与事件应对的救援队伍、专家队伍等按照应急预案、工作手册或上级指挥机构要求，为执行具体任务并结合实际情况而制定的工作安排。行动方案要明确队伍编成、力量预置、指挥协同、行动设计、战勤保障、通信联络等具体内容，以及采取的具体对策措施和实施步骤。</w:t>
      </w:r>
      <w:bookmarkStart w:id="167" w:name="_Toc32755"/>
      <w:bookmarkStart w:id="168" w:name="_Toc27013"/>
    </w:p>
    <w:p>
      <w:pPr>
        <w:pStyle w:val="5"/>
        <w:keepNext w:val="0"/>
        <w:keepLines w:val="0"/>
        <w:widowControl w:val="0"/>
        <w:spacing w:before="0" w:beforeLines="0" w:after="0" w:afterLines="0" w:line="560" w:lineRule="exact"/>
        <w:ind w:firstLine="640" w:firstLineChars="200"/>
        <w:jc w:val="both"/>
        <w:rPr>
          <w:rFonts w:ascii="仿宋" w:hAnsi="仿宋" w:eastAsia="黑体" w:cs="黑体"/>
        </w:rPr>
      </w:pPr>
      <w:bookmarkStart w:id="169" w:name="_Toc6374"/>
      <w:bookmarkStart w:id="170" w:name="_Toc15304"/>
      <w:bookmarkStart w:id="171" w:name="_Toc55226485"/>
      <w:bookmarkStart w:id="172" w:name="_Toc13572"/>
      <w:r>
        <w:rPr>
          <w:rFonts w:hint="eastAsia" w:ascii="仿宋" w:hAnsi="仿宋" w:eastAsia="黑体" w:cs="黑体"/>
          <w:b w:val="0"/>
          <w:bCs w:val="0"/>
        </w:rPr>
        <w:t>3  组织指挥体系</w:t>
      </w:r>
      <w:bookmarkEnd w:id="167"/>
      <w:bookmarkEnd w:id="168"/>
      <w:bookmarkEnd w:id="169"/>
      <w:bookmarkEnd w:id="170"/>
      <w:bookmarkEnd w:id="171"/>
      <w:bookmarkEnd w:id="172"/>
      <w:bookmarkStart w:id="173" w:name="OLE_LINK1"/>
    </w:p>
    <w:p>
      <w:pPr>
        <w:pStyle w:val="7"/>
        <w:keepNext w:val="0"/>
        <w:keepLines w:val="0"/>
        <w:widowControl w:val="0"/>
        <w:spacing w:before="0" w:beforeLines="0" w:after="0" w:afterLines="0" w:line="560" w:lineRule="exact"/>
        <w:ind w:firstLine="640" w:firstLineChars="200"/>
        <w:jc w:val="both"/>
        <w:rPr>
          <w:rFonts w:ascii="仿宋" w:hAnsi="仿宋" w:eastAsia="楷体_GB2312" w:cs="楷体"/>
          <w:b w:val="0"/>
          <w:shd w:val="clear" w:color="auto" w:fill="FFFFFF"/>
        </w:rPr>
      </w:pPr>
      <w:bookmarkStart w:id="174" w:name="_Toc55226486"/>
      <w:bookmarkStart w:id="175" w:name="_Toc9515"/>
      <w:r>
        <w:rPr>
          <w:rFonts w:hint="eastAsia" w:ascii="仿宋" w:hAnsi="仿宋" w:eastAsia="楷体_GB2312" w:cs="楷体"/>
          <w:b w:val="0"/>
          <w:shd w:val="clear" w:color="auto" w:fill="FFFFFF"/>
        </w:rPr>
        <w:t>3.1区级领导机制</w:t>
      </w:r>
      <w:bookmarkEnd w:id="174"/>
      <w:bookmarkEnd w:id="175"/>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cs="仿宋_GB2312"/>
          <w:bCs/>
          <w:sz w:val="32"/>
          <w:szCs w:val="32"/>
          <w:shd w:val="clear" w:color="auto" w:fill="FFFFFF"/>
        </w:rPr>
        <w:t>在区委领导下，区政府是突发事件应急管理工作全区最高行政领导机关。在区长的领导下，通过区政府常务会议研究、决定和部署突发事件应急管理工作。当突发事件发生时，由区委、区政府决定成立总指挥部，统一领导、组织指挥应对工作。</w:t>
      </w:r>
      <w:bookmarkStart w:id="176" w:name="_Toc28945"/>
      <w:bookmarkStart w:id="177" w:name="_Toc15652"/>
    </w:p>
    <w:p>
      <w:pPr>
        <w:pStyle w:val="7"/>
        <w:keepNext w:val="0"/>
        <w:keepLines w:val="0"/>
        <w:widowControl w:val="0"/>
        <w:spacing w:before="0" w:beforeLines="0" w:after="0" w:afterLines="0" w:line="560" w:lineRule="exact"/>
        <w:ind w:firstLine="640" w:firstLineChars="200"/>
        <w:jc w:val="both"/>
        <w:rPr>
          <w:rFonts w:ascii="仿宋" w:hAnsi="仿宋" w:eastAsia="楷体_GB2312" w:cs="楷体"/>
          <w:b w:val="0"/>
          <w:shd w:val="clear" w:color="auto" w:fill="FFFFFF"/>
        </w:rPr>
      </w:pPr>
      <w:bookmarkStart w:id="178" w:name="_Toc55226487"/>
      <w:r>
        <w:rPr>
          <w:rFonts w:hint="eastAsia" w:ascii="仿宋" w:hAnsi="仿宋" w:eastAsia="楷体_GB2312" w:cs="楷体"/>
          <w:b w:val="0"/>
          <w:shd w:val="clear" w:color="auto" w:fill="FFFFFF"/>
        </w:rPr>
        <w:t>3.2  区级专项应急指挥机构（机制）</w:t>
      </w:r>
      <w:bookmarkEnd w:id="178"/>
    </w:p>
    <w:p>
      <w:pPr>
        <w:widowControl w:val="0"/>
        <w:spacing w:after="0" w:afterLines="0" w:line="560" w:lineRule="exact"/>
        <w:ind w:firstLine="640" w:firstLineChars="200"/>
        <w:jc w:val="both"/>
        <w:rPr>
          <w:rFonts w:ascii="仿宋" w:hAnsi="仿宋" w:eastAsia="仿宋_GB2312" w:cs="楷体"/>
          <w:sz w:val="32"/>
          <w:szCs w:val="32"/>
          <w:shd w:val="clear" w:color="auto" w:fill="FFFFFF"/>
        </w:rPr>
      </w:pPr>
      <w:r>
        <w:rPr>
          <w:rFonts w:hint="eastAsia" w:ascii="仿宋" w:hAnsi="仿宋" w:eastAsia="仿宋_GB2312" w:cs="仿宋"/>
          <w:sz w:val="32"/>
          <w:szCs w:val="32"/>
          <w:shd w:val="clear" w:color="auto" w:fill="FFFFFF"/>
        </w:rPr>
        <w:t>各类突发事件指导协调和组织应对工作由区级议事协调机构，或视情</w:t>
      </w:r>
      <w:r>
        <w:rPr>
          <w:rFonts w:hint="eastAsia" w:ascii="仿宋" w:hAnsi="仿宋" w:eastAsia="仿宋_GB2312" w:cs="仿宋"/>
          <w:sz w:val="32"/>
          <w:szCs w:val="32"/>
          <w:shd w:val="clear" w:color="auto" w:fill="FFFFFF"/>
          <w:lang w:val="en-US" w:eastAsia="zh-CN"/>
        </w:rPr>
        <w:t>况</w:t>
      </w:r>
      <w:r>
        <w:rPr>
          <w:rFonts w:hint="eastAsia" w:ascii="仿宋" w:hAnsi="仿宋" w:eastAsia="仿宋_GB2312" w:cs="仿宋"/>
          <w:sz w:val="32"/>
          <w:szCs w:val="32"/>
          <w:shd w:val="clear" w:color="auto" w:fill="FFFFFF"/>
        </w:rPr>
        <w:t>设立的区专项应急指挥机制负责。区专项指挥机构（机制）总指挥由区委、区政府指定的负责同志担任，成员由承担突发事件防范处置职责的区委、区政府有关部门负责同志组成，综合工作由主要牵头部门承担，并做好与相关专项指挥机构（机制）的衔接。对可能危及国家安全的突发事件，有关区专项指挥机构（机制）加强与市安全相关工作机制衔接，在市安全领导机构的统一部署下开展工作。</w:t>
      </w:r>
      <w:r>
        <w:rPr>
          <w:rFonts w:hint="eastAsia" w:ascii="仿宋" w:hAnsi="仿宋" w:eastAsia="仿宋_GB2312" w:cs="楷体"/>
          <w:sz w:val="32"/>
          <w:szCs w:val="32"/>
          <w:shd w:val="clear" w:color="auto" w:fill="FFFFFF"/>
        </w:rPr>
        <w:t xml:space="preserve"> </w:t>
      </w:r>
    </w:p>
    <w:p>
      <w:pPr>
        <w:pStyle w:val="7"/>
        <w:keepNext w:val="0"/>
        <w:keepLines w:val="0"/>
        <w:widowControl w:val="0"/>
        <w:spacing w:before="0" w:beforeLines="0" w:after="0" w:afterLines="0" w:line="560" w:lineRule="exact"/>
        <w:ind w:firstLine="640" w:firstLineChars="200"/>
        <w:jc w:val="both"/>
        <w:rPr>
          <w:rFonts w:ascii="仿宋" w:hAnsi="仿宋" w:eastAsia="楷体_GB2312" w:cs="楷体"/>
          <w:b w:val="0"/>
          <w:kern w:val="2"/>
          <w:shd w:val="clear" w:color="auto" w:fill="FFFFFF"/>
        </w:rPr>
      </w:pPr>
      <w:bookmarkStart w:id="179" w:name="_Toc55226488"/>
      <w:r>
        <w:rPr>
          <w:rFonts w:hint="eastAsia" w:ascii="仿宋" w:hAnsi="仿宋" w:eastAsia="楷体_GB2312" w:cs="楷体"/>
          <w:b w:val="0"/>
          <w:kern w:val="2"/>
          <w:shd w:val="clear" w:color="auto" w:fill="FFFFFF"/>
        </w:rPr>
        <w:t xml:space="preserve">3.3  </w:t>
      </w:r>
      <w:bookmarkEnd w:id="176"/>
      <w:bookmarkEnd w:id="177"/>
      <w:bookmarkStart w:id="180" w:name="_Toc11634"/>
      <w:bookmarkStart w:id="181" w:name="_Toc15646"/>
      <w:r>
        <w:rPr>
          <w:rFonts w:hint="eastAsia" w:ascii="仿宋" w:hAnsi="仿宋" w:eastAsia="楷体_GB2312" w:cs="楷体"/>
          <w:b w:val="0"/>
          <w:kern w:val="2"/>
          <w:shd w:val="clear" w:color="auto" w:fill="FFFFFF"/>
        </w:rPr>
        <w:t>区级工作机构</w:t>
      </w:r>
      <w:bookmarkEnd w:id="179"/>
      <w:bookmarkEnd w:id="180"/>
      <w:bookmarkEnd w:id="181"/>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cs="仿宋"/>
          <w:sz w:val="32"/>
          <w:szCs w:val="32"/>
          <w:shd w:val="clear" w:color="auto" w:fill="FFFFFF"/>
        </w:rPr>
        <w:t>各镇办、各有关部门按照职责分工负责本部门突发事件应急</w:t>
      </w:r>
      <w:r>
        <w:rPr>
          <w:rFonts w:hint="eastAsia" w:ascii="仿宋" w:hAnsi="仿宋" w:eastAsia="仿宋_GB2312" w:cs="仿宋_GB2312"/>
          <w:bCs/>
          <w:sz w:val="32"/>
          <w:szCs w:val="32"/>
          <w:shd w:val="clear" w:color="auto" w:fill="FFFFFF"/>
        </w:rPr>
        <w:t>管理工作，承担相关类别突发事件专项和部门应急预案的起草与实施，组织协调指导风险防控、应急准备、监测预警、应急处置与救援、资源保障、恢复与重建等工作，承担相关应急指挥机构（机制）综合工作。</w:t>
      </w:r>
    </w:p>
    <w:p>
      <w:pPr>
        <w:pStyle w:val="7"/>
        <w:keepNext w:val="0"/>
        <w:keepLines w:val="0"/>
        <w:widowControl w:val="0"/>
        <w:spacing w:before="0" w:beforeLines="0" w:after="0" w:afterLines="0" w:line="560" w:lineRule="exact"/>
        <w:ind w:firstLine="640" w:firstLineChars="200"/>
        <w:jc w:val="both"/>
        <w:rPr>
          <w:rFonts w:ascii="仿宋" w:hAnsi="仿宋" w:eastAsia="楷体_GB2312" w:cs="楷体"/>
          <w:b w:val="0"/>
          <w:kern w:val="2"/>
          <w:shd w:val="clear" w:color="auto" w:fill="FFFFFF"/>
        </w:rPr>
      </w:pPr>
      <w:bookmarkStart w:id="182" w:name="_Toc5787"/>
      <w:bookmarkStart w:id="183" w:name="_Toc55226489"/>
      <w:bookmarkStart w:id="184" w:name="_Toc8689"/>
      <w:r>
        <w:rPr>
          <w:rFonts w:hint="eastAsia" w:ascii="仿宋" w:hAnsi="仿宋" w:eastAsia="楷体_GB2312" w:cs="楷体"/>
          <w:b w:val="0"/>
          <w:kern w:val="2"/>
          <w:shd w:val="clear" w:color="auto" w:fill="FFFFFF"/>
        </w:rPr>
        <w:t>3.4  联合应急指挥部</w:t>
      </w:r>
      <w:bookmarkEnd w:id="182"/>
      <w:bookmarkEnd w:id="183"/>
      <w:bookmarkEnd w:id="184"/>
    </w:p>
    <w:p>
      <w:pPr>
        <w:widowControl w:val="0"/>
        <w:spacing w:after="0" w:afterLines="0" w:line="560" w:lineRule="exact"/>
        <w:ind w:firstLine="640" w:firstLineChars="200"/>
        <w:jc w:val="both"/>
        <w:rPr>
          <w:rFonts w:ascii="仿宋" w:hAnsi="仿宋" w:eastAsia="仿宋_GB2312" w:cs="仿宋_GB2312"/>
          <w:bCs/>
          <w:sz w:val="32"/>
          <w:szCs w:val="32"/>
          <w:shd w:val="clear" w:color="auto" w:fill="FFFFFF"/>
        </w:rPr>
      </w:pPr>
      <w:r>
        <w:rPr>
          <w:rFonts w:hint="eastAsia" w:ascii="仿宋" w:hAnsi="仿宋" w:eastAsia="仿宋_GB2312"/>
          <w:sz w:val="32"/>
          <w:szCs w:val="32"/>
        </w:rPr>
        <w:t>需要与相邻</w:t>
      </w:r>
      <w:r>
        <w:rPr>
          <w:rFonts w:hint="eastAsia" w:ascii="仿宋" w:hAnsi="仿宋" w:eastAsia="仿宋_GB2312" w:cs="仿宋_GB2312"/>
          <w:bCs/>
          <w:sz w:val="32"/>
          <w:szCs w:val="32"/>
          <w:shd w:val="clear" w:color="auto" w:fill="FFFFFF"/>
        </w:rPr>
        <w:t>地区联合应对的突发事件，市政府及其部门未启动响应机制时，由我区与相邻区县联合成立应急指挥机构，双方（或多方）有关负责同志共同担任总指挥，共同指挥协调突发事件处置工作。</w:t>
      </w:r>
    </w:p>
    <w:p>
      <w:pPr>
        <w:pStyle w:val="5"/>
        <w:keepNext w:val="0"/>
        <w:keepLines w:val="0"/>
        <w:widowControl w:val="0"/>
        <w:spacing w:before="0" w:beforeLines="0" w:after="0" w:afterLines="0" w:line="560" w:lineRule="exact"/>
        <w:ind w:firstLine="640" w:firstLineChars="200"/>
        <w:jc w:val="both"/>
        <w:rPr>
          <w:rFonts w:ascii="仿宋" w:hAnsi="仿宋" w:eastAsia="楷体_GB2312" w:cs="楷体"/>
          <w:b w:val="0"/>
          <w:bCs w:val="0"/>
          <w:color w:val="000000"/>
          <w:kern w:val="2"/>
        </w:rPr>
      </w:pPr>
      <w:bookmarkStart w:id="185" w:name="_Toc20447"/>
      <w:bookmarkStart w:id="186" w:name="_Toc13541"/>
      <w:bookmarkStart w:id="187" w:name="_Toc14933"/>
      <w:bookmarkStart w:id="188" w:name="_Toc55226490"/>
      <w:r>
        <w:rPr>
          <w:rFonts w:hint="eastAsia" w:ascii="仿宋" w:hAnsi="仿宋" w:eastAsia="楷体_GB2312" w:cs="楷体"/>
          <w:b w:val="0"/>
          <w:bCs w:val="0"/>
          <w:kern w:val="2"/>
        </w:rPr>
        <w:t>3.5  区级</w:t>
      </w:r>
      <w:r>
        <w:rPr>
          <w:rFonts w:hint="eastAsia" w:ascii="仿宋" w:hAnsi="仿宋" w:eastAsia="楷体_GB2312" w:cs="楷体"/>
          <w:b w:val="0"/>
          <w:bCs w:val="0"/>
          <w:color w:val="000000"/>
          <w:kern w:val="2"/>
        </w:rPr>
        <w:t>组织指挥机制</w:t>
      </w:r>
      <w:bookmarkEnd w:id="185"/>
      <w:bookmarkEnd w:id="186"/>
      <w:bookmarkEnd w:id="187"/>
      <w:bookmarkEnd w:id="188"/>
    </w:p>
    <w:p>
      <w:pPr>
        <w:widowControl w:val="0"/>
        <w:spacing w:after="0" w:afterLines="0" w:line="560" w:lineRule="exact"/>
        <w:ind w:firstLine="640" w:firstLineChars="200"/>
        <w:jc w:val="both"/>
        <w:rPr>
          <w:rFonts w:hint="eastAsia" w:ascii="仿宋" w:hAnsi="仿宋" w:eastAsia="仿宋_GB2312"/>
          <w:sz w:val="32"/>
          <w:szCs w:val="32"/>
        </w:rPr>
      </w:pPr>
      <w:r>
        <w:rPr>
          <w:rFonts w:hint="eastAsia" w:ascii="仿宋" w:hAnsi="仿宋" w:eastAsia="仿宋_GB2312"/>
          <w:sz w:val="32"/>
          <w:szCs w:val="32"/>
        </w:rPr>
        <w:t>区政府贯彻落实党中央、国务院关于应急管理工作的决策部署和省委省政府、市委市政府有关工作要求，统筹制定本行政区域应急管理政策措施，研究解决区级应急管理体系规划、风险防控、应急准备、考核、奖惩等重大问题，组织防范和应对本行政区域内的各类突发事件。</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镇办要结合实际强化应急管理职责。村（居）民委员会协助做好村（社区）应急管理相关工作。</w:t>
      </w:r>
    </w:p>
    <w:p>
      <w:pPr>
        <w:widowControl w:val="0"/>
        <w:spacing w:after="0" w:afterLines="0" w:line="560" w:lineRule="exact"/>
        <w:ind w:firstLine="640" w:firstLineChars="200"/>
        <w:jc w:val="both"/>
        <w:outlineLvl w:val="1"/>
        <w:rPr>
          <w:rFonts w:ascii="仿宋" w:hAnsi="仿宋" w:eastAsia="楷体_GB2312" w:cs="楷体"/>
          <w:sz w:val="32"/>
          <w:szCs w:val="32"/>
        </w:rPr>
      </w:pPr>
      <w:bookmarkStart w:id="189" w:name="_Toc430"/>
      <w:bookmarkStart w:id="190" w:name="_Toc55226491"/>
      <w:r>
        <w:rPr>
          <w:rFonts w:hint="eastAsia" w:ascii="仿宋" w:hAnsi="仿宋" w:eastAsia="楷体_GB2312" w:cs="楷体"/>
          <w:sz w:val="32"/>
          <w:szCs w:val="32"/>
        </w:rPr>
        <w:t xml:space="preserve">3.6  </w:t>
      </w:r>
      <w:bookmarkStart w:id="191" w:name="_Toc16851"/>
      <w:r>
        <w:rPr>
          <w:rFonts w:hint="eastAsia" w:ascii="仿宋" w:hAnsi="仿宋" w:eastAsia="楷体_GB2312" w:cs="楷体"/>
          <w:sz w:val="32"/>
          <w:szCs w:val="32"/>
        </w:rPr>
        <w:t>现场指挥机构</w:t>
      </w:r>
      <w:bookmarkEnd w:id="189"/>
      <w:bookmarkEnd w:id="190"/>
      <w:bookmarkEnd w:id="191"/>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突发事件发生后，事发地镇办认为有必要的，可以设立由事发地镇办负责同志、区相关部门负责同志组成的现场指挥机构，组织、指挥、协调突发事件现场应急处置工作。特别重大、重大突发事件发生后，省委、省政府设立现场指挥机构；较大突发事件发生后，市级党委、政府设立现场指挥机构；一般突发事件发生后，区委、区政府设立现场指挥机构。现场指挥机构按照有关规定和要求成立临时党组织，加强党组织对应急工作的领导。</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现场指挥机构可根据需要设立综合协调、灾害监测、抢险救援、交通保障、医疗卫生、后勤保障、治安维护、善后处置、新闻工作、群众生活、专家支持等工作组（具体编组视工作需要确定）。各工作组主要承担以下职责：</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综合协调组：负责综合协调、督导检查、信息简报、综合文字，资料收集归档，抢险救援证件印制发放，处置信息调度、汇总、上报，与上级工作组的协调联络等工作。</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灾害监测组：负责组织灾害风险监测，指导防范次生衍生灾害；调度相关技术力量和设备，监视灾情发展；指导灾害防御和风险隐患的监测预警等工作。</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抢险救援组：负责制定现场抢险救援方案；根据灾情变化，适时提出调整抢险救援救灾方案；根据救援情况变化，调整充实应急救援专家；组织协调现场应急处置有关工作。</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交通保障组：负责划定现场警戒区域，做好应急救援力量赴灾区和撤离时的交通保障工作。</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医疗卫生组：负责组织指导医疗救治、卫生防疫心理援助工作；统筹协调医疗卫生专家、卫生应急队伍，支持事发地医疗卫生处置工作。</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后勤保障组：负责协调安排处置突发事件所需车辆、装备及其它物资，为现场指挥部正常运行和应急处置人员做好生活等保障工作。</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治安维护组：负责维护突发事件现场及周边治安秩序，加强对重点单位、重点部位和重要物资设备的治安保卫，指导有关地方、部门妥善处置群体性事件。</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善后处置组：负责受害人员及其家属接待、慰问、稳定工作；研究制定善后方案，做好因灾遇难人员家属赔偿安抚工作；有序组织恢复生产等工作。</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新闻工作组：负责发布权威信息，安排新闻发布，接待媒体记者采访，协调处理与媒体间的相关事宜等工作；组织开展舆情监测研判，负责网络媒体管理和舆论引导，及时回应社会关切。</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群众生活组：负责制定受灾群众救助工作方案；下拨省政府救灾款物并指导发放；统筹灾区生活必需品市场供应；指导做好受灾群众紧急转移安置、过渡期救助等工作；组织捐赠、援助接收等工作。</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专家支持组：负责组织现场灾情会商研判，提供技术支持，指导现场监测预警和隐患排查工作；指导地方开展灾情调查和灾损评估；参与制定抢险救援方案。</w:t>
      </w:r>
      <w:bookmarkEnd w:id="173"/>
    </w:p>
    <w:p>
      <w:pPr>
        <w:pStyle w:val="5"/>
        <w:keepNext w:val="0"/>
        <w:keepLines w:val="0"/>
        <w:widowControl w:val="0"/>
        <w:spacing w:before="0" w:beforeLines="0" w:after="0" w:afterLines="0" w:line="560" w:lineRule="exact"/>
        <w:ind w:firstLine="640" w:firstLineChars="200"/>
        <w:jc w:val="both"/>
        <w:rPr>
          <w:rFonts w:ascii="仿宋" w:hAnsi="仿宋" w:eastAsia="楷体_GB2312"/>
          <w:b w:val="0"/>
          <w:bCs w:val="0"/>
        </w:rPr>
      </w:pPr>
      <w:bookmarkStart w:id="192" w:name="_Toc26630"/>
      <w:bookmarkStart w:id="193" w:name="_Toc16163"/>
      <w:bookmarkStart w:id="194" w:name="_Toc55226492"/>
      <w:bookmarkStart w:id="195" w:name="_Toc28396"/>
      <w:bookmarkStart w:id="196" w:name="_Toc305"/>
      <w:bookmarkStart w:id="197" w:name="_Toc19486"/>
      <w:r>
        <w:rPr>
          <w:rFonts w:hint="eastAsia" w:ascii="仿宋" w:hAnsi="仿宋" w:eastAsia="楷体_GB2312"/>
          <w:b w:val="0"/>
          <w:bCs w:val="0"/>
        </w:rPr>
        <w:t>3.7  专家组</w:t>
      </w:r>
      <w:bookmarkEnd w:id="192"/>
      <w:bookmarkEnd w:id="193"/>
      <w:bookmarkEnd w:id="194"/>
      <w:bookmarkEnd w:id="195"/>
      <w:bookmarkEnd w:id="196"/>
      <w:bookmarkEnd w:id="197"/>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各镇办、各部门（单位）应建立突发事件应急管理专家库，根据需要抽调有关专家组成专家组，开展突发事件应急处置、调查评估等决策咨询服务工作。</w:t>
      </w:r>
    </w:p>
    <w:p>
      <w:pPr>
        <w:pStyle w:val="3"/>
        <w:keepNext w:val="0"/>
        <w:keepLines w:val="0"/>
        <w:widowControl w:val="0"/>
        <w:spacing w:before="0" w:beforeLines="0" w:after="0" w:afterLines="0" w:line="560" w:lineRule="exact"/>
        <w:ind w:firstLine="640" w:firstLineChars="200"/>
        <w:jc w:val="both"/>
        <w:rPr>
          <w:rFonts w:ascii="仿宋" w:hAnsi="仿宋" w:eastAsia="黑体" w:cs="黑体"/>
          <w:b w:val="0"/>
          <w:bCs w:val="0"/>
          <w:sz w:val="32"/>
          <w:szCs w:val="32"/>
        </w:rPr>
      </w:pPr>
      <w:bookmarkStart w:id="198" w:name="_Toc6651"/>
      <w:bookmarkStart w:id="199" w:name="_Toc3043"/>
      <w:bookmarkStart w:id="200" w:name="_Toc55226493"/>
      <w:bookmarkStart w:id="201" w:name="_Toc19416"/>
      <w:bookmarkStart w:id="202" w:name="_Toc20569"/>
      <w:bookmarkStart w:id="203" w:name="_Toc9294"/>
      <w:r>
        <w:rPr>
          <w:rFonts w:hint="eastAsia" w:ascii="仿宋" w:hAnsi="仿宋" w:eastAsia="黑体" w:cs="黑体"/>
          <w:b w:val="0"/>
          <w:bCs w:val="0"/>
          <w:sz w:val="32"/>
          <w:szCs w:val="32"/>
        </w:rPr>
        <w:t>4  运行机制</w:t>
      </w:r>
      <w:bookmarkEnd w:id="198"/>
      <w:bookmarkEnd w:id="199"/>
      <w:bookmarkEnd w:id="200"/>
      <w:bookmarkEnd w:id="201"/>
      <w:bookmarkEnd w:id="202"/>
      <w:bookmarkEnd w:id="203"/>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各镇办、各部门（单位）要建立健全应对突发事件的风险防控、监测预警、信息报告、应急处置、恢复重建等工作机制。</w:t>
      </w:r>
    </w:p>
    <w:p>
      <w:pPr>
        <w:pStyle w:val="5"/>
        <w:keepNext w:val="0"/>
        <w:keepLines w:val="0"/>
        <w:widowControl w:val="0"/>
        <w:spacing w:before="0" w:beforeLines="0" w:after="0" w:afterLines="0" w:line="560" w:lineRule="exact"/>
        <w:ind w:firstLine="640" w:firstLineChars="200"/>
        <w:jc w:val="both"/>
        <w:rPr>
          <w:rFonts w:ascii="仿宋" w:hAnsi="仿宋" w:eastAsia="楷体_GB2312"/>
          <w:b w:val="0"/>
          <w:bCs w:val="0"/>
        </w:rPr>
      </w:pPr>
      <w:bookmarkStart w:id="204" w:name="_Toc32587"/>
      <w:bookmarkStart w:id="205" w:name="_Toc10714"/>
      <w:bookmarkStart w:id="206" w:name="_Toc55226494"/>
      <w:bookmarkStart w:id="207" w:name="_Toc17773"/>
      <w:bookmarkStart w:id="208" w:name="_Toc16090"/>
      <w:bookmarkStart w:id="209" w:name="_Toc7405"/>
      <w:r>
        <w:rPr>
          <w:rFonts w:hint="eastAsia" w:ascii="仿宋" w:hAnsi="仿宋" w:eastAsia="楷体_GB2312"/>
          <w:b w:val="0"/>
          <w:bCs w:val="0"/>
        </w:rPr>
        <w:t>4.1  风险防控</w:t>
      </w:r>
      <w:bookmarkEnd w:id="204"/>
      <w:bookmarkEnd w:id="205"/>
      <w:bookmarkEnd w:id="206"/>
      <w:bookmarkEnd w:id="207"/>
      <w:bookmarkEnd w:id="208"/>
      <w:bookmarkEnd w:id="209"/>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突发事件应对工作要坚持预防第一、预防和应急相结合，立足于防，关口前移，防患于未然。</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1）各镇办、各部门（单位）要健全风险防范化解机制，提升多灾种和灾害链综合监测、风险早期识别能力，对各类危险源、危险区域进行调查、辨识、评估、分级、登记，建立台账，定期进行检查、监控，责令有关单位采取安全防范措施、落实主体责任，健全信息共享机制，按照国家有关规定及时向社会公布相关信息。有关部门要按照职责分工对可能发生的突发事件进行综合性评估和趋势分析，研究制定风险分级分类标准和管理办法。突发事件应对主要职责部门每年年底前对下一年度突发事件发展趋势进行研判和预测分析，提出防范措施建议，报区委、区政府，抄送区应急管理部门。</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2）各镇办、各部门（单位）要坚持协同防控原则，统筹建立社区、村（居）、重点单位风险防控体系。各镇办、各部门（单位）要及时发现和处置各类风险隐患，落实风险管控措施。对重大风险和危险源，对易发重特大事故的行业和领域采取风险分级管控和隐患排查治理双重预防性工作机制，制定专项防控措施和应急预案，同时做好监控和应急准备工作；对一些影响大、群众反映强烈的普遍性和倾向性社会矛盾问题，要研究采取治本措施，力求从源头上解决；必要时要立即向区委、区政府报告，并向市委、市政府有关部门及当地驻军和可能受到危害的毗邻或相关地区的党委、政府通报。</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3）重大关键基础设施设计单位要科学选址、优化布局，实施风险评估、可行性论证，增强防灾抗灾和风险管控能力；运营和维护单位要建立完善日常安全和风险管理制度；各镇办、各部门（单位）要加强安全监督检查。</w:t>
      </w:r>
    </w:p>
    <w:p>
      <w:pPr>
        <w:widowControl w:val="0"/>
        <w:spacing w:after="0" w:afterLines="0" w:line="560" w:lineRule="exact"/>
        <w:ind w:firstLine="640" w:firstLineChars="200"/>
        <w:jc w:val="both"/>
        <w:rPr>
          <w:rFonts w:ascii="仿宋" w:hAnsi="仿宋" w:eastAsia="仿宋_GB2312" w:cs="仿宋_GB2312"/>
          <w:sz w:val="32"/>
          <w:szCs w:val="32"/>
        </w:rPr>
      </w:pPr>
      <w:r>
        <w:rPr>
          <w:rFonts w:hint="eastAsia" w:ascii="仿宋" w:hAnsi="仿宋" w:eastAsia="仿宋_GB2312"/>
          <w:sz w:val="32"/>
          <w:szCs w:val="32"/>
        </w:rPr>
        <w:t>（4）各相关部门制定城乡规划须充分考虑公共安全风险因素，坚持底线思维，统筹安排应对突发事件所必需的设备和基础设施建设。要加强城乡防灾减灾能力建设，抓好以源头治理为重点的安全生产基础能力建设，完善城乡以医疗救治体系和疾病预防控制为重点的公共卫生保障体系，健全以利益协调机制、诉求表达机制、矛盾调处化解机制为重点的社会安全基础能力建设。</w:t>
      </w:r>
      <w:bookmarkStart w:id="210" w:name="_Toc3196"/>
      <w:bookmarkStart w:id="211" w:name="_Toc11215"/>
    </w:p>
    <w:p>
      <w:pPr>
        <w:widowControl w:val="0"/>
        <w:spacing w:after="0" w:afterLines="0" w:line="560" w:lineRule="exact"/>
        <w:ind w:firstLine="640" w:firstLineChars="200"/>
        <w:jc w:val="both"/>
        <w:outlineLvl w:val="1"/>
        <w:rPr>
          <w:rFonts w:ascii="仿宋" w:hAnsi="仿宋" w:eastAsia="楷体_GB2312" w:cs="楷体"/>
          <w:bCs/>
          <w:sz w:val="32"/>
          <w:szCs w:val="32"/>
        </w:rPr>
      </w:pPr>
      <w:bookmarkStart w:id="212" w:name="_Toc26012"/>
      <w:bookmarkStart w:id="213" w:name="_Toc55226495"/>
      <w:r>
        <w:rPr>
          <w:rFonts w:hint="eastAsia" w:ascii="仿宋" w:hAnsi="仿宋" w:eastAsia="楷体_GB2312" w:cs="楷体"/>
          <w:bCs/>
          <w:sz w:val="32"/>
          <w:szCs w:val="32"/>
        </w:rPr>
        <w:t>4.2  监测预警</w:t>
      </w:r>
      <w:bookmarkEnd w:id="210"/>
      <w:bookmarkEnd w:id="211"/>
      <w:bookmarkEnd w:id="212"/>
      <w:bookmarkEnd w:id="213"/>
    </w:p>
    <w:p>
      <w:pPr>
        <w:pStyle w:val="7"/>
        <w:keepNext w:val="0"/>
        <w:keepLines w:val="0"/>
        <w:widowControl w:val="0"/>
        <w:spacing w:before="0" w:beforeLines="0" w:after="0" w:afterLines="0" w:line="560" w:lineRule="exact"/>
        <w:ind w:firstLine="630" w:firstLineChars="196"/>
        <w:jc w:val="both"/>
        <w:rPr>
          <w:rFonts w:ascii="仿宋" w:hAnsi="仿宋" w:eastAsia="仿宋_GB2312" w:cs="仿宋"/>
          <w:bCs w:val="0"/>
        </w:rPr>
      </w:pPr>
      <w:bookmarkStart w:id="214" w:name="_Toc55226496"/>
      <w:bookmarkStart w:id="215" w:name="_Toc21184"/>
      <w:bookmarkStart w:id="216" w:name="_Toc13525"/>
      <w:bookmarkStart w:id="217" w:name="_Toc2802"/>
      <w:r>
        <w:rPr>
          <w:rFonts w:hint="eastAsia" w:ascii="仿宋" w:hAnsi="仿宋" w:eastAsia="仿宋_GB2312" w:cs="仿宋"/>
          <w:bCs w:val="0"/>
        </w:rPr>
        <w:t>4.2.1  监测</w:t>
      </w:r>
      <w:bookmarkEnd w:id="214"/>
      <w:bookmarkEnd w:id="215"/>
      <w:bookmarkEnd w:id="216"/>
      <w:bookmarkEnd w:id="217"/>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各镇办、各部门（单位）要建立健全突发事件监测制度，整合监测信息资源，完善信息资源获取和共享机制。各类突发事件主要职责部门负责相应突发事件监测信息汇总报告工作。各相关责任部门要根据突发事件种类和特点，建立健全基础信息数据库，完善监测网络，划分监测区域，确定监测点，明确监测项目，配备必要的设备、设施和专兼职人员，对可能发生的突发事件进行有效监测预判。</w:t>
      </w:r>
    </w:p>
    <w:p>
      <w:pPr>
        <w:pStyle w:val="7"/>
        <w:keepNext w:val="0"/>
        <w:keepLines w:val="0"/>
        <w:widowControl w:val="0"/>
        <w:spacing w:before="0" w:beforeLines="0" w:after="0" w:afterLines="0" w:line="560" w:lineRule="exact"/>
        <w:ind w:firstLine="643" w:firstLineChars="200"/>
        <w:jc w:val="both"/>
        <w:rPr>
          <w:rFonts w:ascii="仿宋" w:hAnsi="仿宋" w:eastAsia="仿宋_GB2312" w:cs="仿宋"/>
        </w:rPr>
      </w:pPr>
      <w:bookmarkStart w:id="218" w:name="_Toc55226497"/>
      <w:bookmarkStart w:id="219" w:name="_Toc22850"/>
      <w:bookmarkStart w:id="220" w:name="_Toc16100"/>
      <w:bookmarkStart w:id="221" w:name="_Toc18601"/>
      <w:r>
        <w:rPr>
          <w:rFonts w:hint="eastAsia" w:ascii="仿宋" w:hAnsi="仿宋" w:eastAsia="仿宋_GB2312" w:cs="仿宋"/>
        </w:rPr>
        <w:t>4.2.2  预警</w:t>
      </w:r>
      <w:bookmarkEnd w:id="218"/>
      <w:bookmarkEnd w:id="219"/>
      <w:bookmarkEnd w:id="220"/>
      <w:bookmarkEnd w:id="221"/>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各镇办、各部门（单位）建立健全突发事件预警机制，统筹预警信息发布，运用各类信息渠道，解决预警信息发布“最后一公里”问题。</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1）确定预警级别。对可以预警的自然灾害、事故灾难或公共卫生事件，有关部门接到相关征兆信息后，及时组织进行分析评估，研判发生的可能性、强度和影响范围以及可能发生的次生衍生突发事件类别，确定预警级别。按照紧急程度、发展势态</w:t>
      </w:r>
      <w:r>
        <w:rPr>
          <w:rFonts w:hint="eastAsia" w:ascii="仿宋" w:hAnsi="仿宋" w:eastAsia="仿宋_GB2312"/>
          <w:sz w:val="32"/>
          <w:szCs w:val="32"/>
          <w:lang w:val="en-US" w:eastAsia="zh-CN"/>
        </w:rPr>
        <w:t>及</w:t>
      </w:r>
      <w:r>
        <w:rPr>
          <w:rFonts w:hint="eastAsia" w:ascii="仿宋" w:hAnsi="仿宋" w:eastAsia="仿宋_GB2312"/>
          <w:sz w:val="32"/>
          <w:szCs w:val="32"/>
        </w:rPr>
        <w:t>可能造成的危害程度，预警级别可分为一级、二级、三级和四级，分别用红色、橙色、黄色和蓝色标示，一级为最高</w:t>
      </w:r>
      <w:r>
        <w:rPr>
          <w:rFonts w:hint="eastAsia" w:ascii="仿宋" w:hAnsi="仿宋" w:eastAsia="仿宋_GB2312"/>
          <w:sz w:val="32"/>
          <w:szCs w:val="32"/>
          <w:lang w:val="zh-CN"/>
        </w:rPr>
        <w:t>级别。</w:t>
      </w:r>
      <w:r>
        <w:rPr>
          <w:rFonts w:hint="eastAsia" w:ascii="仿宋" w:hAnsi="仿宋" w:eastAsia="仿宋_GB2312"/>
          <w:sz w:val="32"/>
          <w:szCs w:val="32"/>
        </w:rPr>
        <w:t>预警级别的具体划分标准由区级牵头部门按职责分工分类制定，并制定具体实施办法。对其他突发事件，要根据情况及时向有关方面通报提醒信息，必要时向社会公众发布安全警示。</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2）发布预警信息。分析评估结果确认突发事件即将发生或者发生的可能性增大时，各镇办、各部门（单位）根据分析评估结果，按有关规定立即发布预警信息，及时向区委、区政府报告，必要时可以越级上报，并向当地驻军和可能受到危害的毗邻或相关地区的党委、政府通报。根据事态发展，及时调整预警级别并更新报告、通报和发布有关突发事件预测信息和分析评估结果。</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预警信息的发布和调整，可通过广播、电视、报刊、通信、互联网、警报器、宣传车、大喇叭或组织人员逐户通知等方式进行。对老、幼、病、残、孕等特殊人群以及学校等特殊场所和警报盲区，应当采取有针对性的通知方式，确保预警信息发布对象无遗漏。</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新闻媒体、电信运营商应按照各镇办、各部门（单位）要求，及时、无偿向社会公开发布预警信息。</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（3）采取预警措施。发布预警信息后，有关方面要根据预警级别和实际情况以及分级负责的原则，采取下列一项或多项措施:</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①增加观测频次，及时收集、报告有关信息；</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②加强公众沟通，公布信息接收和咨询电话，向社会公告采取的有关特定措施、避免或减轻危害的建议和劝告等;</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③组织现场指挥员、应急队伍和负有特定职责的人员进入待命状态，动员后备人员做好参加应急处置和救援工作的准备，预置有关队伍、装备、物资等应急资源;</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④调集应急处置和救援所需物资、设备、工具，准备应急设施和避难场所，并确保其处于良好状态、随时可以投入正常使用;</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⑤加强对重点单位、重要部位和重要基础设施的安全保卫，维护社会治安秩序;</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⑥保障交通、通信、供水、排水、供电、供气、供热等公共设施的安全和正常运行;</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⑦转移、疏散或者撤离易受突发事件危害的人员并予以妥善安置，转移重要财产物资;</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⑧关闭或者限制使用易受突发事件危害的场所，控制或者限制容易导致危害扩大的公共场所的活动;</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⑨有关党委、政府和部门发布预警后，各镇办、各部门（单位）及时组织分析本地区和本行业可能受到影响的范围、程度等，安排部署有关防范性工作。</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（4）解除预警措施。当突发事件风险已经解除，发布预警的党委、政府或有关部门要立即宣布解除预警，终止预警期，解除已经采取的有关措施。</w:t>
      </w:r>
    </w:p>
    <w:p>
      <w:pPr>
        <w:pStyle w:val="7"/>
        <w:keepNext w:val="0"/>
        <w:keepLines w:val="0"/>
        <w:widowControl w:val="0"/>
        <w:spacing w:before="0" w:beforeLines="0" w:after="0" w:afterLines="0" w:line="560" w:lineRule="exact"/>
        <w:ind w:firstLine="640" w:firstLineChars="200"/>
        <w:jc w:val="both"/>
        <w:rPr>
          <w:rFonts w:ascii="仿宋" w:hAnsi="仿宋" w:eastAsia="楷体_GB2312"/>
          <w:b w:val="0"/>
          <w:bCs w:val="0"/>
        </w:rPr>
      </w:pPr>
      <w:bookmarkStart w:id="222" w:name="_Toc2901"/>
      <w:bookmarkStart w:id="223" w:name="_Toc4447"/>
      <w:bookmarkStart w:id="224" w:name="_Toc55226498"/>
      <w:bookmarkStart w:id="225" w:name="_Toc8109"/>
      <w:bookmarkStart w:id="226" w:name="_Toc20851"/>
      <w:r>
        <w:rPr>
          <w:rFonts w:hint="eastAsia" w:ascii="仿宋" w:hAnsi="仿宋" w:eastAsia="楷体_GB2312"/>
          <w:b w:val="0"/>
          <w:bCs w:val="0"/>
        </w:rPr>
        <w:t>4.3  信息报告</w:t>
      </w:r>
      <w:bookmarkEnd w:id="222"/>
      <w:bookmarkEnd w:id="223"/>
      <w:bookmarkEnd w:id="224"/>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1）各镇办、各部门（单位）要积极推进安全风险网格化管理，创新基层网格员管理体制机制，统筹灾害信息员、网格员等资源，承担风险隐患巡查报告、突发事件第一时间报告、第一时间先期处置、灾情统计报告等职责，建立统一规范的基层网格员管理和激励制度，实现村（居）网格化管理。鼓励获悉突发事件信息的公民主动向所在地党委、政府、有关主管部门或者指定的专业机构报告。</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2）突发事件发生后，事发单位和有关村（居）、企业、社会组织及相关专业机构、监测网点等要第一时间向所在地镇办及其有关主管部门报告信息。有关主管部门立即向区委、区政府通报。事发地镇办及有关部门（单位）按照有关规定向各级党委、政府及有关部门（单位）报送信息。根据事态进展，及时续报事件处置等有关情况。</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报告内容一般包括突发事件发生的时间、地点、信息来源、性质、简要经过、影响范围（含环境影响）、人员伤（病）亡和失联情况、建筑物破坏情况、交通通信电力等基础设施损毁情况、现场救援情况和已经采取相关措施等。</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3）各镇办、各部门（单位）要全面掌握突发事件信息，并按照有关规定向各级党委、政府及有关部门（单位）报送。对于一些本身比较敏感或发生在重点地区、重要时期，或可能演化为较大及以上突发事件的，不受《突发事件分级标准》限制。</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4）接到突发事件信息后，各镇办、各部门（单位）要按照省、市、区有关规定，立即向区委、区政府及有关部门报告，不得迟报、漏报、谎报和瞒报，同时通报可能受影响的地区、部门和企业。特别重大突发事件、重大灾情发生后或特殊情况下，事发地镇办及有关部门可直接向市及其有关部门报告。</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（5）涉及港澳台侨、外籍人员，或影响到境外的突发事件，需要向港、澳、台以及有关国家、地区、国际机构通报的，按照相关规定办理。</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6）各镇办、各部门（单位）应当建立健全信息快速获取机制，完善突发事件信息报送和信息共享系统，融合相关部门、地方的应急基础信息、地理信息、应急资源信息、预案和案例信息、事件动态信息等，为突发事件应对提供信息报告。</w:t>
      </w:r>
      <w:bookmarkEnd w:id="225"/>
      <w:bookmarkEnd w:id="226"/>
    </w:p>
    <w:p>
      <w:pPr>
        <w:pStyle w:val="7"/>
        <w:keepNext w:val="0"/>
        <w:keepLines w:val="0"/>
        <w:widowControl w:val="0"/>
        <w:spacing w:before="0" w:beforeLines="0" w:after="0" w:afterLines="0" w:line="560" w:lineRule="exact"/>
        <w:ind w:firstLine="640" w:firstLineChars="200"/>
        <w:jc w:val="both"/>
        <w:rPr>
          <w:rFonts w:ascii="仿宋" w:hAnsi="仿宋" w:eastAsia="楷体_GB2312" w:cs="楷体"/>
          <w:b w:val="0"/>
          <w:bCs w:val="0"/>
        </w:rPr>
      </w:pPr>
      <w:bookmarkStart w:id="227" w:name="_Toc30683"/>
      <w:bookmarkStart w:id="228" w:name="_Toc10169"/>
      <w:bookmarkStart w:id="229" w:name="_Toc55226499"/>
      <w:bookmarkStart w:id="230" w:name="_Toc9675"/>
      <w:r>
        <w:rPr>
          <w:rFonts w:hint="eastAsia" w:ascii="仿宋" w:hAnsi="仿宋" w:eastAsia="楷体_GB2312" w:cs="楷体"/>
          <w:b w:val="0"/>
          <w:bCs w:val="0"/>
        </w:rPr>
        <w:t xml:space="preserve">4.4 </w:t>
      </w:r>
      <w:bookmarkEnd w:id="227"/>
      <w:r>
        <w:rPr>
          <w:rFonts w:hint="eastAsia" w:ascii="仿宋" w:hAnsi="仿宋" w:eastAsia="楷体_GB2312" w:cs="楷体"/>
          <w:b w:val="0"/>
          <w:bCs w:val="0"/>
        </w:rPr>
        <w:t xml:space="preserve"> 应急救援和处置</w:t>
      </w:r>
      <w:bookmarkEnd w:id="228"/>
      <w:bookmarkEnd w:id="229"/>
      <w:bookmarkEnd w:id="230"/>
    </w:p>
    <w:p>
      <w:pPr>
        <w:pStyle w:val="7"/>
        <w:keepNext w:val="0"/>
        <w:keepLines w:val="0"/>
        <w:widowControl w:val="0"/>
        <w:spacing w:before="0" w:beforeLines="0" w:after="0" w:afterLines="0" w:line="560" w:lineRule="exact"/>
        <w:ind w:firstLine="643" w:firstLineChars="200"/>
        <w:jc w:val="both"/>
        <w:rPr>
          <w:rFonts w:ascii="仿宋" w:hAnsi="仿宋" w:eastAsia="仿宋_GB2312" w:cs="仿宋"/>
        </w:rPr>
      </w:pPr>
      <w:bookmarkStart w:id="231" w:name="_Toc28309"/>
      <w:bookmarkStart w:id="232" w:name="_Toc20230"/>
      <w:bookmarkStart w:id="233" w:name="_Toc55226500"/>
      <w:bookmarkStart w:id="234" w:name="_Toc4908"/>
      <w:r>
        <w:rPr>
          <w:rFonts w:hint="eastAsia" w:ascii="仿宋" w:hAnsi="仿宋" w:eastAsia="仿宋_GB2312" w:cs="仿宋"/>
        </w:rPr>
        <w:t>4.4.1  先期处置</w:t>
      </w:r>
      <w:bookmarkEnd w:id="231"/>
      <w:bookmarkEnd w:id="232"/>
      <w:bookmarkEnd w:id="233"/>
      <w:bookmarkEnd w:id="234"/>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1）突发事件发生后事发单位要立即报告当地镇办和区级有关部门，同时组织本单位应急救援队伍和工作人员营救受害人员，疏散、撤离、安置受威胁人员、加强救援处置人员防护;控制危险源、可疑的传染源，标明危险区域，封锁危险场所，并采取其它防止危害扩大的必要措施，维护现场秩序；对因本单位的问题引发的或主体是本单位人员的社会安全事件，有关单位要迅速派出负责同志赶赴现场开展劝解、疏导工作。</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（2）事发地村（居）民委员会和其它组织要立即进行宣传动员，组织群众开展自救和互救，协助维护社会秩序，按照当地镇办的决定或命令组织开展突发事件应对工作。</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（3）各镇办、各部门（单位）应调动应急队伍，采取措施控制事态发展，组织开展应急处置和救援工作，并及时向区委、区政府报告。</w:t>
      </w:r>
    </w:p>
    <w:p>
      <w:pPr>
        <w:pStyle w:val="7"/>
        <w:keepNext w:val="0"/>
        <w:keepLines w:val="0"/>
        <w:widowControl w:val="0"/>
        <w:spacing w:before="0" w:beforeLines="0" w:after="0" w:afterLines="0" w:line="560" w:lineRule="exact"/>
        <w:ind w:firstLine="643" w:firstLineChars="200"/>
        <w:jc w:val="both"/>
        <w:rPr>
          <w:rFonts w:ascii="仿宋" w:hAnsi="仿宋" w:eastAsia="仿宋_GB2312" w:cs="仿宋"/>
        </w:rPr>
      </w:pPr>
      <w:bookmarkStart w:id="235" w:name="_Toc26698"/>
      <w:bookmarkStart w:id="236" w:name="_Toc11972"/>
      <w:bookmarkStart w:id="237" w:name="_Toc1990"/>
      <w:bookmarkStart w:id="238" w:name="_Toc55226501"/>
      <w:r>
        <w:rPr>
          <w:rFonts w:hint="eastAsia" w:ascii="仿宋" w:hAnsi="仿宋" w:eastAsia="仿宋_GB2312" w:cs="仿宋"/>
        </w:rPr>
        <w:t>4.4.2  指挥协调</w:t>
      </w:r>
      <w:bookmarkEnd w:id="235"/>
      <w:bookmarkEnd w:id="236"/>
      <w:bookmarkEnd w:id="237"/>
      <w:bookmarkEnd w:id="238"/>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1）组织指挥。上级党委、政府及相关部门指导下级党委、政府及相应部门开展应对工作。上级组织指挥机构设立后，下级指挥机构按照上级组织指挥机构要求做好应急处置和救援工作。各镇办对本行政区域内各类突发事件应对负有属地管理责任，突发事件发生后，应立即启动响应，采取措施控制事态发展，组织开展应急处置和救援工作。</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2）现场指挥。应急指挥机构根据突发事件处置需要，可设立现场指挥机构，现场指挥机构实行总指挥负责制，参加现场应急救援的单位和个人应当服从现场指挥机构的统一指挥。上级党委、政府设立现场指挥机构的，下级党委、政府的组织指挥机构应纳入上级现场指挥机构，在上级现场指挥机构的统一领导下组织开展突发事件应对工作。现场指挥机构要充分听取有关专家意见建议，开设统一的救援队伍集结点、物资接收点和分发点、新闻发布中心，并提供必要的后勤保障。参与救援的应急力量要及时向现场指挥机构报到、受领任务，接受现场指挥机构的统一指挥调度，严格遵守交通管理、信息发布工作要求，并及时报告现场情况和处置工作进展情况，实现各方信息共享。</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3）协同联动。解放军、武警部队、综合性消防救援队伍、专业应急队伍和社会应急力量等在区委、区政府的统一领导下参与突发事件应急处置和救援，按规定的指挥关系和指挥权限行动。各组织指挥机构根据突发事件现场实际情况，及时调度指挥相关应急资源开展应急处置和救援行动。</w:t>
      </w:r>
    </w:p>
    <w:p>
      <w:pPr>
        <w:pStyle w:val="7"/>
        <w:keepNext w:val="0"/>
        <w:keepLines w:val="0"/>
        <w:widowControl w:val="0"/>
        <w:spacing w:before="0" w:beforeLines="0" w:after="0" w:afterLines="0" w:line="560" w:lineRule="exact"/>
        <w:ind w:firstLine="643" w:firstLineChars="200"/>
        <w:jc w:val="both"/>
        <w:rPr>
          <w:rFonts w:ascii="仿宋" w:hAnsi="仿宋" w:eastAsia="仿宋_GB2312" w:cs="仿宋"/>
        </w:rPr>
      </w:pPr>
      <w:bookmarkStart w:id="239" w:name="_Toc55226502"/>
      <w:bookmarkStart w:id="240" w:name="_Toc15183"/>
      <w:bookmarkStart w:id="241" w:name="_Toc31136"/>
      <w:bookmarkStart w:id="242" w:name="_Toc4738"/>
      <w:r>
        <w:rPr>
          <w:rFonts w:hint="eastAsia" w:ascii="仿宋" w:hAnsi="仿宋" w:eastAsia="仿宋_GB2312" w:cs="仿宋"/>
        </w:rPr>
        <w:t>4.4.3  处置措施</w:t>
      </w:r>
      <w:bookmarkEnd w:id="239"/>
      <w:bookmarkEnd w:id="240"/>
      <w:bookmarkEnd w:id="241"/>
      <w:bookmarkEnd w:id="242"/>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（1）自然灾害、事故灾难或者公共卫生事件发生后，各镇办、各部门（单位）应采取下列一项或者多项应急措施:</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①现场信息获取。组织现场人员、应急测绘和勘察队伍等，迅速获取核实现场信息，特别是重要目标物、人员密集场所和人口分布情况，利用无人机、雷达、卫星等手段获取现场影像，分析研判道路、桥梁、通信、电力等基础设施和居民住房损毁情况，提出初步评估意见，并向现场指挥机构和有关部门报告。</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②组织营救受灾和被困人员，疏散、撤离并妥善安置受威胁人员，保护、转移重要财产，必要时组织动员社会应急力量有序参与应急救援和处置、受灾人员救助工作。</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③组织开展伤病员救治、卫生防疫和应急心理援助等医疗卫生处置工作，组织应急免疫接种、预防性服药，开展卫生防疫和健康防病知识宣传。</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④组织开展抢险工作，控制危险源、减轻或消除危害，标明危险区域、封锁危险场所，划定警戒区、实行交通管制以及其它控制措施，快速疏散无关聚集人员，交通运输、铁路、民航、公安等有关部门要保证紧急情况下应急交通工具的优先安排、优先调度、优先放行，确保抢险救灾物资和人员能够及时、安全送达。</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⑤组织抢修被损坏的交通、水利、通信、供（排）水、供电、供气、供热等公共设施，短时难以恢复的，要制定临时方案，保障社会生产生活基本需要。</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⑥开展环境应急监测，追踪研判污染范围、程度和发展趋势；切断污染源，控制和处置污染物，保护饮用水水源地等环境敏感部位，减轻环境影响；开展灾后环境风险排查，整治污染隐患，妥善处置事件应对中产生的废物。</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⑦禁止或者限制使用有关设备、设施，关闭或者限制使用有关场所，中止人员密集的活动或者可能导致危害扩大的生产经营活动以及采取其它保护措施。</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⑧落实应急救援资金和储备的应急救援救灾物资，必要时征用其它急需物资、设备、设施、工具。</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⑨做好受灾群众的基本生活保障工作，提供食品、饮用水、衣被、燃料等基本生活必需品和临时住所，开展卫生防疫工作，确保灾区群众有饭吃、有水喝、有衣穿、有住处、有学上、有病能及时医治，确保大灾之后无大疫。</w:t>
      </w:r>
    </w:p>
    <w:p>
      <w:pPr>
        <w:widowControl w:val="0"/>
        <w:spacing w:after="0" w:afterLines="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⑩开展遇难人员善后处置工作，妥善处置遇难人员遗体，做好遇难人员家属安抚等工作。</w:t>
      </w:r>
    </w:p>
    <w:p>
      <w:pPr>
        <w:widowControl w:val="0"/>
        <w:spacing w:after="0" w:afterLines="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⑪组织开展救灾捐赠活动，接收、管理、分配救灾捐赠款物。</w:t>
      </w:r>
    </w:p>
    <w:p>
      <w:pPr>
        <w:widowControl w:val="0"/>
        <w:spacing w:after="0" w:afterLines="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⑫依法从严惩处囤积居奇、哄抬物价、制假售假等扰乱市场秩序的行为，稳定市场价格，维护市场秩序。</w:t>
      </w:r>
    </w:p>
    <w:p>
      <w:pPr>
        <w:widowControl w:val="0"/>
        <w:spacing w:after="0" w:afterLines="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⑬依法从严惩处哄抢财物、干扰应急处置工作等扰乱社会秩序的行为，维护社会治安。</w:t>
      </w:r>
    </w:p>
    <w:p>
      <w:pPr>
        <w:widowControl w:val="0"/>
        <w:spacing w:after="0" w:afterLines="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⑭采取其它防止发生次生、衍生灾害和事件的必要措施。</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（2）社会安全事件发生后，各镇办、各部门（单位）立即针对事件的性质和特点，采取下列一项或者多项应急措施:</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①了解和分析事件起因，有针对性地开展法制宣传和说服教育，及时疏导、化解矛盾和冲突。</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②维护现场治安秩序，对使用器械相互对抗或以暴力行为参与冲突的当事人实行强制隔离，妥善解决现场纠纷和争端，控制事态发展。</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③对特定区域内的建筑物、交通工具、设备、设施以及燃料、燃气、电力、水的供应进行控制，必要时依法对网络、通信进行管控。</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④封锁有关场所、道路，查验现场人员的身份证件，限制有关公共场所内的活动。</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⑤加强对易受冲击的核心机关和单位的警卫，在党政机关、军事机关、通讯社、广播电台、电视台、外国驻省领事馆等单位附近设置临时警戒线，加强对重点敏感人员、场所、部位和标志性建筑的安全保护。</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⑥法律法规等规定的其它必要措施。严重危害社会治安秩序的事件发生时，立即依法出动警力，加大社会面检查、巡逻、控制力度，根据现场情况依法采取相应的强制性措施，尽快使社会秩序恢复正常。</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3）各镇办、有关部门（单位）应当加强保障体系建设，完善快速反应联动机制，做好交通运输、医疗卫生、能源供应、通信、灾害现场信息、抢险救援物资装备、救济救灾保障、自然灾害救助、社会秩序、新闻宣传等应急保障工作。</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（4）当突发事件严重影响区域经济、社会正常运行时，省政府或授权的有关主管部门可以采取救助、保障、控制等必要的应急措施，保障人民群众的基本生产生活需要，最大程度地减轻突发事件的影响。</w:t>
      </w:r>
    </w:p>
    <w:p>
      <w:pPr>
        <w:pStyle w:val="7"/>
        <w:keepNext w:val="0"/>
        <w:keepLines w:val="0"/>
        <w:widowControl w:val="0"/>
        <w:spacing w:before="0" w:beforeLines="0" w:after="0" w:afterLines="0" w:line="560" w:lineRule="exact"/>
        <w:ind w:firstLine="643" w:firstLineChars="200"/>
        <w:jc w:val="both"/>
        <w:rPr>
          <w:rFonts w:ascii="仿宋" w:hAnsi="仿宋" w:eastAsia="仿宋_GB2312" w:cs="仿宋"/>
        </w:rPr>
      </w:pPr>
      <w:bookmarkStart w:id="243" w:name="_Toc19533"/>
      <w:bookmarkStart w:id="244" w:name="_Toc6714"/>
      <w:bookmarkStart w:id="245" w:name="_Toc7117"/>
      <w:bookmarkStart w:id="246" w:name="_Toc55226503"/>
      <w:r>
        <w:rPr>
          <w:rFonts w:hint="eastAsia" w:ascii="仿宋" w:hAnsi="仿宋" w:eastAsia="仿宋_GB2312" w:cs="仿宋"/>
        </w:rPr>
        <w:t>4.4.4  信息发布与舆论引导</w:t>
      </w:r>
      <w:bookmarkEnd w:id="243"/>
      <w:bookmarkEnd w:id="244"/>
      <w:bookmarkEnd w:id="245"/>
      <w:bookmarkEnd w:id="246"/>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按照前述分级应对与响应分级原则，负有应对职责的各应急指挥机构要制定统一的信息发布与舆论引导方案，与突发事件应对处置工作同时研究、同时部署、同时行动。对可能受到突发事件后果直接威胁的社会公众，应按照“监测预警”部分的要求及时向其发布预警信息。</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1）特别重大、重大突发事件发生后，事发地镇办、各部门（单位）要协助市委市政府、区委区政府或指挥机构在事件发生后的第一时间通过主流媒体向社会发布简要信息，最迟要在5小时内发布权威信息，随后发布初步核实情况、已经采取的应对措施和公众防范要求等，最迟应在24小时内举行新闻发布会，根据突发事件处置情况做好后续发布工作。发生较大、一般突发事件，要由区融媒体中心发布权威信息，并根据处置进展动态发布更新信息。法律、行政法规和国家另有规定的，从其规定。</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（2）信息发布由区委、区政府设立的应急组织指挥机构负责。必要时，按照上级党委、政府或上级专项应急指挥机构的要求，由上级党委、政府有关部门统筹协调信息发布工作。</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（3）信息发布形式主要包括提供新闻稿、组织吹风会、组织报道、举行新闻发布会、接受媒体采访，运用官方网站、微博、微信及移动客户端、手机短信等平台等发布信息，具体按照有关规定执行。</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4）各镇办、有关部门（单位）要加强网络媒体和移动互联网媒体信息发布内容管理和舆情分析工作，迅速澄清谣言，依法查处造谣生事者并向社会公开揭露曝光，及时回应社会关切，引导网民依法、理性表达意见，形成积极健康的社会舆论氛围。</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5）参与突发事件应急处置工作的各镇办、有关部门（单位）和个人不得擅自对外发布事件原因、伤亡数字、责任追究等有关突发事件处置工作的情况和事态发展的信息。任何单位和个人不得编造、传播有关突发事件事态发展或者应急处置工作的虚假信息。</w:t>
      </w:r>
    </w:p>
    <w:p>
      <w:pPr>
        <w:pStyle w:val="7"/>
        <w:keepNext w:val="0"/>
        <w:keepLines w:val="0"/>
        <w:widowControl w:val="0"/>
        <w:spacing w:before="0" w:beforeLines="0" w:after="0" w:afterLines="0" w:line="560" w:lineRule="exact"/>
        <w:ind w:firstLine="643" w:firstLineChars="200"/>
        <w:jc w:val="both"/>
        <w:rPr>
          <w:rFonts w:ascii="仿宋" w:hAnsi="仿宋" w:eastAsia="仿宋_GB2312" w:cs="仿宋"/>
        </w:rPr>
      </w:pPr>
      <w:bookmarkStart w:id="247" w:name="_Toc1956"/>
      <w:bookmarkStart w:id="248" w:name="_Toc26254"/>
      <w:bookmarkStart w:id="249" w:name="_Toc55226504"/>
      <w:r>
        <w:rPr>
          <w:rFonts w:hint="eastAsia" w:ascii="仿宋" w:hAnsi="仿宋" w:eastAsia="仿宋_GB2312" w:cs="仿宋"/>
        </w:rPr>
        <w:t>4.4.5  紧急状态</w:t>
      </w:r>
      <w:bookmarkEnd w:id="247"/>
      <w:bookmarkEnd w:id="248"/>
      <w:bookmarkEnd w:id="249"/>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发生或即将发生特别重大突发事件，采取一般处置措施无法控制和消除其严重社会危害，需要宣布全区或者区内部分区域进入紧急状态的，依法由区政府提请市政府决定。进入紧急状态的决定应依法立即通过新闻媒体向公众公布。</w:t>
      </w:r>
    </w:p>
    <w:p>
      <w:pPr>
        <w:pStyle w:val="7"/>
        <w:keepNext w:val="0"/>
        <w:keepLines w:val="0"/>
        <w:widowControl w:val="0"/>
        <w:spacing w:before="0" w:beforeLines="0" w:after="0" w:afterLines="0" w:line="560" w:lineRule="exact"/>
        <w:ind w:firstLine="643" w:firstLineChars="200"/>
        <w:jc w:val="both"/>
        <w:rPr>
          <w:rFonts w:ascii="仿宋" w:hAnsi="仿宋" w:eastAsia="仿宋_GB2312" w:cs="仿宋"/>
        </w:rPr>
      </w:pPr>
      <w:bookmarkStart w:id="250" w:name="_Toc13149"/>
      <w:bookmarkStart w:id="251" w:name="_Toc5141"/>
      <w:bookmarkStart w:id="252" w:name="_Toc55226505"/>
      <w:bookmarkStart w:id="253" w:name="_Toc17430"/>
      <w:r>
        <w:rPr>
          <w:rFonts w:hint="eastAsia" w:ascii="仿宋" w:hAnsi="仿宋" w:eastAsia="仿宋_GB2312" w:cs="仿宋"/>
        </w:rPr>
        <w:t>4.4.6  应急结束</w:t>
      </w:r>
      <w:bookmarkEnd w:id="250"/>
      <w:bookmarkEnd w:id="251"/>
      <w:bookmarkEnd w:id="252"/>
      <w:bookmarkEnd w:id="253"/>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突发事件应急处置工作结束，或相关威胁和危害得到控制、消除后，履行统一领导职责的党委、政府或应急指挥机构可宣布应急结束，或逐步停止有关应急处置措施，应急队伍和工作人员有序撤离。同时采取或者继续实施必要措施，防止发生次生、衍生事件或者事态反复。现场指挥机构停止运行后，通知相关方面解除应急措施，进入过渡时期，逐步恢复正常生产生活秩序。</w:t>
      </w:r>
    </w:p>
    <w:p>
      <w:pPr>
        <w:pStyle w:val="5"/>
        <w:keepNext w:val="0"/>
        <w:keepLines w:val="0"/>
        <w:widowControl w:val="0"/>
        <w:spacing w:before="0" w:beforeLines="0" w:after="0" w:afterLines="0" w:line="560" w:lineRule="exact"/>
        <w:ind w:firstLine="640" w:firstLineChars="200"/>
        <w:jc w:val="both"/>
        <w:rPr>
          <w:rFonts w:ascii="仿宋" w:hAnsi="仿宋" w:eastAsia="楷体_GB2312" w:cs="楷体"/>
          <w:b w:val="0"/>
          <w:bCs w:val="0"/>
        </w:rPr>
      </w:pPr>
      <w:bookmarkStart w:id="254" w:name="_Toc23900"/>
      <w:bookmarkStart w:id="255" w:name="_Toc17148"/>
      <w:bookmarkStart w:id="256" w:name="_Toc2085"/>
      <w:bookmarkStart w:id="257" w:name="_Toc22292"/>
      <w:bookmarkStart w:id="258" w:name="_Toc31731"/>
      <w:bookmarkStart w:id="259" w:name="_Toc55226506"/>
      <w:r>
        <w:rPr>
          <w:rFonts w:hint="eastAsia" w:ascii="仿宋" w:hAnsi="仿宋" w:eastAsia="楷体_GB2312" w:cs="楷体"/>
          <w:b w:val="0"/>
          <w:bCs w:val="0"/>
        </w:rPr>
        <w:t>4.5  恢复重建</w:t>
      </w:r>
      <w:bookmarkEnd w:id="254"/>
      <w:bookmarkEnd w:id="255"/>
      <w:bookmarkEnd w:id="256"/>
      <w:bookmarkEnd w:id="257"/>
      <w:bookmarkEnd w:id="258"/>
      <w:bookmarkEnd w:id="259"/>
    </w:p>
    <w:p>
      <w:pPr>
        <w:pStyle w:val="7"/>
        <w:keepNext w:val="0"/>
        <w:keepLines w:val="0"/>
        <w:widowControl w:val="0"/>
        <w:spacing w:before="0" w:beforeLines="0" w:after="0" w:afterLines="0" w:line="560" w:lineRule="exact"/>
        <w:ind w:firstLine="643" w:firstLineChars="200"/>
        <w:jc w:val="both"/>
        <w:rPr>
          <w:rFonts w:ascii="仿宋" w:hAnsi="仿宋" w:eastAsia="仿宋_GB2312" w:cs="仿宋"/>
        </w:rPr>
      </w:pPr>
      <w:bookmarkStart w:id="260" w:name="_Toc10773"/>
      <w:bookmarkStart w:id="261" w:name="_Toc26817"/>
      <w:bookmarkStart w:id="262" w:name="_Toc20396"/>
      <w:bookmarkStart w:id="263" w:name="_Toc55226507"/>
      <w:r>
        <w:rPr>
          <w:rFonts w:hint="eastAsia" w:ascii="仿宋" w:hAnsi="仿宋" w:eastAsia="仿宋_GB2312" w:cs="仿宋"/>
        </w:rPr>
        <w:t>4.5.1  善后处置</w:t>
      </w:r>
      <w:bookmarkEnd w:id="260"/>
      <w:bookmarkEnd w:id="261"/>
      <w:bookmarkEnd w:id="262"/>
      <w:bookmarkEnd w:id="263"/>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受突发事件影响地区的镇办应当根据本地区遭受损失的情况，制定救助、补偿、抚慰、抚恤、安置等善后工作方案。</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对突发事件中的伤亡人员、参与应急处置人员，按照规定给予抚恤、补助，并提供必要的心理咨询及司法援助。</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紧急调集或征用有关单位及个人的物资、提供的劳务应按照有关规定给予适当补偿，妥善解决因处置突发事件引发的矛盾和纠纷。</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有关部门要做好疫病防治和环境污染消除工作。</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保险监管机构要组织、督促有关保险机构及时开展查勘和理赔工作。</w:t>
      </w:r>
    </w:p>
    <w:p>
      <w:pPr>
        <w:pStyle w:val="7"/>
        <w:keepNext w:val="0"/>
        <w:keepLines w:val="0"/>
        <w:widowControl w:val="0"/>
        <w:spacing w:before="0" w:beforeLines="0" w:after="0" w:afterLines="0" w:line="560" w:lineRule="exact"/>
        <w:ind w:firstLine="643" w:firstLineChars="200"/>
        <w:jc w:val="both"/>
        <w:rPr>
          <w:rFonts w:ascii="仿宋" w:hAnsi="仿宋" w:eastAsia="仿宋_GB2312" w:cs="仿宋"/>
        </w:rPr>
      </w:pPr>
      <w:bookmarkStart w:id="264" w:name="_Toc55226508"/>
      <w:bookmarkStart w:id="265" w:name="_Toc7749"/>
      <w:bookmarkStart w:id="266" w:name="_Toc24038"/>
      <w:bookmarkStart w:id="267" w:name="_Toc13975"/>
      <w:r>
        <w:rPr>
          <w:rFonts w:hint="eastAsia" w:ascii="仿宋" w:hAnsi="仿宋" w:eastAsia="仿宋_GB2312" w:cs="仿宋"/>
        </w:rPr>
        <w:t>4.5.2  恢复重建</w:t>
      </w:r>
      <w:bookmarkEnd w:id="264"/>
      <w:bookmarkEnd w:id="265"/>
      <w:bookmarkEnd w:id="266"/>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健全区委区政府统筹指导、各镇办、有关部门（单位）履行主体责任、灾区群众广泛参与的灾后恢复重建机制，强化资金、政策、规划统筹，促进资源融合、效能提升。各部门（单位）要加大政策支持力度，并视情</w:t>
      </w:r>
      <w:r>
        <w:rPr>
          <w:rFonts w:hint="eastAsia" w:ascii="仿宋" w:hAnsi="仿宋" w:eastAsia="仿宋_GB2312"/>
          <w:sz w:val="32"/>
          <w:szCs w:val="32"/>
          <w:lang w:val="en-US" w:eastAsia="zh-CN"/>
        </w:rPr>
        <w:t>况</w:t>
      </w:r>
      <w:r>
        <w:rPr>
          <w:rFonts w:hint="eastAsia" w:ascii="仿宋" w:hAnsi="仿宋" w:eastAsia="仿宋_GB2312"/>
          <w:sz w:val="32"/>
          <w:szCs w:val="32"/>
        </w:rPr>
        <w:t>予以适当补助。强化地方重建主体责任，建立务实高效的规划落实推进机制。组织引导受灾地单位、群众开展自力更生、生产自救活动。</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1）恢复重建工作由事发地镇办、有关部门（单位）协助区委区政府或指挥机构完成。突发事件应急处置工作结束后，各镇办、各部门（单位）要立即组织制定恢复重建计划，并向上级党委、政府报告。发展改革、财政、公安、交通运输、铁路、工业和信息化、住房城乡建设、水利等部门要尽快开展工作，修复被损坏的交通、水利、通信、供（排）水、供电、供气、供热等公共设施，恢复社会秩序。</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2）需要区政府援助的，由事发地镇办提出请求，区政府有关部门根据灾害评估调查报告和受灾地区恢复重建计划，提出解决建议或意见，按有关规定组织实施。需要省援助的，由区政府向市有关方面提出请求。区政府根据受突发事件影响地区遭受损失的情况，制定扶持该地区经济社会和有关行业发展的优惠政策。</w:t>
      </w:r>
    </w:p>
    <w:p>
      <w:pPr>
        <w:pStyle w:val="7"/>
        <w:keepNext w:val="0"/>
        <w:keepLines w:val="0"/>
        <w:widowControl w:val="0"/>
        <w:spacing w:before="0" w:beforeLines="0" w:after="0" w:afterLines="0" w:line="560" w:lineRule="exact"/>
        <w:ind w:firstLine="643" w:firstLineChars="200"/>
        <w:jc w:val="both"/>
        <w:rPr>
          <w:rFonts w:ascii="仿宋" w:hAnsi="仿宋" w:eastAsia="仿宋_GB2312" w:cs="仿宋"/>
        </w:rPr>
      </w:pPr>
      <w:bookmarkStart w:id="268" w:name="_Toc8587"/>
      <w:bookmarkStart w:id="269" w:name="_Toc30346"/>
      <w:bookmarkStart w:id="270" w:name="_Toc55226509"/>
      <w:r>
        <w:rPr>
          <w:rFonts w:hint="eastAsia" w:ascii="仿宋" w:hAnsi="仿宋" w:eastAsia="仿宋_GB2312" w:cs="仿宋"/>
        </w:rPr>
        <w:t>4.5.3  调查与评估</w:t>
      </w:r>
      <w:bookmarkEnd w:id="267"/>
      <w:bookmarkEnd w:id="268"/>
      <w:bookmarkEnd w:id="269"/>
      <w:bookmarkEnd w:id="270"/>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1）各镇办、各部门（单位）应当配合履行统一领导职责的党委、政府及时查明突发事件的原因和过程，对突发事件造成的损失进行评估；组织参与处置的部门（单位）对应急处置工作进行复盘分析，总结经验教训，制定改进措施；各镇办、各部门（单位）应当配合履行统一领导职责的党委、政府将调查与评估情况向上级党委、政府提交报告。对于重大、特别重大突发事件，区委、区政府配合市、省、国家有关部门进行调查评估。</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（2）各镇办、有关部门（单位）对本行政区域上年度突发事件进行全面评估，向区委、区政府提交报告，并抄送区应急管理部门。</w:t>
      </w:r>
    </w:p>
    <w:p>
      <w:pPr>
        <w:pStyle w:val="3"/>
        <w:keepNext w:val="0"/>
        <w:keepLines w:val="0"/>
        <w:widowControl w:val="0"/>
        <w:spacing w:before="0" w:beforeLines="0" w:after="0" w:afterLines="0" w:line="560" w:lineRule="exact"/>
        <w:ind w:firstLine="640" w:firstLineChars="200"/>
        <w:jc w:val="both"/>
        <w:rPr>
          <w:rFonts w:ascii="仿宋" w:hAnsi="仿宋" w:eastAsia="黑体" w:cs="黑体"/>
          <w:b w:val="0"/>
          <w:bCs w:val="0"/>
          <w:sz w:val="32"/>
          <w:szCs w:val="32"/>
        </w:rPr>
      </w:pPr>
      <w:bookmarkStart w:id="271" w:name="_Toc10260"/>
      <w:bookmarkStart w:id="272" w:name="_Toc30052"/>
      <w:bookmarkStart w:id="273" w:name="_Toc55226510"/>
      <w:bookmarkStart w:id="274" w:name="_Toc15425"/>
      <w:bookmarkStart w:id="275" w:name="_Toc6642"/>
      <w:bookmarkStart w:id="276" w:name="_Toc10765"/>
      <w:r>
        <w:rPr>
          <w:rFonts w:hint="eastAsia" w:ascii="仿宋" w:hAnsi="仿宋" w:eastAsia="黑体" w:cs="黑体"/>
          <w:b w:val="0"/>
          <w:bCs w:val="0"/>
          <w:sz w:val="32"/>
          <w:szCs w:val="32"/>
        </w:rPr>
        <w:t xml:space="preserve">5  </w:t>
      </w:r>
      <w:bookmarkEnd w:id="271"/>
      <w:bookmarkEnd w:id="272"/>
      <w:r>
        <w:rPr>
          <w:rFonts w:hint="eastAsia" w:ascii="仿宋" w:hAnsi="仿宋" w:eastAsia="黑体" w:cs="黑体"/>
          <w:b w:val="0"/>
          <w:bCs w:val="0"/>
          <w:sz w:val="32"/>
          <w:szCs w:val="32"/>
        </w:rPr>
        <w:t>资源保障</w:t>
      </w:r>
      <w:bookmarkEnd w:id="273"/>
      <w:bookmarkEnd w:id="274"/>
      <w:bookmarkEnd w:id="275"/>
      <w:bookmarkEnd w:id="276"/>
    </w:p>
    <w:p>
      <w:pPr>
        <w:pStyle w:val="5"/>
        <w:keepNext w:val="0"/>
        <w:keepLines w:val="0"/>
        <w:widowControl w:val="0"/>
        <w:spacing w:before="0" w:beforeLines="0" w:after="0" w:afterLines="0" w:line="560" w:lineRule="exact"/>
        <w:ind w:firstLine="640" w:firstLineChars="200"/>
        <w:jc w:val="both"/>
        <w:rPr>
          <w:rFonts w:ascii="仿宋" w:hAnsi="仿宋" w:eastAsia="楷体_GB2312"/>
          <w:b w:val="0"/>
          <w:bCs w:val="0"/>
        </w:rPr>
      </w:pPr>
      <w:bookmarkStart w:id="277" w:name="_Toc3525"/>
      <w:bookmarkStart w:id="278" w:name="_Toc19237"/>
      <w:bookmarkStart w:id="279" w:name="_Toc31461"/>
      <w:bookmarkStart w:id="280" w:name="_Toc25179"/>
      <w:bookmarkStart w:id="281" w:name="_Toc2818"/>
      <w:bookmarkStart w:id="282" w:name="_Toc55226511"/>
      <w:r>
        <w:rPr>
          <w:rFonts w:hint="eastAsia" w:ascii="仿宋" w:hAnsi="仿宋" w:eastAsia="楷体_GB2312"/>
          <w:b w:val="0"/>
          <w:bCs w:val="0"/>
        </w:rPr>
        <w:t>5.1  人力资源</w:t>
      </w:r>
      <w:bookmarkEnd w:id="277"/>
      <w:bookmarkEnd w:id="278"/>
      <w:bookmarkEnd w:id="279"/>
      <w:bookmarkEnd w:id="280"/>
      <w:bookmarkEnd w:id="281"/>
      <w:bookmarkEnd w:id="282"/>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（1）国家综合性消防救援队伍是应急救援的国家队、主力军。区政府应当为综合性消防救援队伍的建设提供必要支持保障。</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2）专业应急队伍是应急处置和救援的骨干力量。宣传、网信、发展改革、工业和信息化、公安、自然资源和规划、生态环境、住房城乡建设、交通运输、水利、农业农村、文化和旅游、卫生健康、应急管理等部门根据职能分工和实际需要，在应急管理部门的统筹指导下，建设和管理本行业、本领域的专业应急队伍。</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3）解放军和武警部队是应急处置和救援的突击力量。要依法将其纳入应急力量体系建设。建立健全军地协调联动机制，应急管理信息系统实现互联互通。按照遂行应急任务能力要求，配备必要的装备，加强针对性训练和演练。</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（4）基层应急队伍是第一时间先期处置的重要力量。重点地区镇办及村(居)民委员会应当单独建立或者与有关单位、社会组织共同建立基层应急队伍。</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（5）社会应急队伍是应急救援和处置的辅助力量。各有关部门要制定相关政策措施，充分发挥红十字会、志愿者等社会力量作用，鼓励企事业单位、社会组织及公民个人等依法有序参与应急救援工作。</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（6）推进应急力量训练设施统建共用、开放共享。构建救援合作机制，创新组织协助模式，搭建信息服务平台，分类推进，试点先行，营造良好发展环境。</w:t>
      </w:r>
    </w:p>
    <w:p>
      <w:pPr>
        <w:pStyle w:val="5"/>
        <w:keepNext w:val="0"/>
        <w:keepLines w:val="0"/>
        <w:widowControl w:val="0"/>
        <w:spacing w:before="0" w:beforeLines="0" w:after="0" w:afterLines="0" w:line="560" w:lineRule="exact"/>
        <w:ind w:firstLine="640" w:firstLineChars="200"/>
        <w:jc w:val="both"/>
        <w:rPr>
          <w:rFonts w:ascii="仿宋" w:hAnsi="仿宋" w:eastAsia="楷体_GB2312"/>
          <w:b w:val="0"/>
          <w:bCs w:val="0"/>
        </w:rPr>
      </w:pPr>
      <w:bookmarkStart w:id="283" w:name="_Toc8433"/>
      <w:bookmarkStart w:id="284" w:name="_Toc17956"/>
      <w:bookmarkStart w:id="285" w:name="_Toc23352"/>
      <w:bookmarkStart w:id="286" w:name="_Toc19263"/>
      <w:bookmarkStart w:id="287" w:name="_Toc6039"/>
      <w:bookmarkStart w:id="288" w:name="_Toc55226512"/>
      <w:r>
        <w:rPr>
          <w:rFonts w:hint="eastAsia" w:ascii="仿宋" w:hAnsi="仿宋" w:eastAsia="楷体_GB2312"/>
          <w:b w:val="0"/>
          <w:bCs w:val="0"/>
        </w:rPr>
        <w:t>5.2  财力</w:t>
      </w:r>
      <w:bookmarkEnd w:id="283"/>
      <w:r>
        <w:rPr>
          <w:rFonts w:hint="eastAsia" w:ascii="仿宋" w:hAnsi="仿宋" w:eastAsia="楷体_GB2312"/>
          <w:b w:val="0"/>
          <w:bCs w:val="0"/>
        </w:rPr>
        <w:t>支持</w:t>
      </w:r>
      <w:bookmarkEnd w:id="284"/>
      <w:bookmarkEnd w:id="285"/>
      <w:bookmarkEnd w:id="286"/>
      <w:bookmarkEnd w:id="287"/>
      <w:bookmarkEnd w:id="288"/>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1）各镇办、各部门（单位）要将突发事件防范和应对工作所需经费纳入同级财政预算。突发事件所需应急准备、应急演练、救援处置、救灾安置等工作资金由应急管理部门或相关行业主管部门提出，经财政部门审核后，按规定程序列入年度财政预算。</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2）处置突发事件需要财政负担的经费，按照财政事权和支出责任划分，分级负担。对受突发事件影响较大和财政困难的地区，启动了区委、区政府应急响应的，可根据实际情况和各镇办申请，予以适当财政支持。</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（3）各有关部门根据区相关政策，研究提出相应的征用补偿或救助政策，必要时报区政府批准。财政和审计部门要对突发事件财政应急保障资金的使用情况进行监督和评估。</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（4）鼓励公民、法人或其它组织按照《中华人民共和国慈善法》《中华人民共和国公益事业捐赠法》等有关法律、法规的规定，为应对突发事件提供物资、装备、资金、技术支持和捐赠。</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5）建立健全灾害风险保险体系。建立完善巨灾保险制度，推行安全生产、环境污染和食品安全责任保险制度，鼓励单位和公民参加保险。救援人员参与可能发生危及人身安全的抢险救援行动前，应当为其购买相应的保险。</w:t>
      </w:r>
    </w:p>
    <w:p>
      <w:pPr>
        <w:pStyle w:val="5"/>
        <w:keepNext w:val="0"/>
        <w:keepLines w:val="0"/>
        <w:widowControl w:val="0"/>
        <w:spacing w:before="0" w:beforeLines="0" w:after="0" w:afterLines="0" w:line="560" w:lineRule="exact"/>
        <w:ind w:firstLine="640" w:firstLineChars="200"/>
        <w:jc w:val="both"/>
        <w:rPr>
          <w:rFonts w:ascii="仿宋" w:hAnsi="仿宋" w:eastAsia="楷体_GB2312"/>
          <w:b w:val="0"/>
          <w:bCs w:val="0"/>
        </w:rPr>
      </w:pPr>
      <w:bookmarkStart w:id="289" w:name="_Toc31056"/>
      <w:bookmarkStart w:id="290" w:name="_Toc19417"/>
      <w:bookmarkStart w:id="291" w:name="_Toc15538"/>
      <w:bookmarkStart w:id="292" w:name="_Toc55226513"/>
      <w:bookmarkStart w:id="293" w:name="_Toc25630"/>
      <w:bookmarkStart w:id="294" w:name="_Toc18747"/>
      <w:r>
        <w:rPr>
          <w:rFonts w:hint="eastAsia" w:ascii="仿宋" w:hAnsi="仿宋" w:eastAsia="楷体_GB2312"/>
          <w:b w:val="0"/>
          <w:bCs w:val="0"/>
        </w:rPr>
        <w:t>5.3  物资装备</w:t>
      </w:r>
      <w:bookmarkEnd w:id="289"/>
      <w:bookmarkEnd w:id="290"/>
      <w:bookmarkEnd w:id="291"/>
      <w:bookmarkEnd w:id="292"/>
      <w:bookmarkEnd w:id="293"/>
      <w:bookmarkEnd w:id="294"/>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1）区应急管理部门会同发展改革、财政等部门制定应急物资储备和应急救援装备规划并组织实施，有关部门按照职能分工加强相关类别应急物资和装备储备，不断提高救援装备技术水平，完善应急物资装备管理协调机制。商务部门负责生活必需品、重要消费品市场监测和保障市场供应工作。发展改革、财政、工业和信息化、应急管理、卫生健康等部门按照职能分工，建立健全重要应急物资监测网络、预警体系和应急物资生产、储备、调拨及紧急配送体系，完善应急工作程序，确保所需应急物资和生活用品及时供应，并加强对物资储备的监督管理，及时予以补充和更新。</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（2）各镇办、有关部门（单位）应根据有关法律、法规和应急预案的规定，做好应急物资储备工作，或与有关企业签订协议，保障应急救援物资、生活必需品和应急处置装备的生产、供给。</w:t>
      </w:r>
      <w:bookmarkStart w:id="295" w:name="_Toc12423"/>
      <w:bookmarkStart w:id="296" w:name="_Toc27411"/>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（3）张店区各储备库应急救援物资装备名称、存放地点、管理部门等信息如下：</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①张店区发展改革局救灾物资储备库（粮食和物资储备中心），位于张店区鲁泰大道和世纪路西北角大张村（大张派出所往西200米路南），面积为134平方米，库内现暂时存放120顶帐篷。</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②张店区应急管理局应急物资储备库，位于张店区和平路15号（和平路与西四路西南角区委党校院内），面积为45平方米，现储备防火、防汛和应急救援三类物资。</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③张店区水利局防汛物资储备库，位于张店区孝妇河湿地公园5米气盾闸管理区（新村路与滨莱高速往东200米路南），面积为118.8平方米，主要储备水泵、救生衣、救生圈、铁锹等各类防汛物资。</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④张店区市政事业服务中心仓库，位于张店区西五路北首瑞景苑院内西北角，面积约为40平方米，主要储备铁锨、水泵、沙袋等防汛物资。</w:t>
      </w:r>
    </w:p>
    <w:p>
      <w:pPr>
        <w:widowControl w:val="0"/>
        <w:spacing w:after="0" w:afterLines="0" w:line="560" w:lineRule="exact"/>
        <w:ind w:firstLine="640" w:firstLineChars="200"/>
        <w:jc w:val="both"/>
        <w:rPr>
          <w:rFonts w:hint="eastAsia" w:ascii="仿宋" w:hAnsi="仿宋" w:eastAsia="仿宋_GB2312"/>
          <w:sz w:val="32"/>
          <w:szCs w:val="32"/>
          <w:lang w:val="en-US" w:eastAsia="zh-CN"/>
        </w:rPr>
      </w:pPr>
      <w:r>
        <w:rPr>
          <w:rFonts w:hint="eastAsia" w:ascii="仿宋" w:hAnsi="仿宋" w:eastAsia="仿宋_GB2312"/>
          <w:sz w:val="32"/>
          <w:szCs w:val="32"/>
        </w:rPr>
        <w:t>⑤张店消防救援大队装备库（张店消防救援大队），位于张店区王舍路与西八路东南角，面积为30平方米，库内现暂时存放综合消防物资</w:t>
      </w:r>
      <w:r>
        <w:rPr>
          <w:rFonts w:hint="eastAsia" w:ascii="仿宋" w:hAnsi="仿宋" w:eastAsia="仿宋_GB2312"/>
          <w:sz w:val="32"/>
          <w:szCs w:val="32"/>
          <w:lang w:eastAsia="zh-CN"/>
        </w:rPr>
        <w:t>。</w:t>
      </w:r>
    </w:p>
    <w:p>
      <w:pPr>
        <w:widowControl w:val="0"/>
        <w:spacing w:after="0" w:afterLines="0" w:line="560" w:lineRule="exact"/>
        <w:ind w:firstLine="640" w:firstLineChars="200"/>
        <w:jc w:val="both"/>
        <w:rPr>
          <w:rFonts w:hint="eastAsia" w:ascii="仿宋_GB2312" w:hAnsi="仿宋_GB2312" w:eastAsia="仿宋_GB2312" w:cs="仿宋_GB2312"/>
          <w:sz w:val="32"/>
          <w:szCs w:val="32"/>
        </w:rPr>
      </w:pPr>
      <w:r>
        <w:rPr>
          <w:rFonts w:hint="eastAsia" w:ascii="仿宋" w:hAnsi="仿宋" w:eastAsia="仿宋_GB2312"/>
          <w:sz w:val="32"/>
          <w:szCs w:val="32"/>
        </w:rPr>
        <w:t>⑥张店区森林防火物资物资库（市自然资源和规划局张店分局），位于张店区鲁泰大道和世纪路西北角大张村（大张派</w:t>
      </w:r>
      <w:r>
        <w:rPr>
          <w:rFonts w:hint="eastAsia" w:ascii="仿宋_GB2312" w:hAnsi="仿宋_GB2312" w:eastAsia="仿宋_GB2312" w:cs="仿宋_GB2312"/>
          <w:sz w:val="32"/>
          <w:szCs w:val="32"/>
        </w:rPr>
        <w:t>出所往西200米路南），面积为20平方米，库内现暂时存放防火物资。</w:t>
      </w:r>
    </w:p>
    <w:p>
      <w:pPr>
        <w:widowControl w:val="0"/>
        <w:spacing w:after="0" w:afterLines="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⑦张店区特警大队应急仓库（张店公安分局），位于张店区鲁泰大道和世纪路西北角大张村（大张派出所往西200米路南），面积为350平方米，库内现暂时存放公共安全物资。</w:t>
      </w:r>
    </w:p>
    <w:p>
      <w:pPr>
        <w:widowControl w:val="0"/>
        <w:spacing w:after="0" w:afterLines="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⑧疾控中心仓库（张店区卫生健康局），位于张店区鲁泰大道和世纪路西北角大张村（大张派出所往西200米路南），面积为134平方米，库内现暂时存放医疗卫生防疫物资。</w:t>
      </w:r>
    </w:p>
    <w:p>
      <w:pPr>
        <w:widowControl w:val="0"/>
        <w:spacing w:after="0" w:afterLines="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⑨张店供电中心仓库（张店供电中心），位于张店区一帆路7号，面积80平方米，库内现暂时存放应急供电物资。</w:t>
      </w:r>
    </w:p>
    <w:p>
      <w:pPr>
        <w:widowControl w:val="0"/>
        <w:spacing w:after="0" w:afterLines="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⑩市生态环境局张店分局仓库（市生态环境局张店分局），位于张店区新村西路182号，面积为134平方米，库内现暂时存放环境监测物资。</w:t>
      </w:r>
    </w:p>
    <w:p>
      <w:pPr>
        <w:widowControl w:val="0"/>
        <w:spacing w:after="0" w:afterLines="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⑪市场监督管理局仓库（张店区市场监督管理局），位于张店区十七中北街6号，面积为60平方米，库内现暂时存放快检箱等食药品监测设备物资。</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各储备库联系电话如下：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3203"/>
        <w:gridCol w:w="2196"/>
        <w:gridCol w:w="2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序号</w:t>
            </w:r>
          </w:p>
        </w:tc>
        <w:tc>
          <w:tcPr>
            <w:tcW w:w="3203"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单位</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电话</w:t>
            </w:r>
          </w:p>
        </w:tc>
        <w:tc>
          <w:tcPr>
            <w:tcW w:w="2414"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物资储备类型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1</w:t>
            </w:r>
          </w:p>
        </w:tc>
        <w:tc>
          <w:tcPr>
            <w:tcW w:w="3203"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区发展改革局</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0533-2865186</w:t>
            </w:r>
          </w:p>
        </w:tc>
        <w:tc>
          <w:tcPr>
            <w:tcW w:w="2414"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救灾、医疗物资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2</w:t>
            </w:r>
          </w:p>
        </w:tc>
        <w:tc>
          <w:tcPr>
            <w:tcW w:w="3203"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区应急管理局</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0533-2270833</w:t>
            </w:r>
          </w:p>
        </w:tc>
        <w:tc>
          <w:tcPr>
            <w:tcW w:w="2414"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防火、防汛、应急救援物资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3</w:t>
            </w:r>
          </w:p>
        </w:tc>
        <w:tc>
          <w:tcPr>
            <w:tcW w:w="3203"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区水利局</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0533-2877286</w:t>
            </w:r>
          </w:p>
        </w:tc>
        <w:tc>
          <w:tcPr>
            <w:tcW w:w="2414"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防汛物资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4</w:t>
            </w:r>
          </w:p>
        </w:tc>
        <w:tc>
          <w:tcPr>
            <w:tcW w:w="3203"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区市政服务中心</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hint="eastAsia" w:ascii="仿宋" w:hAnsi="仿宋" w:eastAsia="仿宋_GB2312" w:cs="仿宋_GB2312"/>
                <w:b w:val="0"/>
                <w:bCs w:val="0"/>
                <w:kern w:val="2"/>
              </w:rPr>
            </w:pPr>
            <w:r>
              <w:rPr>
                <w:rFonts w:hint="eastAsia" w:ascii="仿宋" w:hAnsi="仿宋" w:eastAsia="仿宋_GB2312" w:cs="仿宋_GB2312"/>
                <w:b w:val="0"/>
                <w:bCs w:val="0"/>
                <w:kern w:val="2"/>
              </w:rPr>
              <w:t>0533-2880070</w:t>
            </w:r>
          </w:p>
        </w:tc>
        <w:tc>
          <w:tcPr>
            <w:tcW w:w="2414"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防汛物资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5</w:t>
            </w:r>
          </w:p>
        </w:tc>
        <w:tc>
          <w:tcPr>
            <w:tcW w:w="3203"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张店消防救援大队</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0533-2827128</w:t>
            </w:r>
          </w:p>
        </w:tc>
        <w:tc>
          <w:tcPr>
            <w:tcW w:w="241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仿宋_GB2312"/>
                <w:sz w:val="32"/>
                <w:szCs w:val="32"/>
              </w:rPr>
            </w:pPr>
            <w:r>
              <w:rPr>
                <w:rFonts w:hint="eastAsia" w:ascii="仿宋" w:hAnsi="仿宋" w:eastAsia="仿宋_GB2312" w:cs="仿宋_GB2312"/>
                <w:sz w:val="32"/>
                <w:szCs w:val="32"/>
              </w:rPr>
              <w:t>综合消防物资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6</w:t>
            </w:r>
          </w:p>
        </w:tc>
        <w:tc>
          <w:tcPr>
            <w:tcW w:w="3203"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市自然资源和规划局张店分局</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hint="eastAsia" w:ascii="仿宋" w:hAnsi="仿宋" w:eastAsia="仿宋_GB2312" w:cs="仿宋_GB2312"/>
                <w:b w:val="0"/>
                <w:bCs w:val="0"/>
                <w:kern w:val="2"/>
              </w:rPr>
            </w:pPr>
            <w:r>
              <w:rPr>
                <w:rFonts w:hint="eastAsia" w:ascii="仿宋" w:hAnsi="仿宋" w:eastAsia="仿宋_GB2312" w:cs="仿宋_GB2312"/>
                <w:b w:val="0"/>
                <w:bCs w:val="0"/>
                <w:kern w:val="2"/>
              </w:rPr>
              <w:t>0533-2062176</w:t>
            </w:r>
          </w:p>
        </w:tc>
        <w:tc>
          <w:tcPr>
            <w:tcW w:w="241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仿宋_GB2312"/>
                <w:sz w:val="32"/>
                <w:szCs w:val="32"/>
              </w:rPr>
            </w:pPr>
            <w:r>
              <w:rPr>
                <w:rFonts w:hint="eastAsia" w:ascii="仿宋" w:hAnsi="仿宋" w:eastAsia="仿宋_GB2312" w:cs="仿宋_GB2312"/>
                <w:sz w:val="32"/>
                <w:szCs w:val="32"/>
              </w:rPr>
              <w:t>防火物资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7</w:t>
            </w:r>
          </w:p>
        </w:tc>
        <w:tc>
          <w:tcPr>
            <w:tcW w:w="3203"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张店公安分局</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hint="eastAsia" w:ascii="仿宋" w:hAnsi="仿宋" w:eastAsia="仿宋_GB2312" w:cs="仿宋_GB2312"/>
                <w:b w:val="0"/>
                <w:bCs w:val="0"/>
                <w:kern w:val="2"/>
              </w:rPr>
            </w:pPr>
            <w:r>
              <w:rPr>
                <w:rFonts w:hint="eastAsia" w:ascii="仿宋" w:hAnsi="仿宋" w:eastAsia="仿宋_GB2312" w:cs="仿宋_GB2312"/>
                <w:b w:val="0"/>
                <w:bCs w:val="0"/>
                <w:kern w:val="2"/>
              </w:rPr>
              <w:t>0533-2189124</w:t>
            </w:r>
          </w:p>
        </w:tc>
        <w:tc>
          <w:tcPr>
            <w:tcW w:w="241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仿宋_GB2312"/>
                <w:sz w:val="32"/>
                <w:szCs w:val="32"/>
              </w:rPr>
            </w:pPr>
            <w:r>
              <w:rPr>
                <w:rFonts w:hint="eastAsia" w:ascii="仿宋" w:hAnsi="仿宋" w:eastAsia="仿宋_GB2312" w:cs="仿宋_GB2312"/>
                <w:sz w:val="32"/>
                <w:szCs w:val="32"/>
              </w:rPr>
              <w:t>公共安全物资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8</w:t>
            </w:r>
          </w:p>
        </w:tc>
        <w:tc>
          <w:tcPr>
            <w:tcW w:w="3203"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hint="eastAsia" w:ascii="仿宋" w:hAnsi="仿宋" w:eastAsia="仿宋_GB2312" w:cs="仿宋_GB2312"/>
                <w:b w:val="0"/>
                <w:bCs w:val="0"/>
                <w:kern w:val="2"/>
              </w:rPr>
            </w:pPr>
            <w:r>
              <w:rPr>
                <w:rFonts w:hint="eastAsia" w:ascii="仿宋" w:hAnsi="仿宋" w:eastAsia="仿宋_GB2312" w:cs="仿宋_GB2312"/>
                <w:b w:val="0"/>
                <w:bCs w:val="0"/>
                <w:kern w:val="2"/>
              </w:rPr>
              <w:t>区卫生健康局</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hint="eastAsia" w:ascii="仿宋" w:hAnsi="仿宋" w:eastAsia="仿宋_GB2312" w:cs="仿宋_GB2312"/>
                <w:b w:val="0"/>
                <w:bCs w:val="0"/>
                <w:kern w:val="2"/>
              </w:rPr>
            </w:pPr>
            <w:r>
              <w:rPr>
                <w:rFonts w:hint="eastAsia" w:ascii="仿宋" w:hAnsi="仿宋" w:eastAsia="仿宋_GB2312" w:cs="仿宋_GB2312"/>
                <w:b w:val="0"/>
                <w:bCs w:val="0"/>
                <w:kern w:val="2"/>
              </w:rPr>
              <w:t>0533-2830703</w:t>
            </w:r>
          </w:p>
        </w:tc>
        <w:tc>
          <w:tcPr>
            <w:tcW w:w="241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仿宋_GB2312"/>
                <w:sz w:val="32"/>
                <w:szCs w:val="32"/>
              </w:rPr>
            </w:pPr>
            <w:r>
              <w:rPr>
                <w:rFonts w:hint="eastAsia" w:ascii="仿宋" w:hAnsi="仿宋" w:eastAsia="仿宋_GB2312" w:cs="仿宋_GB2312"/>
                <w:sz w:val="32"/>
                <w:szCs w:val="32"/>
              </w:rPr>
              <w:t>医疗卫生防疫物资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9</w:t>
            </w:r>
          </w:p>
        </w:tc>
        <w:tc>
          <w:tcPr>
            <w:tcW w:w="3203"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张店供电中心</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hint="eastAsia" w:ascii="仿宋" w:hAnsi="仿宋" w:eastAsia="仿宋_GB2312" w:cs="仿宋_GB2312"/>
                <w:b w:val="0"/>
                <w:bCs w:val="0"/>
                <w:kern w:val="2"/>
              </w:rPr>
            </w:pPr>
            <w:r>
              <w:rPr>
                <w:rFonts w:hint="eastAsia" w:ascii="仿宋" w:hAnsi="仿宋" w:eastAsia="仿宋_GB2312" w:cs="仿宋_GB2312"/>
                <w:b w:val="0"/>
                <w:bCs w:val="0"/>
                <w:kern w:val="2"/>
              </w:rPr>
              <w:t>0533-2333912</w:t>
            </w:r>
          </w:p>
        </w:tc>
        <w:tc>
          <w:tcPr>
            <w:tcW w:w="241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仿宋_GB2312"/>
                <w:color w:val="000000"/>
                <w:sz w:val="32"/>
                <w:szCs w:val="32"/>
              </w:rPr>
            </w:pPr>
            <w:r>
              <w:rPr>
                <w:rFonts w:hint="eastAsia" w:ascii="仿宋" w:hAnsi="仿宋" w:eastAsia="仿宋_GB2312" w:cs="仿宋_GB2312"/>
                <w:sz w:val="32"/>
                <w:szCs w:val="32"/>
              </w:rPr>
              <w:t>应急供电物资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10</w:t>
            </w:r>
          </w:p>
        </w:tc>
        <w:tc>
          <w:tcPr>
            <w:tcW w:w="3203"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市生态环境张店分局</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hint="eastAsia" w:ascii="仿宋" w:hAnsi="仿宋" w:eastAsia="仿宋_GB2312" w:cs="仿宋_GB2312"/>
                <w:b w:val="0"/>
                <w:bCs w:val="0"/>
                <w:kern w:val="2"/>
              </w:rPr>
            </w:pPr>
            <w:r>
              <w:rPr>
                <w:rFonts w:hint="eastAsia" w:ascii="仿宋" w:hAnsi="仿宋" w:eastAsia="仿宋_GB2312" w:cs="仿宋_GB2312"/>
                <w:b w:val="0"/>
                <w:bCs w:val="0"/>
                <w:kern w:val="2"/>
              </w:rPr>
              <w:t>0533-2861598</w:t>
            </w:r>
          </w:p>
        </w:tc>
        <w:tc>
          <w:tcPr>
            <w:tcW w:w="241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仿宋_GB2312"/>
                <w:color w:val="000000"/>
                <w:sz w:val="32"/>
                <w:szCs w:val="32"/>
              </w:rPr>
            </w:pPr>
            <w:r>
              <w:rPr>
                <w:rFonts w:hint="eastAsia" w:ascii="仿宋" w:hAnsi="仿宋" w:eastAsia="仿宋_GB2312" w:cs="仿宋_GB2312"/>
                <w:sz w:val="32"/>
                <w:szCs w:val="32"/>
              </w:rPr>
              <w:t>环境监测物资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11</w:t>
            </w:r>
          </w:p>
        </w:tc>
        <w:tc>
          <w:tcPr>
            <w:tcW w:w="3203"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ascii="仿宋" w:hAnsi="仿宋" w:eastAsia="仿宋_GB2312" w:cs="仿宋_GB2312"/>
                <w:b w:val="0"/>
                <w:bCs w:val="0"/>
                <w:kern w:val="2"/>
              </w:rPr>
            </w:pPr>
            <w:r>
              <w:rPr>
                <w:rFonts w:hint="eastAsia" w:ascii="仿宋" w:hAnsi="仿宋" w:eastAsia="仿宋_GB2312" w:cs="仿宋_GB2312"/>
                <w:b w:val="0"/>
                <w:bCs w:val="0"/>
                <w:kern w:val="2"/>
              </w:rPr>
              <w:t>区市场监督管理局</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widowControl w:val="0"/>
              <w:spacing w:before="0" w:beforeLines="0" w:after="0" w:afterLines="0" w:line="240" w:lineRule="auto"/>
              <w:jc w:val="both"/>
              <w:rPr>
                <w:rFonts w:hint="eastAsia" w:ascii="仿宋" w:hAnsi="仿宋" w:eastAsia="仿宋_GB2312" w:cs="仿宋_GB2312"/>
                <w:b w:val="0"/>
                <w:bCs w:val="0"/>
                <w:kern w:val="2"/>
              </w:rPr>
            </w:pPr>
            <w:r>
              <w:rPr>
                <w:rFonts w:hint="eastAsia" w:ascii="仿宋" w:hAnsi="仿宋" w:eastAsia="仿宋_GB2312" w:cs="仿宋_GB2312"/>
                <w:b w:val="0"/>
                <w:bCs w:val="0"/>
                <w:kern w:val="2"/>
              </w:rPr>
              <w:t>0533-2760895</w:t>
            </w:r>
          </w:p>
        </w:tc>
        <w:tc>
          <w:tcPr>
            <w:tcW w:w="241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仿宋_GB2312"/>
                <w:color w:val="000000"/>
                <w:sz w:val="32"/>
                <w:szCs w:val="32"/>
              </w:rPr>
            </w:pPr>
            <w:r>
              <w:rPr>
                <w:rFonts w:hint="eastAsia" w:ascii="仿宋" w:hAnsi="仿宋" w:eastAsia="仿宋_GB2312" w:cs="仿宋_GB2312"/>
                <w:sz w:val="32"/>
                <w:szCs w:val="32"/>
              </w:rPr>
              <w:t>食药品监测设备物资</w:t>
            </w:r>
          </w:p>
        </w:tc>
      </w:tr>
    </w:tbl>
    <w:p>
      <w:pPr>
        <w:widowControl w:val="0"/>
        <w:spacing w:after="0" w:afterLines="0" w:line="560" w:lineRule="exact"/>
        <w:ind w:firstLine="640" w:firstLineChars="200"/>
        <w:jc w:val="both"/>
        <w:outlineLvl w:val="1"/>
        <w:rPr>
          <w:rFonts w:ascii="仿宋" w:hAnsi="仿宋" w:eastAsia="楷体_GB2312"/>
          <w:bCs/>
          <w:sz w:val="32"/>
          <w:szCs w:val="32"/>
        </w:rPr>
      </w:pPr>
      <w:bookmarkStart w:id="297" w:name="_Toc55226514"/>
      <w:bookmarkStart w:id="298" w:name="_Toc26266"/>
      <w:r>
        <w:rPr>
          <w:rFonts w:hint="eastAsia" w:ascii="仿宋" w:hAnsi="仿宋" w:eastAsia="楷体_GB2312"/>
          <w:bCs/>
          <w:sz w:val="32"/>
          <w:szCs w:val="32"/>
        </w:rPr>
        <w:t>5.4  科技支撑</w:t>
      </w:r>
      <w:bookmarkEnd w:id="295"/>
      <w:bookmarkEnd w:id="296"/>
      <w:bookmarkEnd w:id="297"/>
      <w:bookmarkEnd w:id="298"/>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1）各有关部门（单位）要研究制定相关政策措施，鼓励、扶持具备相应条件的教学科研机构培养应急管理人才，加强应急管理学科建设;加强应急管理科技支撑机构建设，积累基础资料，促进科技成果交流共享；研究制定促进公共安全和应急产业发展的政策措施，鼓励、扶持教学科研机构和有关企业研究开发用于突发事件预防、监测、预警、应急救援和处置的新技术、新设备和新工具，提升应急科技支撑能力。</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2）充分利用物联网、大数据、云计算、人工智能等，推进立体监测预警网络、空天地一体化韧性抗毁应急通信网络、大数据支撑体系等建设，提高监测预警能力、辅助指挥决策能力、救援实战能力和社会动员能力。</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3）建立健全应急指挥平台体系。区应急管理部门、区大数据部门及有关部门（单位）要充分利用现有政府系统办公业务资源和专业系统资源，建立健全应急指挥场所、基础支撑系统和综合应用系统，规范技术标准，配置移动指挥系统，建立区级应急指挥平台和有关部门应急指挥平台，并实现与国家应急指挥平台的互联互通，满足突发事件监测监控、预测预警、应急值守、信息报告汇总与发布、视频会商、综合研判、辅助决策、指挥协调、资源调用和总结评估等需要。有条件的镇办也要建设适用的应急指挥平台,并与区应急指挥平台互联互通。</w:t>
      </w:r>
      <w:bookmarkStart w:id="299" w:name="_Toc9600"/>
      <w:bookmarkStart w:id="300" w:name="_Toc629"/>
    </w:p>
    <w:p>
      <w:pPr>
        <w:widowControl w:val="0"/>
        <w:spacing w:after="0" w:afterLines="0" w:line="560" w:lineRule="exact"/>
        <w:ind w:firstLine="640" w:firstLineChars="200"/>
        <w:jc w:val="both"/>
        <w:outlineLvl w:val="0"/>
        <w:rPr>
          <w:rFonts w:ascii="仿宋" w:hAnsi="仿宋" w:eastAsia="黑体" w:cs="楷体"/>
          <w:sz w:val="32"/>
          <w:szCs w:val="32"/>
        </w:rPr>
      </w:pPr>
      <w:bookmarkStart w:id="301" w:name="_Toc14325"/>
      <w:bookmarkStart w:id="302" w:name="_Toc11292"/>
      <w:bookmarkStart w:id="303" w:name="_Toc55226515"/>
      <w:bookmarkStart w:id="304" w:name="_Toc3848"/>
      <w:r>
        <w:rPr>
          <w:rFonts w:hint="eastAsia" w:ascii="仿宋" w:hAnsi="仿宋" w:eastAsia="黑体" w:cs="楷体"/>
          <w:sz w:val="32"/>
          <w:szCs w:val="32"/>
        </w:rPr>
        <w:t>6  责任与奖惩</w:t>
      </w:r>
      <w:bookmarkEnd w:id="301"/>
      <w:bookmarkEnd w:id="302"/>
      <w:bookmarkEnd w:id="303"/>
      <w:bookmarkEnd w:id="304"/>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（1）根据有关规定，建立健全应急管理工作领导负责制和责任追究制度。</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2）公民按照各镇办、有关部门（单位）要求，参加应急救援工作或者协助维护社会秩序期间，其在本单位的工资待遇和福利不变，按照相关规定给予补助；对突发事件应急管理工作中做出突出贡献的先进集体和个人，按照相关规定给予表彰或奖励。</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（3）对迟报、谎报、瞒报和漏报突发事件重要情况，应急处置不力，或者应急管理工作中有其它失职、渎职行为的，依照有关规定给予处分；构成犯罪的，依法追究刑事责任。</w:t>
      </w:r>
    </w:p>
    <w:p>
      <w:pPr>
        <w:widowControl w:val="0"/>
        <w:spacing w:after="0" w:afterLines="0" w:line="560" w:lineRule="exact"/>
        <w:ind w:firstLine="640" w:firstLineChars="200"/>
        <w:jc w:val="both"/>
        <w:outlineLvl w:val="0"/>
        <w:rPr>
          <w:rFonts w:ascii="仿宋" w:hAnsi="仿宋" w:eastAsia="黑体" w:cs="黑体"/>
          <w:sz w:val="32"/>
          <w:szCs w:val="32"/>
        </w:rPr>
      </w:pPr>
      <w:bookmarkStart w:id="305" w:name="_Toc18226"/>
      <w:bookmarkStart w:id="306" w:name="_Toc55226516"/>
      <w:r>
        <w:rPr>
          <w:rFonts w:hint="eastAsia" w:ascii="仿宋" w:hAnsi="仿宋" w:eastAsia="黑体" w:cs="黑体"/>
          <w:sz w:val="32"/>
          <w:szCs w:val="32"/>
        </w:rPr>
        <w:t>7  预案管理</w:t>
      </w:r>
      <w:bookmarkEnd w:id="299"/>
      <w:bookmarkEnd w:id="300"/>
      <w:bookmarkEnd w:id="305"/>
      <w:bookmarkEnd w:id="306"/>
    </w:p>
    <w:p>
      <w:pPr>
        <w:pStyle w:val="5"/>
        <w:keepNext w:val="0"/>
        <w:keepLines w:val="0"/>
        <w:widowControl w:val="0"/>
        <w:spacing w:before="0" w:beforeLines="0" w:after="0" w:afterLines="0" w:line="560" w:lineRule="exact"/>
        <w:ind w:firstLine="640" w:firstLineChars="200"/>
        <w:jc w:val="both"/>
        <w:rPr>
          <w:rFonts w:ascii="仿宋" w:hAnsi="仿宋" w:eastAsia="楷体_GB2312"/>
          <w:b w:val="0"/>
          <w:bCs w:val="0"/>
        </w:rPr>
      </w:pPr>
      <w:bookmarkStart w:id="307" w:name="_Toc55226517"/>
      <w:bookmarkStart w:id="308" w:name="_Toc17455"/>
      <w:bookmarkStart w:id="309" w:name="_Toc27723"/>
      <w:bookmarkStart w:id="310" w:name="_Toc10086"/>
      <w:bookmarkStart w:id="311" w:name="_Toc1518"/>
      <w:bookmarkStart w:id="312" w:name="_Toc7788"/>
      <w:r>
        <w:rPr>
          <w:rFonts w:hint="eastAsia" w:ascii="仿宋" w:hAnsi="仿宋" w:eastAsia="楷体_GB2312"/>
          <w:b w:val="0"/>
          <w:bCs w:val="0"/>
        </w:rPr>
        <w:t xml:space="preserve">7.1  </w:t>
      </w:r>
      <w:bookmarkStart w:id="313" w:name="_Toc15970"/>
      <w:r>
        <w:rPr>
          <w:rFonts w:hint="eastAsia" w:ascii="仿宋" w:hAnsi="仿宋" w:eastAsia="楷体_GB2312"/>
          <w:b w:val="0"/>
          <w:bCs w:val="0"/>
        </w:rPr>
        <w:t>预案编制</w:t>
      </w:r>
      <w:bookmarkEnd w:id="307"/>
      <w:bookmarkEnd w:id="308"/>
      <w:bookmarkEnd w:id="309"/>
      <w:bookmarkEnd w:id="310"/>
      <w:bookmarkEnd w:id="311"/>
      <w:bookmarkEnd w:id="313"/>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1）各镇办负责应急管理工作的部门要会同区有关部门（单位）针对本行政区域内突发事件历史情况和具体风险情况，制定镇办总体应急预案、专项应急预案的编制修订工作规划，按程序报镇办批准后实施。专项预案构成种类要及时补充完善。</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（2）编制应急预案应当在风险评估、案例研究和应急资源调查的基础上进行，以确保应急预案的可操作性。在预案编制中以情景构建的方式模拟突发事件场景，增强应急预案各项措施有效性。</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3）各镇办、各有关部门（单位）在应急预案编制过程中应广泛听取有关部门（单位）和专家的意见。涉及其它单位职责的，应当书面征求相关单位意见。必要时向社会公开征求意见。基层组织和单位应急预案在编制过程中应该征求相关公民、法人或其它组织的意见。</w:t>
      </w:r>
    </w:p>
    <w:p>
      <w:pPr>
        <w:pStyle w:val="5"/>
        <w:keepNext w:val="0"/>
        <w:keepLines w:val="0"/>
        <w:widowControl w:val="0"/>
        <w:spacing w:before="0" w:beforeLines="0" w:after="0" w:afterLines="0" w:line="560" w:lineRule="exact"/>
        <w:ind w:firstLine="640" w:firstLineChars="200"/>
        <w:jc w:val="both"/>
        <w:rPr>
          <w:rFonts w:ascii="仿宋" w:hAnsi="仿宋" w:eastAsia="楷体_GB2312"/>
          <w:b w:val="0"/>
          <w:bCs w:val="0"/>
        </w:rPr>
      </w:pPr>
      <w:bookmarkStart w:id="314" w:name="_Toc55226518"/>
      <w:bookmarkStart w:id="315" w:name="_Toc30162"/>
      <w:bookmarkStart w:id="316" w:name="_Toc8598"/>
      <w:bookmarkStart w:id="317" w:name="_Toc28913"/>
      <w:bookmarkStart w:id="318" w:name="_Toc11873"/>
      <w:r>
        <w:rPr>
          <w:rFonts w:hint="eastAsia" w:ascii="仿宋" w:hAnsi="仿宋" w:eastAsia="楷体_GB2312"/>
          <w:b w:val="0"/>
          <w:bCs w:val="0"/>
        </w:rPr>
        <w:t>7.2  预案审批与衔接</w:t>
      </w:r>
      <w:bookmarkEnd w:id="314"/>
      <w:bookmarkEnd w:id="315"/>
      <w:bookmarkEnd w:id="316"/>
      <w:bookmarkEnd w:id="317"/>
      <w:bookmarkEnd w:id="318"/>
    </w:p>
    <w:p>
      <w:pPr>
        <w:widowControl w:val="0"/>
        <w:spacing w:after="0" w:afterLines="0" w:line="560" w:lineRule="exact"/>
        <w:ind w:firstLine="640" w:firstLineChars="200"/>
        <w:jc w:val="both"/>
        <w:rPr>
          <w:rFonts w:hint="eastAsia" w:ascii="仿宋" w:hAnsi="仿宋" w:eastAsia="仿宋_GB2312"/>
          <w:sz w:val="32"/>
          <w:szCs w:val="32"/>
        </w:rPr>
      </w:pPr>
      <w:bookmarkStart w:id="319" w:name="_Toc19915"/>
      <w:bookmarkStart w:id="320" w:name="_Toc22190"/>
      <w:bookmarkStart w:id="321" w:name="_Toc55226519"/>
      <w:bookmarkStart w:id="322" w:name="_Toc4487"/>
      <w:bookmarkStart w:id="323" w:name="_Toc5724"/>
      <w:r>
        <w:rPr>
          <w:rFonts w:hint="eastAsia" w:ascii="仿宋" w:hAnsi="仿宋" w:eastAsia="仿宋_GB2312"/>
          <w:sz w:val="32"/>
          <w:szCs w:val="32"/>
        </w:rPr>
        <w:t>各级各类应急预案衔接要遵循“下级服从上级，专项、部门服从总体，预案之间不得相互矛盾”的原则。应急管理部门综合协调各类应急预案衔接工作，负责本级专项应急预案审核以及部门应急预案和下级总体应急预案备案工作。</w:t>
      </w:r>
    </w:p>
    <w:p>
      <w:pPr>
        <w:widowControl w:val="0"/>
        <w:spacing w:after="0" w:afterLines="0" w:line="560" w:lineRule="exact"/>
        <w:ind w:firstLine="640" w:firstLineChars="200"/>
        <w:jc w:val="both"/>
        <w:rPr>
          <w:rFonts w:hint="eastAsia" w:ascii="仿宋" w:hAnsi="仿宋" w:eastAsia="仿宋_GB2312"/>
          <w:sz w:val="32"/>
          <w:szCs w:val="32"/>
        </w:rPr>
      </w:pPr>
      <w:r>
        <w:rPr>
          <w:rFonts w:hint="eastAsia" w:ascii="仿宋" w:hAnsi="仿宋" w:eastAsia="仿宋_GB2312"/>
          <w:sz w:val="32"/>
          <w:szCs w:val="32"/>
        </w:rPr>
        <w:t>（1）总体应急预案由应急管理部门组织起草，按程序报请区政府批准并公布实施，报市政府备案，并抄送市应急管理部门。</w:t>
      </w:r>
    </w:p>
    <w:p>
      <w:pPr>
        <w:widowControl w:val="0"/>
        <w:spacing w:after="0" w:afterLines="0" w:line="560" w:lineRule="exact"/>
        <w:ind w:firstLine="640" w:firstLineChars="200"/>
        <w:jc w:val="both"/>
        <w:rPr>
          <w:rFonts w:hint="eastAsia" w:ascii="仿宋" w:hAnsi="仿宋" w:eastAsia="仿宋_GB2312"/>
          <w:sz w:val="32"/>
          <w:szCs w:val="32"/>
        </w:rPr>
      </w:pPr>
      <w:r>
        <w:rPr>
          <w:rFonts w:hint="eastAsia" w:ascii="仿宋" w:hAnsi="仿宋" w:eastAsia="仿宋_GB2312"/>
          <w:sz w:val="32"/>
          <w:szCs w:val="32"/>
        </w:rPr>
        <w:t>（2）专项应急预案按职责分工由主要牵头镇办、部门（单位）负责起草，按程序报请区人民政府批准，以政府办公室名义印发实施，报送市有关主管部门备案，抄送区应急管理部门。</w:t>
      </w:r>
    </w:p>
    <w:p>
      <w:pPr>
        <w:widowControl w:val="0"/>
        <w:spacing w:after="0" w:afterLines="0" w:line="560" w:lineRule="exact"/>
        <w:ind w:firstLine="640" w:firstLineChars="200"/>
        <w:jc w:val="both"/>
        <w:rPr>
          <w:rFonts w:hint="eastAsia" w:ascii="仿宋" w:hAnsi="仿宋" w:eastAsia="仿宋_GB2312"/>
          <w:sz w:val="32"/>
          <w:szCs w:val="32"/>
        </w:rPr>
      </w:pPr>
      <w:r>
        <w:rPr>
          <w:rFonts w:hint="eastAsia" w:ascii="仿宋" w:hAnsi="仿宋" w:eastAsia="仿宋_GB2312"/>
          <w:sz w:val="32"/>
          <w:szCs w:val="32"/>
        </w:rPr>
        <w:t>（3）部门应急预案由有关部门（单位）制订，经本部门主要负责同志批准印发实施，抄送同级应急管理部门。</w:t>
      </w:r>
    </w:p>
    <w:p>
      <w:pPr>
        <w:widowControl w:val="0"/>
        <w:spacing w:after="0" w:afterLines="0" w:line="560" w:lineRule="exact"/>
        <w:ind w:firstLine="640" w:firstLineChars="200"/>
        <w:jc w:val="both"/>
        <w:rPr>
          <w:rFonts w:hint="eastAsia" w:ascii="仿宋" w:hAnsi="仿宋" w:eastAsia="仿宋_GB2312"/>
          <w:sz w:val="32"/>
          <w:szCs w:val="32"/>
        </w:rPr>
      </w:pPr>
      <w:r>
        <w:rPr>
          <w:rFonts w:hint="eastAsia" w:ascii="仿宋" w:hAnsi="仿宋" w:eastAsia="仿宋_GB2312"/>
          <w:sz w:val="32"/>
          <w:szCs w:val="32"/>
        </w:rPr>
        <w:t>（4）镇办应急预案须与区级预案相衔接，经镇办主要负责人签发，并按照有关法律法规要求进行备案，抄送区应急管理部门。</w:t>
      </w:r>
    </w:p>
    <w:p>
      <w:pPr>
        <w:widowControl w:val="0"/>
        <w:spacing w:after="0" w:afterLines="0" w:line="560" w:lineRule="exact"/>
        <w:ind w:firstLine="640" w:firstLineChars="200"/>
        <w:jc w:val="both"/>
        <w:rPr>
          <w:rFonts w:hint="eastAsia" w:ascii="仿宋" w:hAnsi="仿宋" w:eastAsia="仿宋_GB2312"/>
          <w:sz w:val="32"/>
          <w:szCs w:val="32"/>
        </w:rPr>
      </w:pPr>
      <w:r>
        <w:rPr>
          <w:rFonts w:hint="eastAsia" w:ascii="仿宋" w:hAnsi="仿宋" w:eastAsia="仿宋_GB2312"/>
          <w:sz w:val="32"/>
          <w:szCs w:val="32"/>
        </w:rPr>
        <w:t>（5）其它所有制企业应急预案要按规定进行备案。重大关键基础设施应急预案要向各镇办、各主管部门备案，抄送区应急管理部门。</w:t>
      </w:r>
    </w:p>
    <w:p>
      <w:pPr>
        <w:widowControl w:val="0"/>
        <w:spacing w:after="0" w:afterLines="0" w:line="560" w:lineRule="exact"/>
        <w:ind w:firstLine="640" w:firstLineChars="200"/>
        <w:jc w:val="both"/>
        <w:rPr>
          <w:rFonts w:hint="eastAsia" w:ascii="仿宋" w:hAnsi="仿宋" w:eastAsia="仿宋_GB2312"/>
          <w:sz w:val="32"/>
          <w:szCs w:val="32"/>
        </w:rPr>
      </w:pPr>
      <w:r>
        <w:rPr>
          <w:rFonts w:hint="eastAsia" w:ascii="仿宋" w:hAnsi="仿宋" w:eastAsia="仿宋_GB2312"/>
          <w:sz w:val="32"/>
          <w:szCs w:val="32"/>
        </w:rPr>
        <w:t>（6）应急预案支撑性文件的审批程序由制订单位根据实际情况确定。</w:t>
      </w:r>
    </w:p>
    <w:p>
      <w:pPr>
        <w:pStyle w:val="5"/>
        <w:keepNext w:val="0"/>
        <w:keepLines w:val="0"/>
        <w:widowControl w:val="0"/>
        <w:spacing w:before="0" w:beforeLines="0" w:after="0" w:afterLines="0" w:line="560" w:lineRule="exact"/>
        <w:ind w:firstLine="640" w:firstLineChars="200"/>
        <w:jc w:val="both"/>
        <w:rPr>
          <w:rFonts w:ascii="仿宋" w:hAnsi="仿宋" w:eastAsia="楷体_GB2312"/>
          <w:b w:val="0"/>
          <w:bCs w:val="0"/>
        </w:rPr>
      </w:pPr>
      <w:r>
        <w:rPr>
          <w:rFonts w:hint="eastAsia" w:ascii="仿宋" w:hAnsi="仿宋" w:eastAsia="楷体_GB2312"/>
          <w:b w:val="0"/>
          <w:bCs w:val="0"/>
        </w:rPr>
        <w:t>7.3  预案演练</w:t>
      </w:r>
      <w:bookmarkEnd w:id="312"/>
      <w:bookmarkEnd w:id="319"/>
      <w:bookmarkEnd w:id="320"/>
      <w:bookmarkEnd w:id="321"/>
      <w:bookmarkEnd w:id="322"/>
      <w:bookmarkEnd w:id="323"/>
    </w:p>
    <w:p>
      <w:pPr>
        <w:widowControl w:val="0"/>
        <w:spacing w:after="0" w:afterLines="0" w:line="560" w:lineRule="exact"/>
        <w:ind w:firstLine="640" w:firstLineChars="200"/>
        <w:jc w:val="both"/>
        <w:rPr>
          <w:rFonts w:ascii="仿宋" w:hAnsi="仿宋" w:eastAsia="仿宋_GB2312"/>
          <w:sz w:val="32"/>
          <w:szCs w:val="32"/>
        </w:rPr>
      </w:pPr>
      <w:bookmarkStart w:id="324" w:name="_Toc4041"/>
      <w:bookmarkStart w:id="325" w:name="_Toc11871"/>
      <w:bookmarkStart w:id="326" w:name="_Toc55226520"/>
      <w:bookmarkStart w:id="327" w:name="_Toc14164"/>
      <w:bookmarkStart w:id="328" w:name="_Toc18959"/>
      <w:bookmarkStart w:id="329" w:name="_Toc1826"/>
      <w:r>
        <w:rPr>
          <w:rFonts w:hint="eastAsia" w:ascii="仿宋" w:hAnsi="仿宋" w:eastAsia="仿宋_GB2312"/>
          <w:sz w:val="32"/>
          <w:szCs w:val="32"/>
        </w:rPr>
        <w:t>（1）各镇办、各部门（单位）应当建立应急演练制度，根据实际情况采取实战演练、桌面推演等方式，组织开展形式多样、节约高效的应急演练。各专项应急预案、部门应急预案至少每2年进行一次应急演练。法律、行政法规和国家另有规定的，从其规定。如预案发生重大调整，需及时按照新的预案开展演练。应急管理部门负责指导预案演练工作。</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（2）各镇办、各部门（单位）应当主动组织开展应急演练，涉及的相关部门和单位要积极配合参与。部门预案应对按规定进行应急演练。</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（3）各镇办、各部门（单位）要有计划、有重点地组织应急预案演练，特别是对涉及领域多、需多方配合的应急预案要开展综合性演练。</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（4）村（居）、企事业单位应当结合实际经常性开展应急演练。</w:t>
      </w:r>
    </w:p>
    <w:p>
      <w:pPr>
        <w:pStyle w:val="5"/>
        <w:keepNext w:val="0"/>
        <w:keepLines w:val="0"/>
        <w:widowControl w:val="0"/>
        <w:spacing w:before="0" w:beforeLines="0" w:after="0" w:afterLines="0" w:line="560" w:lineRule="exact"/>
        <w:ind w:firstLine="640" w:firstLineChars="200"/>
        <w:jc w:val="both"/>
        <w:rPr>
          <w:rFonts w:ascii="仿宋" w:hAnsi="仿宋" w:eastAsia="楷体_GB2312"/>
          <w:b w:val="0"/>
          <w:bCs w:val="0"/>
        </w:rPr>
      </w:pPr>
      <w:r>
        <w:rPr>
          <w:rFonts w:hint="eastAsia" w:ascii="仿宋" w:hAnsi="仿宋" w:eastAsia="楷体_GB2312"/>
          <w:b w:val="0"/>
          <w:bCs w:val="0"/>
        </w:rPr>
        <w:t>7.4  预案评估与修订</w:t>
      </w:r>
      <w:bookmarkEnd w:id="324"/>
      <w:bookmarkEnd w:id="325"/>
      <w:bookmarkEnd w:id="326"/>
      <w:bookmarkEnd w:id="327"/>
      <w:bookmarkEnd w:id="328"/>
      <w:bookmarkEnd w:id="329"/>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（1）应急预案编制单位应当建立定期评估制度，分析评价预案内容的针对性、实用性和可操作性，实现应急预案的动态优化和科学规范管理。</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2）应急预案修订涉及组织指挥体系与职责、应急处置程序、主要处置措施、响应分级标准等重要内容的，修订工作应按照本预案“预案审批与衔接”部分有关要求组织进行。仅涉及其它内容的，修订程序可适当简化。</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（3）各镇办、有关部门（单位），企事业单位、社会团体、公民等，可以向有关预案编制单位提出修订建议。</w:t>
      </w:r>
    </w:p>
    <w:p>
      <w:pPr>
        <w:pStyle w:val="5"/>
        <w:keepNext w:val="0"/>
        <w:keepLines w:val="0"/>
        <w:widowControl w:val="0"/>
        <w:spacing w:before="0" w:beforeLines="0" w:after="0" w:afterLines="0" w:line="560" w:lineRule="exact"/>
        <w:ind w:firstLine="640" w:firstLineChars="200"/>
        <w:jc w:val="both"/>
        <w:rPr>
          <w:rFonts w:ascii="仿宋" w:hAnsi="仿宋" w:eastAsia="楷体_GB2312"/>
          <w:b w:val="0"/>
          <w:bCs w:val="0"/>
        </w:rPr>
      </w:pPr>
      <w:bookmarkStart w:id="330" w:name="_Toc20307"/>
      <w:bookmarkStart w:id="331" w:name="_Toc11869"/>
      <w:bookmarkStart w:id="332" w:name="_Toc29106"/>
      <w:bookmarkStart w:id="333" w:name="_Toc17218"/>
      <w:bookmarkStart w:id="334" w:name="_Toc1469"/>
      <w:bookmarkStart w:id="335" w:name="_Toc55226521"/>
      <w:r>
        <w:rPr>
          <w:rFonts w:hint="eastAsia" w:ascii="仿宋" w:hAnsi="仿宋" w:eastAsia="楷体_GB2312"/>
          <w:b w:val="0"/>
          <w:bCs w:val="0"/>
        </w:rPr>
        <w:t>7.5  宣传和培训</w:t>
      </w:r>
      <w:bookmarkEnd w:id="330"/>
      <w:bookmarkEnd w:id="331"/>
      <w:bookmarkEnd w:id="332"/>
      <w:bookmarkEnd w:id="333"/>
      <w:bookmarkEnd w:id="334"/>
      <w:bookmarkEnd w:id="335"/>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1）加强公益宣传，普及安全知识，培育安全文化。宣传、工业和信息化、文化和旅游、广播电视、应急管理等部门（单位）要通过图书、报刊、音像制品和电子出版物、广播、电视、网络、手机等渠道，广泛宣传应急法律法规和预防、避险、自救、互救、减灾等知识，增强公众的忧患意识、社会责任意识、公共安全和风险防范意识，提高全社会的避险能力和自救互救能力。</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（2）完善安全教育体系。各学校、幼儿园应当在教育主管部门指导下，把应急知识教育纳入教学内容，对学生进行应急知识教育，培养学生的安全意识和自救与互救能力。教育主管部门应当对学校</w:t>
      </w:r>
      <w:r>
        <w:rPr>
          <w:rFonts w:hint="eastAsia" w:ascii="仿宋" w:hAnsi="仿宋" w:eastAsia="仿宋_GB2312"/>
          <w:sz w:val="32"/>
          <w:szCs w:val="32"/>
          <w:lang w:eastAsia="zh-CN"/>
        </w:rPr>
        <w:t>、</w:t>
      </w:r>
      <w:r>
        <w:rPr>
          <w:rFonts w:hint="eastAsia" w:ascii="仿宋" w:hAnsi="仿宋" w:eastAsia="仿宋_GB2312"/>
          <w:sz w:val="32"/>
          <w:szCs w:val="32"/>
        </w:rPr>
        <w:t>幼儿园开展应急知识教育进行指导和监督。</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3）各镇办、有关部门（单位）要建立健全突发事件应急管理培训制度，针对本地区、本行业特点定期开展突发事件应急预案的宣传和教育培训工作。各应急指挥部办公室或专项应急预案编制牵头部门应组织指挥部各成员单位，针对相关专项应急预案进行工作培训，使指挥人员、参与应急处置人员熟悉预案内容和岗位职责、相关流程等，提高应对突发事件的决策和处置能力。新闻媒体应当无偿开展突发事件预防与应急、自救与互救知识的公益宣传。企事业单位应当定期开展应急管理法律法规、安全管理制度、安全操作规程以及应急知识等方面的教育与培训。</w:t>
      </w:r>
    </w:p>
    <w:p>
      <w:pPr>
        <w:pStyle w:val="3"/>
        <w:keepNext w:val="0"/>
        <w:keepLines w:val="0"/>
        <w:widowControl w:val="0"/>
        <w:spacing w:before="0" w:beforeLines="0" w:after="0" w:afterLines="0" w:line="560" w:lineRule="exact"/>
        <w:ind w:firstLine="640" w:firstLineChars="200"/>
        <w:jc w:val="both"/>
        <w:rPr>
          <w:rFonts w:ascii="仿宋" w:hAnsi="仿宋" w:eastAsia="黑体" w:cs="黑体"/>
          <w:b w:val="0"/>
          <w:bCs w:val="0"/>
          <w:sz w:val="32"/>
          <w:szCs w:val="32"/>
        </w:rPr>
      </w:pPr>
      <w:bookmarkStart w:id="336" w:name="_Toc5747"/>
      <w:bookmarkStart w:id="337" w:name="_Toc23301"/>
      <w:bookmarkStart w:id="338" w:name="_Toc15010"/>
      <w:bookmarkStart w:id="339" w:name="_Toc23112"/>
      <w:bookmarkStart w:id="340" w:name="_Toc21779"/>
      <w:bookmarkStart w:id="341" w:name="_Toc55226522"/>
      <w:r>
        <w:rPr>
          <w:rFonts w:hint="eastAsia" w:ascii="仿宋" w:hAnsi="仿宋" w:eastAsia="黑体" w:cs="黑体"/>
          <w:b w:val="0"/>
          <w:bCs w:val="0"/>
          <w:sz w:val="32"/>
          <w:szCs w:val="32"/>
        </w:rPr>
        <w:t>8  附则</w:t>
      </w:r>
      <w:bookmarkEnd w:id="336"/>
      <w:bookmarkEnd w:id="337"/>
      <w:bookmarkEnd w:id="338"/>
      <w:bookmarkEnd w:id="339"/>
      <w:bookmarkEnd w:id="340"/>
      <w:bookmarkEnd w:id="341"/>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1）本预案涉及区委、区政府有关部门（单位），各镇办，群众自治组织，企事业单位等按本预案的规定履行职责和分工，并制定、完善相应的应急预案及其支撑性文件。区应急管理局应当加强本预案实施的跟踪分析、督促检查、综合协调，并根据需要及时组织评估，向区政府提出修订建议。</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（2）本预案由张店区应急管理局起草并负责解释。</w:t>
      </w:r>
    </w:p>
    <w:p>
      <w:pPr>
        <w:widowControl w:val="0"/>
        <w:spacing w:after="0" w:afterLines="0" w:line="560" w:lineRule="exact"/>
        <w:ind w:firstLine="640" w:firstLineChars="200"/>
        <w:jc w:val="both"/>
        <w:rPr>
          <w:rFonts w:ascii="仿宋" w:hAnsi="仿宋" w:eastAsia="仿宋_GB2312"/>
          <w:sz w:val="32"/>
          <w:szCs w:val="32"/>
        </w:rPr>
      </w:pPr>
      <w:r>
        <w:rPr>
          <w:rFonts w:hint="eastAsia" w:ascii="仿宋" w:hAnsi="仿宋" w:eastAsia="仿宋_GB2312"/>
          <w:sz w:val="32"/>
          <w:szCs w:val="32"/>
        </w:rPr>
        <w:t>（3）本预案自发布之日起实施。</w:t>
      </w:r>
      <w:bookmarkStart w:id="342" w:name="_Toc272"/>
      <w:bookmarkStart w:id="343" w:name="_Toc55226523"/>
    </w:p>
    <w:p>
      <w:pPr>
        <w:widowControl w:val="0"/>
        <w:spacing w:after="0" w:afterLines="0" w:line="560" w:lineRule="exact"/>
        <w:ind w:firstLine="640" w:firstLineChars="200"/>
        <w:jc w:val="both"/>
        <w:rPr>
          <w:rFonts w:ascii="仿宋" w:hAnsi="仿宋" w:eastAsia="仿宋_GB2312" w:cs="黑体"/>
          <w:sz w:val="32"/>
          <w:szCs w:val="32"/>
        </w:rPr>
      </w:pPr>
    </w:p>
    <w:p>
      <w:pPr>
        <w:widowControl w:val="0"/>
        <w:spacing w:after="0" w:afterLines="0" w:line="560" w:lineRule="exact"/>
        <w:ind w:firstLine="640" w:firstLineChars="200"/>
        <w:jc w:val="both"/>
        <w:rPr>
          <w:rFonts w:ascii="仿宋" w:hAnsi="仿宋" w:eastAsia="仿宋_GB2312" w:cs="黑体"/>
          <w:sz w:val="32"/>
          <w:szCs w:val="32"/>
        </w:rPr>
      </w:pPr>
    </w:p>
    <w:p>
      <w:pPr>
        <w:widowControl w:val="0"/>
        <w:spacing w:after="0" w:afterLines="0" w:line="560" w:lineRule="exact"/>
        <w:ind w:firstLine="640" w:firstLineChars="200"/>
        <w:jc w:val="both"/>
        <w:rPr>
          <w:rFonts w:ascii="仿宋" w:hAnsi="仿宋" w:eastAsia="仿宋_GB2312" w:cs="黑体"/>
          <w:sz w:val="32"/>
          <w:szCs w:val="32"/>
        </w:rPr>
      </w:pPr>
    </w:p>
    <w:p>
      <w:pPr>
        <w:widowControl w:val="0"/>
        <w:spacing w:after="0" w:afterLines="0" w:line="560" w:lineRule="exact"/>
        <w:ind w:firstLine="640" w:firstLineChars="200"/>
        <w:jc w:val="both"/>
        <w:rPr>
          <w:rFonts w:ascii="仿宋" w:hAnsi="仿宋" w:eastAsia="仿宋_GB2312" w:cs="黑体"/>
          <w:sz w:val="32"/>
          <w:szCs w:val="32"/>
        </w:rPr>
      </w:pPr>
    </w:p>
    <w:p>
      <w:pPr>
        <w:widowControl w:val="0"/>
        <w:adjustRightInd/>
        <w:snapToGrid/>
        <w:spacing w:after="0" w:afterLines="0"/>
        <w:rPr>
          <w:rFonts w:ascii="仿宋" w:hAnsi="仿宋" w:eastAsia="仿宋_GB2312" w:cs="黑体"/>
          <w:sz w:val="32"/>
          <w:szCs w:val="32"/>
        </w:rPr>
        <w:sectPr>
          <w:footerReference r:id="rId12" w:type="default"/>
          <w:pgSz w:w="11906" w:h="16838"/>
          <w:pgMar w:top="2098" w:right="1474" w:bottom="1985" w:left="1588" w:header="851" w:footer="1531" w:gutter="0"/>
          <w:pgNumType w:start="1"/>
          <w:cols w:space="720" w:num="1"/>
          <w:docGrid w:linePitch="299" w:charSpace="0"/>
        </w:sectPr>
      </w:pPr>
    </w:p>
    <w:p>
      <w:pPr>
        <w:widowControl w:val="0"/>
        <w:spacing w:after="0" w:afterLines="0" w:line="560" w:lineRule="exact"/>
        <w:ind w:firstLine="640" w:firstLineChars="200"/>
        <w:jc w:val="both"/>
        <w:rPr>
          <w:rFonts w:ascii="仿宋" w:hAnsi="仿宋" w:eastAsia="黑体"/>
          <w:sz w:val="32"/>
          <w:szCs w:val="32"/>
        </w:rPr>
      </w:pPr>
      <w:r>
        <w:rPr>
          <w:rFonts w:hint="eastAsia" w:ascii="仿宋" w:hAnsi="仿宋" w:eastAsia="黑体" w:cs="黑体"/>
          <w:sz w:val="32"/>
          <w:szCs w:val="32"/>
        </w:rPr>
        <w:t>9  附件</w:t>
      </w:r>
      <w:bookmarkEnd w:id="342"/>
      <w:bookmarkEnd w:id="343"/>
    </w:p>
    <w:p>
      <w:pPr>
        <w:widowControl w:val="0"/>
        <w:spacing w:after="0" w:afterLines="0" w:line="560" w:lineRule="exact"/>
        <w:ind w:firstLine="640" w:firstLineChars="200"/>
        <w:jc w:val="both"/>
        <w:rPr>
          <w:rFonts w:ascii="仿宋" w:hAnsi="仿宋" w:eastAsia="楷体_GB2312" w:cs="黑体"/>
          <w:sz w:val="32"/>
          <w:szCs w:val="32"/>
        </w:rPr>
      </w:pPr>
      <w:r>
        <w:rPr>
          <w:rFonts w:hint="eastAsia" w:ascii="仿宋" w:hAnsi="仿宋" w:eastAsia="楷体_GB2312" w:cs="黑体"/>
          <w:sz w:val="32"/>
          <w:szCs w:val="32"/>
        </w:rPr>
        <w:t>9.1突发事件主要牵头部门</w:t>
      </w:r>
    </w:p>
    <w:p>
      <w:pPr>
        <w:widowControl w:val="0"/>
        <w:spacing w:after="0" w:afterLines="0" w:line="560" w:lineRule="exact"/>
        <w:ind w:firstLine="640" w:firstLineChars="200"/>
        <w:jc w:val="both"/>
        <w:rPr>
          <w:rFonts w:ascii="黑体" w:hAnsi="黑体" w:eastAsia="黑体" w:cs="仿宋"/>
          <w:bCs/>
          <w:sz w:val="32"/>
          <w:szCs w:val="32"/>
        </w:rPr>
      </w:pPr>
      <w:r>
        <w:rPr>
          <w:rFonts w:hint="eastAsia" w:ascii="黑体" w:hAnsi="黑体" w:eastAsia="黑体" w:cs="仿宋"/>
          <w:bCs/>
          <w:sz w:val="32"/>
          <w:szCs w:val="32"/>
        </w:rPr>
        <w:t>一、自然灾害事件</w:t>
      </w:r>
    </w:p>
    <w:tbl>
      <w:tblPr>
        <w:tblStyle w:val="20"/>
        <w:tblW w:w="0" w:type="auto"/>
        <w:tblInd w:w="0"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0"/>
        <w:gridCol w:w="2985"/>
        <w:gridCol w:w="4865"/>
      </w:tblGrid>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PrEx>
        <w:trPr>
          <w:trHeight w:val="611" w:hRule="atLeast"/>
        </w:trPr>
        <w:tc>
          <w:tcPr>
            <w:tcW w:w="1240"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b/>
                <w:bCs/>
                <w:sz w:val="32"/>
                <w:szCs w:val="32"/>
              </w:rPr>
            </w:pPr>
            <w:r>
              <w:rPr>
                <w:rFonts w:hint="eastAsia" w:ascii="仿宋" w:hAnsi="仿宋" w:eastAsia="仿宋_GB2312" w:cs="宋体"/>
                <w:b/>
                <w:bCs/>
                <w:sz w:val="32"/>
                <w:szCs w:val="32"/>
              </w:rPr>
              <w:t>序号</w:t>
            </w:r>
          </w:p>
        </w:tc>
        <w:tc>
          <w:tcPr>
            <w:tcW w:w="2985"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b/>
                <w:bCs/>
                <w:sz w:val="32"/>
                <w:szCs w:val="32"/>
              </w:rPr>
            </w:pPr>
            <w:r>
              <w:rPr>
                <w:rFonts w:hint="eastAsia" w:ascii="仿宋" w:hAnsi="仿宋" w:eastAsia="仿宋_GB2312" w:cs="宋体"/>
                <w:b/>
                <w:bCs/>
                <w:sz w:val="32"/>
                <w:szCs w:val="32"/>
              </w:rPr>
              <w:t>事件类别</w:t>
            </w:r>
          </w:p>
        </w:tc>
        <w:tc>
          <w:tcPr>
            <w:tcW w:w="4865"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b/>
                <w:bCs/>
                <w:sz w:val="32"/>
                <w:szCs w:val="32"/>
              </w:rPr>
            </w:pPr>
            <w:r>
              <w:rPr>
                <w:rFonts w:hint="eastAsia" w:ascii="仿宋" w:hAnsi="仿宋" w:eastAsia="仿宋_GB2312" w:cs="宋体"/>
                <w:b/>
                <w:bCs/>
                <w:sz w:val="32"/>
                <w:szCs w:val="32"/>
              </w:rPr>
              <w:t>主要牵头部门</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PrEx>
        <w:trPr>
          <w:trHeight w:val="628" w:hRule="atLeast"/>
        </w:trPr>
        <w:tc>
          <w:tcPr>
            <w:tcW w:w="1240"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1</w:t>
            </w:r>
          </w:p>
        </w:tc>
        <w:tc>
          <w:tcPr>
            <w:tcW w:w="2985"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防汛抗旱防台风</w:t>
            </w:r>
          </w:p>
        </w:tc>
        <w:tc>
          <w:tcPr>
            <w:tcW w:w="4865"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区应急管理局、区水利局、区综合行政执法局</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PrEx>
        <w:trPr>
          <w:trHeight w:val="628" w:hRule="atLeast"/>
        </w:trPr>
        <w:tc>
          <w:tcPr>
            <w:tcW w:w="1240"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2</w:t>
            </w:r>
          </w:p>
        </w:tc>
        <w:tc>
          <w:tcPr>
            <w:tcW w:w="2985"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气象灾害</w:t>
            </w:r>
          </w:p>
        </w:tc>
        <w:tc>
          <w:tcPr>
            <w:tcW w:w="4865" w:type="dxa"/>
            <w:noWrap w:val="0"/>
            <w:tcMar>
              <w:top w:w="15" w:type="dxa"/>
              <w:left w:w="15" w:type="dxa"/>
              <w:bottom w:w="0" w:type="dxa"/>
              <w:right w:w="15" w:type="dxa"/>
            </w:tcMar>
            <w:vAlign w:val="center"/>
          </w:tcPr>
          <w:p>
            <w:pPr>
              <w:widowControl w:val="0"/>
              <w:spacing w:after="0" w:afterLines="0"/>
              <w:jc w:val="both"/>
              <w:textAlignment w:val="center"/>
              <w:rPr>
                <w:rFonts w:hint="eastAsia" w:ascii="仿宋" w:hAnsi="仿宋" w:eastAsia="仿宋_GB2312" w:cs="宋体"/>
                <w:sz w:val="32"/>
                <w:szCs w:val="32"/>
              </w:rPr>
            </w:pPr>
            <w:r>
              <w:rPr>
                <w:rFonts w:hint="eastAsia" w:ascii="仿宋" w:hAnsi="仿宋" w:eastAsia="仿宋_GB2312" w:cs="宋体"/>
                <w:sz w:val="32"/>
                <w:szCs w:val="32"/>
              </w:rPr>
              <w:t>区应急管理局</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PrEx>
        <w:trPr>
          <w:trHeight w:val="628" w:hRule="atLeast"/>
        </w:trPr>
        <w:tc>
          <w:tcPr>
            <w:tcW w:w="1240"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3</w:t>
            </w:r>
          </w:p>
        </w:tc>
        <w:tc>
          <w:tcPr>
            <w:tcW w:w="2985"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地震灾害</w:t>
            </w:r>
          </w:p>
        </w:tc>
        <w:tc>
          <w:tcPr>
            <w:tcW w:w="4865" w:type="dxa"/>
            <w:noWrap w:val="0"/>
            <w:tcMar>
              <w:top w:w="15" w:type="dxa"/>
              <w:left w:w="15" w:type="dxa"/>
              <w:bottom w:w="0" w:type="dxa"/>
              <w:right w:w="15" w:type="dxa"/>
            </w:tcMar>
            <w:vAlign w:val="center"/>
          </w:tcPr>
          <w:p>
            <w:pPr>
              <w:widowControl w:val="0"/>
              <w:spacing w:after="0" w:afterLines="0"/>
              <w:jc w:val="both"/>
              <w:textAlignment w:val="center"/>
              <w:rPr>
                <w:rFonts w:hint="eastAsia" w:ascii="仿宋" w:hAnsi="仿宋" w:eastAsia="仿宋_GB2312" w:cs="宋体"/>
                <w:sz w:val="32"/>
                <w:szCs w:val="32"/>
              </w:rPr>
            </w:pPr>
            <w:r>
              <w:rPr>
                <w:rFonts w:hint="eastAsia" w:ascii="仿宋" w:hAnsi="仿宋" w:eastAsia="仿宋_GB2312" w:cs="宋体"/>
                <w:sz w:val="32"/>
                <w:szCs w:val="32"/>
              </w:rPr>
              <w:t>区应急管理局</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PrEx>
        <w:trPr>
          <w:trHeight w:val="628" w:hRule="atLeast"/>
        </w:trPr>
        <w:tc>
          <w:tcPr>
            <w:tcW w:w="1240"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4</w:t>
            </w:r>
          </w:p>
        </w:tc>
        <w:tc>
          <w:tcPr>
            <w:tcW w:w="2985"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地质灾害</w:t>
            </w:r>
          </w:p>
        </w:tc>
        <w:tc>
          <w:tcPr>
            <w:tcW w:w="4865"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区应急管理局、市自然资源和规划局张店分局</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PrEx>
        <w:trPr>
          <w:trHeight w:val="628" w:hRule="atLeast"/>
        </w:trPr>
        <w:tc>
          <w:tcPr>
            <w:tcW w:w="1240"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5</w:t>
            </w:r>
          </w:p>
        </w:tc>
        <w:tc>
          <w:tcPr>
            <w:tcW w:w="2985"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森林草场火灾</w:t>
            </w:r>
          </w:p>
        </w:tc>
        <w:tc>
          <w:tcPr>
            <w:tcW w:w="4865"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区应急管理局、市自然资源和规划局张店分局</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PrEx>
        <w:trPr>
          <w:trHeight w:val="628" w:hRule="atLeast"/>
        </w:trPr>
        <w:tc>
          <w:tcPr>
            <w:tcW w:w="1240"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6</w:t>
            </w:r>
          </w:p>
        </w:tc>
        <w:tc>
          <w:tcPr>
            <w:tcW w:w="2985"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生物灾害</w:t>
            </w:r>
          </w:p>
        </w:tc>
        <w:tc>
          <w:tcPr>
            <w:tcW w:w="4865"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区农业农村局、市自然资源和规划局张店分局</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PrEx>
        <w:trPr>
          <w:trHeight w:val="628" w:hRule="atLeast"/>
        </w:trPr>
        <w:tc>
          <w:tcPr>
            <w:tcW w:w="1240"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7</w:t>
            </w:r>
          </w:p>
        </w:tc>
        <w:tc>
          <w:tcPr>
            <w:tcW w:w="2985"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城市防汛防台风抗旱</w:t>
            </w:r>
          </w:p>
        </w:tc>
        <w:tc>
          <w:tcPr>
            <w:tcW w:w="4865" w:type="dxa"/>
            <w:noWrap w:val="0"/>
            <w:tcMar>
              <w:top w:w="15" w:type="dxa"/>
              <w:left w:w="15" w:type="dxa"/>
              <w:bottom w:w="0" w:type="dxa"/>
              <w:right w:w="15" w:type="dxa"/>
            </w:tcMar>
            <w:vAlign w:val="center"/>
          </w:tcPr>
          <w:p>
            <w:pPr>
              <w:widowControl w:val="0"/>
              <w:spacing w:after="0" w:afterLines="0"/>
              <w:jc w:val="both"/>
              <w:textAlignment w:val="center"/>
              <w:rPr>
                <w:rFonts w:hint="eastAsia" w:ascii="仿宋" w:hAnsi="仿宋" w:eastAsia="仿宋_GB2312" w:cs="宋体"/>
                <w:sz w:val="32"/>
                <w:szCs w:val="32"/>
              </w:rPr>
            </w:pPr>
            <w:r>
              <w:rPr>
                <w:rFonts w:hint="eastAsia" w:ascii="仿宋" w:hAnsi="仿宋" w:eastAsia="仿宋_GB2312" w:cs="宋体"/>
                <w:sz w:val="32"/>
                <w:szCs w:val="32"/>
              </w:rPr>
              <w:t>区综合行政执法局、区城乡住房建设局</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PrEx>
        <w:trPr>
          <w:trHeight w:val="628" w:hRule="atLeast"/>
        </w:trPr>
        <w:tc>
          <w:tcPr>
            <w:tcW w:w="1240"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8</w:t>
            </w:r>
          </w:p>
        </w:tc>
        <w:tc>
          <w:tcPr>
            <w:tcW w:w="2985"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自然灾害救助</w:t>
            </w:r>
          </w:p>
        </w:tc>
        <w:tc>
          <w:tcPr>
            <w:tcW w:w="4865" w:type="dxa"/>
            <w:noWrap w:val="0"/>
            <w:tcMar>
              <w:top w:w="15" w:type="dxa"/>
              <w:left w:w="15" w:type="dxa"/>
              <w:bottom w:w="0" w:type="dxa"/>
              <w:right w:w="15" w:type="dxa"/>
            </w:tcMar>
            <w:vAlign w:val="center"/>
          </w:tcPr>
          <w:p>
            <w:pPr>
              <w:widowControl w:val="0"/>
              <w:spacing w:after="0" w:afterLines="0"/>
              <w:jc w:val="both"/>
              <w:textAlignment w:val="center"/>
              <w:rPr>
                <w:rFonts w:hint="eastAsia" w:ascii="仿宋" w:hAnsi="仿宋" w:eastAsia="仿宋_GB2312" w:cs="宋体"/>
                <w:sz w:val="32"/>
                <w:szCs w:val="32"/>
              </w:rPr>
            </w:pPr>
            <w:r>
              <w:rPr>
                <w:rFonts w:hint="eastAsia" w:ascii="仿宋" w:hAnsi="仿宋" w:eastAsia="仿宋_GB2312" w:cs="宋体"/>
                <w:sz w:val="32"/>
                <w:szCs w:val="32"/>
              </w:rPr>
              <w:t>区应急管理局</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PrEx>
        <w:trPr>
          <w:trHeight w:val="628" w:hRule="atLeast"/>
        </w:trPr>
        <w:tc>
          <w:tcPr>
            <w:tcW w:w="1240"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9</w:t>
            </w:r>
          </w:p>
        </w:tc>
        <w:tc>
          <w:tcPr>
            <w:tcW w:w="2985"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恶劣天气灾害</w:t>
            </w:r>
          </w:p>
        </w:tc>
        <w:tc>
          <w:tcPr>
            <w:tcW w:w="4865"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区应急管理局、区综合行政执法局、区交通运输局、张店交警大队</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PrEx>
        <w:trPr>
          <w:trHeight w:val="628" w:hRule="atLeast"/>
        </w:trPr>
        <w:tc>
          <w:tcPr>
            <w:tcW w:w="1240"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10</w:t>
            </w:r>
          </w:p>
        </w:tc>
        <w:tc>
          <w:tcPr>
            <w:tcW w:w="2985"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清雪除冰工作</w:t>
            </w:r>
          </w:p>
        </w:tc>
        <w:tc>
          <w:tcPr>
            <w:tcW w:w="4865" w:type="dxa"/>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区综合行政执法局</w:t>
            </w:r>
          </w:p>
        </w:tc>
      </w:tr>
    </w:tbl>
    <w:p>
      <w:pPr>
        <w:widowControl w:val="0"/>
        <w:spacing w:after="0" w:afterLines="0" w:line="560" w:lineRule="exact"/>
        <w:ind w:firstLine="640" w:firstLineChars="200"/>
        <w:jc w:val="both"/>
        <w:rPr>
          <w:rFonts w:ascii="黑体" w:hAnsi="黑体" w:eastAsia="黑体" w:cs="仿宋"/>
          <w:bCs/>
          <w:sz w:val="32"/>
          <w:szCs w:val="32"/>
        </w:rPr>
      </w:pPr>
      <w:r>
        <w:rPr>
          <w:rFonts w:hint="eastAsia" w:ascii="黑体" w:hAnsi="黑体" w:eastAsia="黑体" w:cs="仿宋"/>
          <w:bCs/>
          <w:sz w:val="32"/>
          <w:szCs w:val="32"/>
        </w:rPr>
        <w:t>二、事故灾难事件</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40"/>
        <w:gridCol w:w="3029"/>
        <w:gridCol w:w="4821"/>
      </w:tblGrid>
      <w:tr>
        <w:trPr>
          <w:trHeight w:val="679"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b/>
                <w:bCs/>
                <w:sz w:val="32"/>
                <w:szCs w:val="32"/>
              </w:rPr>
            </w:pPr>
            <w:r>
              <w:rPr>
                <w:rFonts w:hint="eastAsia" w:ascii="仿宋" w:hAnsi="仿宋" w:eastAsia="仿宋_GB2312" w:cs="宋体"/>
                <w:b/>
                <w:bCs/>
                <w:sz w:val="32"/>
                <w:szCs w:val="32"/>
              </w:rPr>
              <w:t>序号</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b/>
                <w:bCs/>
                <w:sz w:val="32"/>
                <w:szCs w:val="32"/>
              </w:rPr>
            </w:pPr>
            <w:r>
              <w:rPr>
                <w:rFonts w:hint="eastAsia" w:ascii="仿宋" w:hAnsi="仿宋" w:eastAsia="仿宋_GB2312" w:cs="宋体"/>
                <w:b/>
                <w:bCs/>
                <w:sz w:val="32"/>
                <w:szCs w:val="32"/>
              </w:rPr>
              <w:t>事件类别</w:t>
            </w:r>
          </w:p>
        </w:tc>
        <w:tc>
          <w:tcPr>
            <w:tcW w:w="482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b/>
                <w:bCs/>
                <w:sz w:val="32"/>
                <w:szCs w:val="32"/>
              </w:rPr>
            </w:pPr>
            <w:r>
              <w:rPr>
                <w:rFonts w:hint="eastAsia" w:ascii="仿宋" w:hAnsi="仿宋" w:eastAsia="仿宋_GB2312" w:cs="宋体"/>
                <w:b/>
                <w:bCs/>
                <w:sz w:val="32"/>
                <w:szCs w:val="32"/>
              </w:rPr>
              <w:t>主要牵头部门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9"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1</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生产安全事故</w:t>
            </w:r>
          </w:p>
        </w:tc>
        <w:tc>
          <w:tcPr>
            <w:tcW w:w="48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hint="eastAsia" w:ascii="仿宋" w:hAnsi="仿宋" w:eastAsia="仿宋_GB2312" w:cs="宋体"/>
                <w:sz w:val="32"/>
                <w:szCs w:val="32"/>
              </w:rPr>
            </w:pPr>
            <w:r>
              <w:rPr>
                <w:rFonts w:hint="eastAsia" w:ascii="仿宋" w:hAnsi="仿宋" w:eastAsia="仿宋_GB2312" w:cs="宋体"/>
                <w:sz w:val="32"/>
                <w:szCs w:val="32"/>
              </w:rPr>
              <w:t>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6"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2</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危险化学品事故</w:t>
            </w:r>
          </w:p>
        </w:tc>
        <w:tc>
          <w:tcPr>
            <w:tcW w:w="48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afterLines="0"/>
              <w:rPr>
                <w:rFonts w:ascii="仿宋" w:hAnsi="仿宋" w:eastAsia="仿宋_GB2312" w:cs="宋体"/>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6"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3</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火灾事故</w:t>
            </w:r>
          </w:p>
        </w:tc>
        <w:tc>
          <w:tcPr>
            <w:tcW w:w="482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张店消防救援大队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6" w:hRule="atLeast"/>
        </w:trPr>
        <w:tc>
          <w:tcPr>
            <w:tcW w:w="1240"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4</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石油天然气管道事故</w:t>
            </w:r>
          </w:p>
        </w:tc>
        <w:tc>
          <w:tcPr>
            <w:tcW w:w="4821" w:type="dxa"/>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widowControl w:val="0"/>
              <w:spacing w:after="0" w:afterLines="0"/>
              <w:jc w:val="both"/>
              <w:rPr>
                <w:rFonts w:hint="eastAsia" w:ascii="仿宋" w:hAnsi="仿宋" w:eastAsia="仿宋_GB2312" w:cs="宋体"/>
                <w:sz w:val="32"/>
                <w:szCs w:val="32"/>
              </w:rPr>
            </w:pPr>
            <w:r>
              <w:rPr>
                <w:rFonts w:hint="eastAsia" w:ascii="仿宋" w:hAnsi="仿宋" w:eastAsia="仿宋_GB2312" w:cs="宋体"/>
                <w:sz w:val="32"/>
                <w:szCs w:val="32"/>
              </w:rPr>
              <w:t>区发展改革局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8" w:hRule="atLeast"/>
        </w:trPr>
        <w:tc>
          <w:tcPr>
            <w:tcW w:w="124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5</w:t>
            </w:r>
          </w:p>
        </w:tc>
        <w:tc>
          <w:tcPr>
            <w:tcW w:w="3029"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公路突发事件</w:t>
            </w:r>
          </w:p>
        </w:tc>
        <w:tc>
          <w:tcPr>
            <w:tcW w:w="4821" w:type="dxa"/>
            <w:vMerge w:val="restart"/>
            <w:tcBorders>
              <w:top w:val="single" w:color="auto" w:sz="4" w:space="0"/>
              <w:left w:val="single" w:color="000000" w:sz="4" w:space="0"/>
              <w:bottom w:val="nil"/>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5" w:hRule="atLeast"/>
        </w:trPr>
        <w:tc>
          <w:tcPr>
            <w:tcW w:w="1240"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6</w:t>
            </w:r>
          </w:p>
        </w:tc>
        <w:tc>
          <w:tcPr>
            <w:tcW w:w="3029"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城市公共交通突发事件</w:t>
            </w:r>
          </w:p>
        </w:tc>
        <w:tc>
          <w:tcPr>
            <w:tcW w:w="4821" w:type="dxa"/>
            <w:vMerge w:val="continue"/>
            <w:tcBorders>
              <w:top w:val="single" w:color="auto" w:sz="4" w:space="0"/>
              <w:left w:val="single" w:color="000000" w:sz="4" w:space="0"/>
              <w:bottom w:val="nil"/>
              <w:right w:val="single" w:color="000000" w:sz="4" w:space="0"/>
            </w:tcBorders>
            <w:noWrap w:val="0"/>
            <w:vAlign w:val="center"/>
          </w:tcPr>
          <w:p>
            <w:pPr>
              <w:widowControl w:val="0"/>
              <w:adjustRightInd/>
              <w:snapToGrid/>
              <w:spacing w:after="0" w:afterLines="0"/>
              <w:rPr>
                <w:rFonts w:ascii="仿宋" w:hAnsi="仿宋" w:eastAsia="仿宋_GB2312" w:cs="宋体"/>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9"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7</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建设工程事故</w:t>
            </w:r>
          </w:p>
        </w:tc>
        <w:tc>
          <w:tcPr>
            <w:tcW w:w="4821"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hint="eastAsia" w:ascii="仿宋" w:hAnsi="仿宋" w:eastAsia="仿宋_GB2312" w:cs="宋体"/>
                <w:sz w:val="32"/>
                <w:szCs w:val="32"/>
              </w:rPr>
            </w:pPr>
            <w:r>
              <w:rPr>
                <w:rFonts w:hint="eastAsia" w:ascii="仿宋" w:hAnsi="仿宋" w:eastAsia="仿宋_GB2312" w:cs="宋体"/>
                <w:sz w:val="32"/>
                <w:szCs w:val="32"/>
              </w:rPr>
              <w:t>区城乡住房建设局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9"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8</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供热事故</w:t>
            </w:r>
          </w:p>
        </w:tc>
        <w:tc>
          <w:tcPr>
            <w:tcW w:w="4821"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val="0"/>
              <w:adjustRightInd/>
              <w:snapToGrid/>
              <w:spacing w:after="0" w:afterLines="0"/>
              <w:rPr>
                <w:rFonts w:ascii="仿宋" w:hAnsi="仿宋" w:eastAsia="仿宋_GB2312" w:cs="宋体"/>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3"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9</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城镇燃气安全事故</w:t>
            </w:r>
          </w:p>
        </w:tc>
        <w:tc>
          <w:tcPr>
            <w:tcW w:w="4821"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val="0"/>
              <w:adjustRightInd/>
              <w:snapToGrid/>
              <w:spacing w:after="0" w:afterLines="0"/>
              <w:rPr>
                <w:rFonts w:ascii="仿宋" w:hAnsi="仿宋" w:eastAsia="仿宋_GB2312" w:cs="宋体"/>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240" w:type="dxa"/>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10</w:t>
            </w:r>
          </w:p>
        </w:tc>
        <w:tc>
          <w:tcPr>
            <w:tcW w:w="3029" w:type="dxa"/>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城市供水突发事件</w:t>
            </w:r>
          </w:p>
        </w:tc>
        <w:tc>
          <w:tcPr>
            <w:tcW w:w="4821"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区水利局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8"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11</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大面积停电事件、发电企业生产安全事故</w:t>
            </w:r>
          </w:p>
        </w:tc>
        <w:tc>
          <w:tcPr>
            <w:tcW w:w="482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区发展改革局、国网淄博供电公司张店供电部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3"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12</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特种设备事故</w:t>
            </w:r>
          </w:p>
        </w:tc>
        <w:tc>
          <w:tcPr>
            <w:tcW w:w="482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3"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13</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通信网络事故</w:t>
            </w:r>
          </w:p>
        </w:tc>
        <w:tc>
          <w:tcPr>
            <w:tcW w:w="48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hint="eastAsia" w:ascii="仿宋" w:hAnsi="仿宋" w:eastAsia="仿宋_GB2312" w:cs="宋体"/>
                <w:sz w:val="32"/>
                <w:szCs w:val="32"/>
              </w:rPr>
            </w:pPr>
            <w:r>
              <w:rPr>
                <w:rFonts w:hint="eastAsia" w:ascii="仿宋" w:hAnsi="仿宋" w:eastAsia="仿宋_GB2312" w:cs="宋体"/>
                <w:sz w:val="32"/>
                <w:szCs w:val="32"/>
              </w:rPr>
              <w:t>区工业和信息化局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3"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14</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核事故</w:t>
            </w:r>
          </w:p>
        </w:tc>
        <w:tc>
          <w:tcPr>
            <w:tcW w:w="48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afterLines="0"/>
              <w:rPr>
                <w:rFonts w:ascii="仿宋" w:hAnsi="仿宋" w:eastAsia="仿宋_GB2312" w:cs="宋体"/>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3"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15</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民爆物品安全生产事故</w:t>
            </w:r>
          </w:p>
        </w:tc>
        <w:tc>
          <w:tcPr>
            <w:tcW w:w="48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afterLines="0"/>
              <w:rPr>
                <w:rFonts w:ascii="仿宋" w:hAnsi="仿宋" w:eastAsia="仿宋_GB2312" w:cs="宋体"/>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3"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16</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辐射事故</w:t>
            </w:r>
          </w:p>
        </w:tc>
        <w:tc>
          <w:tcPr>
            <w:tcW w:w="4821"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市生态环境局张店分局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4"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17</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重污染天气</w:t>
            </w:r>
          </w:p>
        </w:tc>
        <w:tc>
          <w:tcPr>
            <w:tcW w:w="4821"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val="0"/>
              <w:adjustRightInd/>
              <w:snapToGrid/>
              <w:spacing w:after="0" w:afterLines="0"/>
              <w:rPr>
                <w:rFonts w:ascii="仿宋" w:hAnsi="仿宋" w:eastAsia="仿宋_GB2312" w:cs="宋体"/>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9"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18</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环境污染事件</w:t>
            </w:r>
          </w:p>
        </w:tc>
        <w:tc>
          <w:tcPr>
            <w:tcW w:w="4821"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val="0"/>
              <w:adjustRightInd/>
              <w:snapToGrid/>
              <w:spacing w:after="0" w:afterLines="0"/>
              <w:rPr>
                <w:rFonts w:ascii="仿宋" w:hAnsi="仿宋" w:eastAsia="仿宋_GB2312" w:cs="宋体"/>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3"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19</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生态破坏事件</w:t>
            </w:r>
          </w:p>
        </w:tc>
        <w:tc>
          <w:tcPr>
            <w:tcW w:w="4821"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val="0"/>
              <w:adjustRightInd/>
              <w:snapToGrid/>
              <w:spacing w:after="0" w:afterLines="0"/>
              <w:rPr>
                <w:rFonts w:ascii="仿宋" w:hAnsi="仿宋" w:eastAsia="仿宋_GB2312" w:cs="宋体"/>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3"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20</w:t>
            </w:r>
          </w:p>
        </w:tc>
        <w:tc>
          <w:tcPr>
            <w:tcW w:w="3029" w:type="dxa"/>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人员密集场所突发事件</w:t>
            </w:r>
          </w:p>
        </w:tc>
        <w:tc>
          <w:tcPr>
            <w:tcW w:w="482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张店公安分局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3"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21</w:t>
            </w:r>
          </w:p>
        </w:tc>
        <w:tc>
          <w:tcPr>
            <w:tcW w:w="3029" w:type="dxa"/>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危化品运输紧急事件</w:t>
            </w:r>
          </w:p>
        </w:tc>
        <w:tc>
          <w:tcPr>
            <w:tcW w:w="482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rPr>
                <w:rFonts w:ascii="仿宋" w:hAnsi="仿宋" w:eastAsia="仿宋_GB2312" w:cs="宋体"/>
                <w:sz w:val="32"/>
                <w:szCs w:val="32"/>
              </w:rPr>
            </w:pPr>
            <w:r>
              <w:rPr>
                <w:rFonts w:hint="eastAsia" w:ascii="仿宋" w:hAnsi="仿宋" w:eastAsia="仿宋_GB2312" w:cs="宋体"/>
                <w:sz w:val="32"/>
                <w:szCs w:val="32"/>
              </w:rPr>
              <w:t>张店交警大队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3"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22</w:t>
            </w:r>
          </w:p>
        </w:tc>
        <w:tc>
          <w:tcPr>
            <w:tcW w:w="3029" w:type="dxa"/>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道路交通事故</w:t>
            </w:r>
          </w:p>
        </w:tc>
        <w:tc>
          <w:tcPr>
            <w:tcW w:w="482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张店交警大队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3"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23</w:t>
            </w:r>
          </w:p>
        </w:tc>
        <w:tc>
          <w:tcPr>
            <w:tcW w:w="3029" w:type="dxa"/>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旅游突发事件</w:t>
            </w:r>
          </w:p>
        </w:tc>
        <w:tc>
          <w:tcPr>
            <w:tcW w:w="482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区文化旅游局</w:t>
            </w:r>
          </w:p>
        </w:tc>
      </w:tr>
    </w:tbl>
    <w:p>
      <w:pPr>
        <w:widowControl w:val="0"/>
        <w:spacing w:after="0" w:afterLines="0" w:line="560" w:lineRule="exact"/>
        <w:ind w:firstLine="640" w:firstLineChars="200"/>
        <w:jc w:val="both"/>
        <w:rPr>
          <w:rFonts w:ascii="黑体" w:hAnsi="黑体" w:eastAsia="黑体" w:cs="仿宋"/>
          <w:bCs/>
          <w:sz w:val="32"/>
          <w:szCs w:val="32"/>
        </w:rPr>
      </w:pPr>
      <w:r>
        <w:rPr>
          <w:rFonts w:hint="eastAsia" w:ascii="黑体" w:hAnsi="黑体" w:eastAsia="黑体" w:cs="仿宋"/>
          <w:bCs/>
          <w:sz w:val="32"/>
          <w:szCs w:val="32"/>
        </w:rPr>
        <w:t>三、公共卫生事件</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40"/>
        <w:gridCol w:w="3029"/>
        <w:gridCol w:w="4821"/>
      </w:tblGrid>
      <w:tr>
        <w:trPr>
          <w:trHeight w:val="611"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b/>
                <w:bCs/>
                <w:sz w:val="32"/>
                <w:szCs w:val="32"/>
              </w:rPr>
            </w:pPr>
            <w:r>
              <w:rPr>
                <w:rFonts w:hint="eastAsia" w:ascii="仿宋" w:hAnsi="仿宋" w:eastAsia="仿宋_GB2312" w:cs="宋体"/>
                <w:b/>
                <w:bCs/>
                <w:sz w:val="32"/>
                <w:szCs w:val="32"/>
              </w:rPr>
              <w:t>序号</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b/>
                <w:bCs/>
                <w:sz w:val="32"/>
                <w:szCs w:val="32"/>
              </w:rPr>
            </w:pPr>
            <w:r>
              <w:rPr>
                <w:rFonts w:hint="eastAsia" w:ascii="仿宋" w:hAnsi="仿宋" w:eastAsia="仿宋_GB2312" w:cs="宋体"/>
                <w:b/>
                <w:bCs/>
                <w:sz w:val="32"/>
                <w:szCs w:val="32"/>
              </w:rPr>
              <w:t>事件类别</w:t>
            </w:r>
          </w:p>
        </w:tc>
        <w:tc>
          <w:tcPr>
            <w:tcW w:w="482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b/>
                <w:bCs/>
                <w:sz w:val="32"/>
                <w:szCs w:val="32"/>
              </w:rPr>
            </w:pPr>
            <w:r>
              <w:rPr>
                <w:rFonts w:hint="eastAsia" w:ascii="仿宋" w:hAnsi="仿宋" w:eastAsia="仿宋_GB2312" w:cs="宋体"/>
                <w:b/>
                <w:bCs/>
                <w:sz w:val="32"/>
                <w:szCs w:val="32"/>
              </w:rPr>
              <w:t>主要牵头部门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8"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1</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公共卫生事件</w:t>
            </w:r>
          </w:p>
        </w:tc>
        <w:tc>
          <w:tcPr>
            <w:tcW w:w="48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hint="eastAsia" w:ascii="仿宋" w:hAnsi="仿宋" w:eastAsia="仿宋_GB2312" w:cs="宋体"/>
                <w:sz w:val="32"/>
                <w:szCs w:val="32"/>
              </w:rPr>
            </w:pPr>
            <w:r>
              <w:rPr>
                <w:rFonts w:hint="eastAsia" w:ascii="仿宋" w:hAnsi="仿宋" w:eastAsia="仿宋_GB2312" w:cs="宋体"/>
                <w:sz w:val="32"/>
                <w:szCs w:val="32"/>
              </w:rPr>
              <w:t>区卫生健康局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8"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2</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突发事件医疗卫生救援</w:t>
            </w:r>
          </w:p>
        </w:tc>
        <w:tc>
          <w:tcPr>
            <w:tcW w:w="48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afterLines="0"/>
              <w:rPr>
                <w:rFonts w:ascii="仿宋" w:hAnsi="仿宋" w:eastAsia="仿宋_GB2312" w:cs="宋体"/>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8"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3</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群体性不明原因疾病</w:t>
            </w:r>
          </w:p>
        </w:tc>
        <w:tc>
          <w:tcPr>
            <w:tcW w:w="48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afterLines="0"/>
              <w:rPr>
                <w:rFonts w:ascii="仿宋" w:hAnsi="仿宋" w:eastAsia="仿宋_GB2312" w:cs="宋体"/>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8"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4</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职业中毒事件</w:t>
            </w:r>
          </w:p>
        </w:tc>
        <w:tc>
          <w:tcPr>
            <w:tcW w:w="48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afterLines="0"/>
              <w:rPr>
                <w:rFonts w:ascii="仿宋" w:hAnsi="仿宋" w:eastAsia="仿宋_GB2312" w:cs="宋体"/>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8"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5</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食品安全事件</w:t>
            </w:r>
          </w:p>
        </w:tc>
        <w:tc>
          <w:tcPr>
            <w:tcW w:w="48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240" w:type="dxa"/>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6</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药品安全事件</w:t>
            </w:r>
          </w:p>
        </w:tc>
        <w:tc>
          <w:tcPr>
            <w:tcW w:w="48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afterLines="0"/>
              <w:rPr>
                <w:rFonts w:ascii="仿宋" w:hAnsi="仿宋" w:eastAsia="仿宋_GB2312" w:cs="宋体"/>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8"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7</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疫苗安全事件</w:t>
            </w:r>
          </w:p>
        </w:tc>
        <w:tc>
          <w:tcPr>
            <w:tcW w:w="482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hint="eastAsia" w:ascii="仿宋" w:hAnsi="仿宋" w:eastAsia="仿宋_GB2312" w:cs="宋体"/>
                <w:sz w:val="32"/>
                <w:szCs w:val="32"/>
              </w:rPr>
            </w:pPr>
            <w:r>
              <w:rPr>
                <w:rFonts w:hint="eastAsia" w:ascii="仿宋" w:hAnsi="仿宋" w:eastAsia="仿宋_GB2312" w:cs="宋体"/>
                <w:sz w:val="32"/>
                <w:szCs w:val="32"/>
              </w:rPr>
              <w:t>区市场监督管理局、区卫生健康局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8"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8</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动物疫情</w:t>
            </w:r>
          </w:p>
        </w:tc>
        <w:tc>
          <w:tcPr>
            <w:tcW w:w="482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区农业农村局、市自然资源和规划局张店分局</w:t>
            </w:r>
          </w:p>
        </w:tc>
      </w:tr>
    </w:tbl>
    <w:p>
      <w:pPr>
        <w:widowControl w:val="0"/>
        <w:spacing w:after="0" w:afterLines="0" w:line="560" w:lineRule="exact"/>
        <w:ind w:firstLine="640" w:firstLineChars="200"/>
        <w:jc w:val="both"/>
        <w:rPr>
          <w:rFonts w:ascii="黑体" w:hAnsi="黑体" w:eastAsia="黑体" w:cs="仿宋"/>
          <w:bCs/>
          <w:sz w:val="32"/>
          <w:szCs w:val="32"/>
        </w:rPr>
      </w:pPr>
      <w:r>
        <w:rPr>
          <w:rFonts w:hint="eastAsia" w:ascii="黑体" w:hAnsi="黑体" w:eastAsia="黑体" w:cs="仿宋"/>
          <w:bCs/>
          <w:sz w:val="32"/>
          <w:szCs w:val="32"/>
        </w:rPr>
        <w:t>四、社会安全事件</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40"/>
        <w:gridCol w:w="3029"/>
        <w:gridCol w:w="4821"/>
      </w:tblGrid>
      <w:tr>
        <w:trPr>
          <w:trHeight w:val="611"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b/>
                <w:bCs/>
                <w:sz w:val="32"/>
                <w:szCs w:val="32"/>
              </w:rPr>
            </w:pPr>
            <w:r>
              <w:rPr>
                <w:rFonts w:hint="eastAsia" w:ascii="仿宋" w:hAnsi="仿宋" w:eastAsia="仿宋_GB2312" w:cs="宋体"/>
                <w:b/>
                <w:bCs/>
                <w:sz w:val="32"/>
                <w:szCs w:val="32"/>
              </w:rPr>
              <w:t>序号</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b/>
                <w:bCs/>
                <w:sz w:val="32"/>
                <w:szCs w:val="32"/>
              </w:rPr>
            </w:pPr>
            <w:r>
              <w:rPr>
                <w:rFonts w:hint="eastAsia" w:ascii="仿宋" w:hAnsi="仿宋" w:eastAsia="仿宋_GB2312" w:cs="宋体"/>
                <w:b/>
                <w:bCs/>
                <w:sz w:val="32"/>
                <w:szCs w:val="32"/>
              </w:rPr>
              <w:t>事件类别</w:t>
            </w:r>
          </w:p>
        </w:tc>
        <w:tc>
          <w:tcPr>
            <w:tcW w:w="482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b/>
                <w:bCs/>
                <w:sz w:val="32"/>
                <w:szCs w:val="32"/>
              </w:rPr>
            </w:pPr>
            <w:r>
              <w:rPr>
                <w:rFonts w:hint="eastAsia" w:ascii="仿宋" w:hAnsi="仿宋" w:eastAsia="仿宋_GB2312" w:cs="宋体"/>
                <w:b/>
                <w:bCs/>
                <w:sz w:val="32"/>
                <w:szCs w:val="32"/>
              </w:rPr>
              <w:t>主要牵头部门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8"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1</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社会安全事件</w:t>
            </w:r>
          </w:p>
        </w:tc>
        <w:tc>
          <w:tcPr>
            <w:tcW w:w="48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张店公安分局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8"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2</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恐怖袭击事件</w:t>
            </w:r>
          </w:p>
        </w:tc>
        <w:tc>
          <w:tcPr>
            <w:tcW w:w="48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afterLines="0"/>
              <w:rPr>
                <w:rFonts w:ascii="仿宋" w:hAnsi="仿宋" w:eastAsia="仿宋_GB2312" w:cs="宋体"/>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8"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3</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刑事案件</w:t>
            </w:r>
          </w:p>
        </w:tc>
        <w:tc>
          <w:tcPr>
            <w:tcW w:w="48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afterLines="0"/>
              <w:rPr>
                <w:rFonts w:ascii="仿宋" w:hAnsi="仿宋" w:eastAsia="仿宋_GB2312" w:cs="宋体"/>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8"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4</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群体性事件</w:t>
            </w:r>
          </w:p>
        </w:tc>
        <w:tc>
          <w:tcPr>
            <w:tcW w:w="482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区委政法委、张店公安分局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8"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5</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网络与信息安全事件</w:t>
            </w:r>
          </w:p>
        </w:tc>
        <w:tc>
          <w:tcPr>
            <w:tcW w:w="482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8"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6</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影响市场稳定突发事件</w:t>
            </w:r>
          </w:p>
        </w:tc>
        <w:tc>
          <w:tcPr>
            <w:tcW w:w="482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8"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7</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油气供应中断突发事件</w:t>
            </w:r>
          </w:p>
        </w:tc>
        <w:tc>
          <w:tcPr>
            <w:tcW w:w="48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hint="eastAsia" w:ascii="仿宋" w:hAnsi="仿宋" w:eastAsia="仿宋_GB2312" w:cs="宋体"/>
                <w:sz w:val="32"/>
                <w:szCs w:val="32"/>
              </w:rPr>
            </w:pPr>
            <w:r>
              <w:rPr>
                <w:rFonts w:hint="eastAsia" w:ascii="仿宋" w:hAnsi="仿宋" w:eastAsia="仿宋_GB2312" w:cs="宋体"/>
                <w:sz w:val="32"/>
                <w:szCs w:val="32"/>
              </w:rPr>
              <w:t>区发展改革局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8"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8</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粮食安全风险防控</w:t>
            </w:r>
          </w:p>
        </w:tc>
        <w:tc>
          <w:tcPr>
            <w:tcW w:w="48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afterLines="0"/>
              <w:rPr>
                <w:rFonts w:ascii="仿宋" w:hAnsi="仿宋" w:eastAsia="仿宋_GB2312" w:cs="宋体"/>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8"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9</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涉外突发事件</w:t>
            </w:r>
          </w:p>
        </w:tc>
        <w:tc>
          <w:tcPr>
            <w:tcW w:w="482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color w:val="FF0000"/>
                <w:sz w:val="32"/>
                <w:szCs w:val="32"/>
              </w:rPr>
            </w:pPr>
            <w:r>
              <w:rPr>
                <w:rFonts w:hint="eastAsia" w:ascii="仿宋" w:hAnsi="仿宋" w:eastAsia="仿宋_GB2312" w:cs="宋体"/>
                <w:sz w:val="32"/>
                <w:szCs w:val="32"/>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8"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10</w:t>
            </w:r>
          </w:p>
        </w:tc>
        <w:tc>
          <w:tcPr>
            <w:tcW w:w="30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民族宗教事件</w:t>
            </w:r>
          </w:p>
        </w:tc>
        <w:tc>
          <w:tcPr>
            <w:tcW w:w="4821"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区委统战部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8"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11</w:t>
            </w:r>
          </w:p>
        </w:tc>
        <w:tc>
          <w:tcPr>
            <w:tcW w:w="3029" w:type="dxa"/>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突发公共新闻发布</w:t>
            </w:r>
          </w:p>
        </w:tc>
        <w:tc>
          <w:tcPr>
            <w:tcW w:w="482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8"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12</w:t>
            </w:r>
          </w:p>
        </w:tc>
        <w:tc>
          <w:tcPr>
            <w:tcW w:w="3029" w:type="dxa"/>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舆情突发事件</w:t>
            </w:r>
          </w:p>
        </w:tc>
        <w:tc>
          <w:tcPr>
            <w:tcW w:w="48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rPr>
                <w:rFonts w:ascii="仿宋" w:hAnsi="仿宋" w:eastAsia="仿宋_GB2312" w:cs="宋体"/>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8"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13</w:t>
            </w:r>
          </w:p>
        </w:tc>
        <w:tc>
          <w:tcPr>
            <w:tcW w:w="3029" w:type="dxa"/>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生活必需品市场供应突发事件</w:t>
            </w:r>
          </w:p>
        </w:tc>
        <w:tc>
          <w:tcPr>
            <w:tcW w:w="482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8" w:hRule="atLeast"/>
        </w:trPr>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14</w:t>
            </w:r>
          </w:p>
        </w:tc>
        <w:tc>
          <w:tcPr>
            <w:tcW w:w="3029" w:type="dxa"/>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群体性信访事件</w:t>
            </w:r>
          </w:p>
        </w:tc>
        <w:tc>
          <w:tcPr>
            <w:tcW w:w="482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区信访局</w:t>
            </w:r>
          </w:p>
        </w:tc>
      </w:tr>
    </w:tbl>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ascii="仿宋" w:hAnsi="仿宋" w:eastAsia="楷体_GB2312" w:cs="黑体"/>
          <w:sz w:val="32"/>
          <w:szCs w:val="32"/>
        </w:rPr>
      </w:pPr>
      <w:r>
        <w:rPr>
          <w:rFonts w:hint="eastAsia" w:ascii="仿宋" w:hAnsi="仿宋" w:eastAsia="楷体_GB2312" w:cs="黑体"/>
          <w:sz w:val="32"/>
          <w:szCs w:val="32"/>
        </w:rPr>
        <w:t>9.2突发事件应急保障工作主要牵头和配合部门</w:t>
      </w:r>
    </w:p>
    <w:tbl>
      <w:tblPr>
        <w:tblStyle w:val="20"/>
        <w:tblpPr w:leftFromText="180" w:rightFromText="180" w:vertAnchor="text" w:horzAnchor="margin" w:tblpY="4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753"/>
        <w:gridCol w:w="1419"/>
        <w:gridCol w:w="5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b/>
                <w:bCs/>
                <w:sz w:val="32"/>
                <w:szCs w:val="32"/>
              </w:rPr>
            </w:pPr>
            <w:r>
              <w:rPr>
                <w:rFonts w:hint="eastAsia" w:ascii="仿宋" w:hAnsi="仿宋" w:eastAsia="仿宋_GB2312" w:cs="宋体"/>
                <w:b/>
                <w:bCs/>
                <w:sz w:val="32"/>
                <w:szCs w:val="32"/>
              </w:rPr>
              <w:t>序号</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b/>
                <w:bCs/>
                <w:sz w:val="32"/>
                <w:szCs w:val="32"/>
              </w:rPr>
            </w:pPr>
            <w:r>
              <w:rPr>
                <w:rFonts w:hint="eastAsia" w:ascii="仿宋" w:hAnsi="仿宋" w:eastAsia="仿宋_GB2312" w:cs="宋体"/>
                <w:b/>
                <w:bCs/>
                <w:sz w:val="32"/>
                <w:szCs w:val="32"/>
              </w:rPr>
              <w:t>应急保</w:t>
            </w:r>
            <w:r>
              <w:rPr>
                <w:rFonts w:hint="eastAsia" w:ascii="仿宋" w:hAnsi="仿宋" w:eastAsia="仿宋_GB2312" w:cs="宋体"/>
                <w:b/>
                <w:bCs/>
                <w:sz w:val="32"/>
                <w:szCs w:val="32"/>
                <w:lang w:val="en-US" w:eastAsia="zh-CN"/>
              </w:rPr>
              <w:t>障</w:t>
            </w:r>
            <w:r>
              <w:rPr>
                <w:rFonts w:hint="eastAsia" w:ascii="仿宋" w:hAnsi="仿宋" w:eastAsia="仿宋_GB2312" w:cs="宋体"/>
                <w:b/>
                <w:bCs/>
                <w:sz w:val="32"/>
                <w:szCs w:val="32"/>
              </w:rPr>
              <w:t>措施</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b/>
                <w:bCs/>
                <w:sz w:val="32"/>
                <w:szCs w:val="32"/>
              </w:rPr>
            </w:pPr>
            <w:r>
              <w:rPr>
                <w:rFonts w:hint="eastAsia" w:ascii="仿宋" w:hAnsi="仿宋" w:eastAsia="仿宋_GB2312" w:cs="宋体"/>
                <w:b/>
                <w:bCs/>
                <w:sz w:val="32"/>
                <w:szCs w:val="32"/>
              </w:rPr>
              <w:t>牵头协调部门</w:t>
            </w:r>
          </w:p>
        </w:tc>
        <w:tc>
          <w:tcPr>
            <w:tcW w:w="5393"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b/>
                <w:bCs/>
                <w:sz w:val="32"/>
                <w:szCs w:val="32"/>
              </w:rPr>
            </w:pPr>
            <w:r>
              <w:rPr>
                <w:rFonts w:hint="eastAsia" w:ascii="仿宋" w:hAnsi="仿宋" w:eastAsia="仿宋_GB2312" w:cs="宋体"/>
                <w:b/>
                <w:bCs/>
                <w:sz w:val="32"/>
                <w:szCs w:val="32"/>
              </w:rPr>
              <w:t>配合部门和单位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 w:hRule="atLeast"/>
        </w:trPr>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1</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交通运输保障</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张店交警大队</w:t>
            </w:r>
          </w:p>
        </w:tc>
        <w:tc>
          <w:tcPr>
            <w:tcW w:w="5393"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区发展改革局、区应急管理局、区人武部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 w:hRule="atLeast"/>
        </w:trPr>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2</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通信保障</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hint="eastAsia" w:ascii="仿宋" w:hAnsi="仿宋" w:eastAsia="仿宋_GB2312" w:cs="宋体"/>
                <w:sz w:val="32"/>
                <w:szCs w:val="32"/>
              </w:rPr>
            </w:pPr>
            <w:r>
              <w:rPr>
                <w:rFonts w:hint="eastAsia" w:ascii="仿宋" w:hAnsi="仿宋" w:eastAsia="仿宋_GB2312" w:cs="宋体"/>
                <w:sz w:val="32"/>
                <w:szCs w:val="32"/>
              </w:rPr>
              <w:t>区工业和信息化局</w:t>
            </w:r>
          </w:p>
        </w:tc>
        <w:tc>
          <w:tcPr>
            <w:tcW w:w="5393"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hint="eastAsia" w:ascii="仿宋" w:hAnsi="仿宋" w:eastAsia="仿宋_GB2312" w:cs="宋体"/>
                <w:sz w:val="32"/>
                <w:szCs w:val="32"/>
              </w:rPr>
            </w:pPr>
            <w:r>
              <w:rPr>
                <w:rFonts w:hint="eastAsia" w:ascii="仿宋" w:hAnsi="仿宋" w:eastAsia="仿宋_GB2312" w:cs="宋体"/>
                <w:sz w:val="32"/>
                <w:szCs w:val="32"/>
              </w:rPr>
              <w:t>相关部门（单位）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 w:hRule="atLeast"/>
        </w:trPr>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3</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现场信息保障</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突发事件主要牵头部门</w:t>
            </w:r>
          </w:p>
        </w:tc>
        <w:tc>
          <w:tcPr>
            <w:tcW w:w="5393"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区发展改革局、区工业和信息化局、区交通运输局、区应急管理局、区人武部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 w:hRule="atLeast"/>
        </w:trPr>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4</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医疗保障</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hint="eastAsia" w:ascii="仿宋" w:hAnsi="仿宋" w:eastAsia="仿宋_GB2312" w:cs="宋体"/>
                <w:sz w:val="32"/>
                <w:szCs w:val="32"/>
              </w:rPr>
            </w:pPr>
            <w:r>
              <w:rPr>
                <w:rFonts w:hint="eastAsia" w:ascii="仿宋" w:hAnsi="仿宋" w:eastAsia="仿宋_GB2312" w:cs="宋体"/>
                <w:sz w:val="32"/>
                <w:szCs w:val="32"/>
              </w:rPr>
              <w:t>区卫生健康局</w:t>
            </w:r>
          </w:p>
        </w:tc>
        <w:tc>
          <w:tcPr>
            <w:tcW w:w="5393"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区发展改革局、区工业和信息化局、区市场监督管理局、区人武部、区红十字会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 w:hRule="atLeast"/>
        </w:trPr>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5</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抢险救援物资装备保障</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hint="eastAsia" w:ascii="仿宋" w:hAnsi="仿宋" w:eastAsia="仿宋_GB2312" w:cs="宋体"/>
                <w:sz w:val="32"/>
                <w:szCs w:val="32"/>
              </w:rPr>
            </w:pPr>
            <w:r>
              <w:rPr>
                <w:rFonts w:hint="eastAsia" w:ascii="仿宋" w:hAnsi="仿宋" w:eastAsia="仿宋_GB2312" w:cs="宋体"/>
                <w:sz w:val="32"/>
                <w:szCs w:val="32"/>
              </w:rPr>
              <w:t>区发展改革局、区应急管理局</w:t>
            </w:r>
          </w:p>
        </w:tc>
        <w:tc>
          <w:tcPr>
            <w:tcW w:w="5393"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区工业和信息化局、张店公安分局、市自然资源和规划局张店分局、区水利局、区财政局、区人武部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1" w:hRule="atLeast"/>
        </w:trPr>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6</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群众生活保障</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hint="eastAsia" w:ascii="仿宋" w:hAnsi="仿宋" w:eastAsia="仿宋_GB2312" w:cs="宋体"/>
                <w:sz w:val="32"/>
                <w:szCs w:val="32"/>
              </w:rPr>
            </w:pPr>
            <w:r>
              <w:rPr>
                <w:rFonts w:hint="eastAsia" w:ascii="仿宋" w:hAnsi="仿宋" w:eastAsia="仿宋_GB2312" w:cs="宋体"/>
                <w:sz w:val="32"/>
                <w:szCs w:val="32"/>
              </w:rPr>
              <w:t>区应急管理局</w:t>
            </w:r>
          </w:p>
        </w:tc>
        <w:tc>
          <w:tcPr>
            <w:tcW w:w="5393"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区红十字会、区发展改革局、区民政局、区财政局、区农业农村局、区商务局、区卫生健康局、区人武部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9" w:hRule="atLeast"/>
        </w:trPr>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7</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社会秩序保障</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张店公安分局</w:t>
            </w:r>
          </w:p>
        </w:tc>
        <w:tc>
          <w:tcPr>
            <w:tcW w:w="5393"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区人武部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9" w:hRule="atLeast"/>
        </w:trPr>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8</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新闻保障</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区委宣传部</w:t>
            </w:r>
          </w:p>
        </w:tc>
        <w:tc>
          <w:tcPr>
            <w:tcW w:w="5393"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区融媒体中心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1" w:hRule="atLeast"/>
        </w:trPr>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9</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勤务保障</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突发事件主要牵头部门</w:t>
            </w:r>
          </w:p>
        </w:tc>
        <w:tc>
          <w:tcPr>
            <w:tcW w:w="5393"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张店公安分局、区卫生健康局、区人武部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1" w:hRule="atLeast"/>
        </w:trPr>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10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专家保障</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突发事件主要牵头部门</w:t>
            </w:r>
          </w:p>
        </w:tc>
        <w:tc>
          <w:tcPr>
            <w:tcW w:w="5393"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both"/>
              <w:textAlignment w:val="center"/>
              <w:rPr>
                <w:rFonts w:ascii="仿宋" w:hAnsi="仿宋" w:eastAsia="仿宋_GB2312" w:cs="宋体"/>
                <w:sz w:val="32"/>
                <w:szCs w:val="32"/>
              </w:rPr>
            </w:pPr>
            <w:r>
              <w:rPr>
                <w:rFonts w:hint="eastAsia" w:ascii="仿宋" w:hAnsi="仿宋" w:eastAsia="仿宋_GB2312" w:cs="宋体"/>
                <w:sz w:val="32"/>
                <w:szCs w:val="32"/>
              </w:rPr>
              <w:t>区科技局、区教育体育局等有关部门</w:t>
            </w:r>
          </w:p>
        </w:tc>
      </w:tr>
    </w:tbl>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hint="eastAsia" w:ascii="仿宋" w:hAnsi="仿宋" w:eastAsia="楷体_GB2312" w:cs="黑体"/>
          <w:sz w:val="32"/>
          <w:szCs w:val="32"/>
        </w:rPr>
      </w:pPr>
    </w:p>
    <w:p>
      <w:pPr>
        <w:widowControl w:val="0"/>
        <w:spacing w:after="0" w:afterLines="0" w:line="560" w:lineRule="exact"/>
        <w:ind w:firstLine="640" w:firstLineChars="200"/>
        <w:jc w:val="both"/>
        <w:rPr>
          <w:rFonts w:ascii="仿宋" w:hAnsi="仿宋" w:eastAsia="楷体_GB2312" w:cs="黑体"/>
          <w:sz w:val="32"/>
          <w:szCs w:val="32"/>
        </w:rPr>
      </w:pPr>
      <w:r>
        <w:rPr>
          <w:rFonts w:hint="eastAsia" w:ascii="仿宋" w:hAnsi="仿宋" w:eastAsia="楷体_GB2312" w:cs="黑体"/>
          <w:sz w:val="32"/>
          <w:szCs w:val="32"/>
        </w:rPr>
        <w:t>9.3张店区消防救援大队情况</w:t>
      </w:r>
    </w:p>
    <w:p>
      <w:pPr>
        <w:widowControl w:val="0"/>
        <w:spacing w:after="0" w:afterLines="0" w:line="560" w:lineRule="exact"/>
        <w:ind w:firstLine="640" w:firstLineChars="200"/>
        <w:jc w:val="both"/>
        <w:rPr>
          <w:rFonts w:ascii="仿宋" w:hAnsi="仿宋" w:eastAsia="仿宋_GB2312"/>
          <w:b/>
          <w:bCs/>
          <w:sz w:val="32"/>
          <w:szCs w:val="32"/>
        </w:rPr>
      </w:pPr>
      <w:r>
        <w:rPr>
          <w:rFonts w:hint="eastAsia" w:ascii="仿宋" w:hAnsi="仿宋" w:eastAsia="仿宋_GB2312"/>
          <w:sz w:val="32"/>
          <w:szCs w:val="32"/>
        </w:rPr>
        <w:t>张店区共有6个消防救援站、一个森林消防中队</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2196"/>
        <w:gridCol w:w="2765"/>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6" w:hRule="exac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序号</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名称</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电话</w:t>
            </w:r>
          </w:p>
        </w:tc>
        <w:tc>
          <w:tcPr>
            <w:tcW w:w="276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配备物资</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4" w:hRule="exac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1</w:t>
            </w:r>
          </w:p>
        </w:tc>
        <w:tc>
          <w:tcPr>
            <w:tcW w:w="21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王舍路消防救援站</w:t>
            </w:r>
          </w:p>
        </w:tc>
        <w:tc>
          <w:tcPr>
            <w:tcW w:w="21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0533-2270</w:t>
            </w:r>
            <w:r>
              <w:rPr>
                <w:rFonts w:hint="eastAsia" w:ascii="仿宋" w:hAnsi="仿宋" w:eastAsia="仿宋_GB2312" w:cs="宋体"/>
                <w:sz w:val="32"/>
                <w:szCs w:val="32"/>
                <w:lang w:val="en-US" w:eastAsia="zh-CN"/>
              </w:rPr>
              <w:t>3</w:t>
            </w:r>
            <w:r>
              <w:rPr>
                <w:rFonts w:hint="eastAsia" w:ascii="仿宋" w:hAnsi="仿宋" w:eastAsia="仿宋_GB2312" w:cs="宋体"/>
                <w:sz w:val="32"/>
                <w:szCs w:val="32"/>
              </w:rPr>
              <w:t>19</w:t>
            </w:r>
          </w:p>
        </w:tc>
        <w:tc>
          <w:tcPr>
            <w:tcW w:w="276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斯堪尼亚城市主战车</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4" w:hRule="exac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1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1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76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8吨泡沫消防车</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2辆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9" w:hRule="exac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1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1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76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18吨泡沫消防车</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8" w:hRule="exac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1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1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76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32米云梯消防车</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7" w:hRule="exac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2</w:t>
            </w:r>
          </w:p>
        </w:tc>
        <w:tc>
          <w:tcPr>
            <w:tcW w:w="21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潘南路消防救援站</w:t>
            </w:r>
          </w:p>
        </w:tc>
        <w:tc>
          <w:tcPr>
            <w:tcW w:w="21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0533-2279862</w:t>
            </w:r>
          </w:p>
        </w:tc>
        <w:tc>
          <w:tcPr>
            <w:tcW w:w="276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斯堪尼亚城市主战车</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6" w:hRule="exac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1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1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76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6吨水罐消防车</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7" w:hRule="exac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1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1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76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8吨泡沫消防车</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4" w:hRule="exac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3</w:t>
            </w:r>
          </w:p>
        </w:tc>
        <w:tc>
          <w:tcPr>
            <w:tcW w:w="21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义乌消防救援站</w:t>
            </w:r>
          </w:p>
        </w:tc>
        <w:tc>
          <w:tcPr>
            <w:tcW w:w="21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hint="default" w:ascii="仿宋" w:hAnsi="仿宋" w:eastAsia="仿宋_GB2312" w:cs="宋体"/>
                <w:sz w:val="32"/>
                <w:szCs w:val="32"/>
                <w:lang w:val="en-US" w:eastAsia="zh-CN"/>
              </w:rPr>
            </w:pPr>
            <w:r>
              <w:rPr>
                <w:rFonts w:hint="eastAsia" w:ascii="仿宋" w:hAnsi="仿宋" w:eastAsia="仿宋_GB2312" w:cs="宋体"/>
                <w:sz w:val="32"/>
                <w:szCs w:val="32"/>
              </w:rPr>
              <w:t>0533-</w:t>
            </w:r>
            <w:r>
              <w:rPr>
                <w:rFonts w:hint="eastAsia" w:ascii="仿宋" w:hAnsi="仿宋" w:eastAsia="仿宋_GB2312" w:cs="宋体"/>
                <w:sz w:val="32"/>
                <w:szCs w:val="32"/>
                <w:lang w:val="en-US" w:eastAsia="zh-CN"/>
              </w:rPr>
              <w:t>2827136</w:t>
            </w:r>
          </w:p>
        </w:tc>
        <w:tc>
          <w:tcPr>
            <w:tcW w:w="276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五十铃4吨水罐消防车</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98" w:hRule="exac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1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1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76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8吨泡沫消防车</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1" w:hRule="exac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4</w:t>
            </w:r>
          </w:p>
        </w:tc>
        <w:tc>
          <w:tcPr>
            <w:tcW w:w="21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东一路消防救援站</w:t>
            </w:r>
          </w:p>
        </w:tc>
        <w:tc>
          <w:tcPr>
            <w:tcW w:w="21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0533-2827151</w:t>
            </w:r>
          </w:p>
        </w:tc>
        <w:tc>
          <w:tcPr>
            <w:tcW w:w="276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8吨水罐消防车</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4" w:hRule="exac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1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1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76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0.3吨细水雾消防车</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95" w:hRule="exac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5</w:t>
            </w:r>
          </w:p>
        </w:tc>
        <w:tc>
          <w:tcPr>
            <w:tcW w:w="21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科技工业园消防救援站</w:t>
            </w:r>
          </w:p>
        </w:tc>
        <w:tc>
          <w:tcPr>
            <w:tcW w:w="21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0533-2827162</w:t>
            </w:r>
          </w:p>
        </w:tc>
        <w:tc>
          <w:tcPr>
            <w:tcW w:w="276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32米举高喷射消防车</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08" w:hRule="exac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1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1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afterLines="0"/>
              <w:jc w:val="center"/>
              <w:rPr>
                <w:rFonts w:ascii="仿宋" w:hAnsi="仿宋" w:eastAsia="仿宋_GB2312" w:cs="宋体"/>
                <w:sz w:val="32"/>
                <w:szCs w:val="32"/>
              </w:rPr>
            </w:pPr>
          </w:p>
        </w:tc>
        <w:tc>
          <w:tcPr>
            <w:tcW w:w="276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20米举高喷射消防车</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85" w:hRule="exac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6</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柳泉路消防救援站</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0533-2827160</w:t>
            </w:r>
          </w:p>
        </w:tc>
        <w:tc>
          <w:tcPr>
            <w:tcW w:w="276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八吨泡沫消防车</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68" w:hRule="exac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7</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张店区森林消防中队</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hint="default" w:ascii="仿宋" w:hAnsi="仿宋" w:eastAsia="仿宋_GB2312" w:cs="宋体"/>
                <w:sz w:val="32"/>
                <w:szCs w:val="32"/>
                <w:lang w:val="en-US" w:eastAsia="zh-CN"/>
              </w:rPr>
            </w:pPr>
            <w:r>
              <w:rPr>
                <w:rFonts w:hint="eastAsia" w:ascii="仿宋" w:hAnsi="仿宋" w:eastAsia="仿宋_GB2312" w:cs="宋体"/>
                <w:sz w:val="32"/>
                <w:szCs w:val="32"/>
                <w:lang w:val="en-US" w:eastAsia="zh-CN"/>
              </w:rPr>
              <w:t>0533-2827169</w:t>
            </w:r>
          </w:p>
        </w:tc>
        <w:tc>
          <w:tcPr>
            <w:tcW w:w="276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0.8吨水罐消防车</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afterLines="0"/>
              <w:jc w:val="center"/>
              <w:rPr>
                <w:rFonts w:ascii="仿宋" w:hAnsi="仿宋" w:eastAsia="仿宋_GB2312" w:cs="宋体"/>
                <w:sz w:val="32"/>
                <w:szCs w:val="32"/>
              </w:rPr>
            </w:pPr>
            <w:r>
              <w:rPr>
                <w:rFonts w:hint="eastAsia" w:ascii="仿宋" w:hAnsi="仿宋" w:eastAsia="仿宋_GB2312" w:cs="宋体"/>
                <w:sz w:val="32"/>
                <w:szCs w:val="32"/>
              </w:rPr>
              <w:t>1辆</w:t>
            </w:r>
          </w:p>
        </w:tc>
      </w:tr>
    </w:tbl>
    <w:p>
      <w:pPr>
        <w:widowControl w:val="0"/>
        <w:adjustRightInd/>
        <w:snapToGrid/>
        <w:spacing w:after="0" w:afterLines="0"/>
        <w:rPr>
          <w:rFonts w:ascii="仿宋" w:hAnsi="仿宋" w:eastAsia="仿宋_GB2312"/>
          <w:sz w:val="32"/>
          <w:szCs w:val="32"/>
        </w:rPr>
        <w:sectPr>
          <w:pgSz w:w="11906" w:h="16838"/>
          <w:pgMar w:top="1588" w:right="2098" w:bottom="1474" w:left="1985" w:header="851" w:footer="992" w:gutter="0"/>
          <w:cols w:space="720" w:num="1"/>
          <w:docGrid w:linePitch="299" w:charSpace="0"/>
        </w:sectPr>
      </w:pPr>
    </w:p>
    <w:p>
      <w:pPr>
        <w:widowControl w:val="0"/>
        <w:spacing w:after="0" w:afterLines="0" w:line="560" w:lineRule="exact"/>
        <w:ind w:firstLine="640" w:firstLineChars="200"/>
        <w:jc w:val="both"/>
        <w:rPr>
          <w:rFonts w:ascii="仿宋" w:hAnsi="仿宋" w:eastAsia="楷体_GB2312" w:cs="黑体"/>
          <w:sz w:val="32"/>
          <w:szCs w:val="32"/>
        </w:rPr>
      </w:pPr>
      <w:r>
        <w:rPr>
          <w:rFonts w:hint="eastAsia" w:ascii="仿宋" w:hAnsi="仿宋" w:eastAsia="楷体_GB2312" w:cs="黑体"/>
          <w:sz w:val="32"/>
          <w:szCs w:val="32"/>
        </w:rPr>
        <w:t>9.4张店区应急避难场所情况统计表</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8"/>
        <w:gridCol w:w="2191"/>
        <w:gridCol w:w="2860"/>
        <w:gridCol w:w="2110"/>
        <w:gridCol w:w="1521"/>
        <w:gridCol w:w="1499"/>
        <w:gridCol w:w="1681"/>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00" w:hRule="atLeast"/>
        </w:trPr>
        <w:tc>
          <w:tcPr>
            <w:tcW w:w="4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序号</w:t>
            </w:r>
          </w:p>
        </w:tc>
        <w:tc>
          <w:tcPr>
            <w:tcW w:w="219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避难场所名称</w:t>
            </w:r>
          </w:p>
        </w:tc>
        <w:tc>
          <w:tcPr>
            <w:tcW w:w="28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详细地址</w:t>
            </w:r>
          </w:p>
        </w:tc>
        <w:tc>
          <w:tcPr>
            <w:tcW w:w="21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经纬度</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有效面积（万M</w:t>
            </w:r>
            <w:r>
              <w:rPr>
                <w:rFonts w:hint="eastAsia" w:ascii="仿宋" w:hAnsi="仿宋" w:cs="宋体"/>
                <w:sz w:val="32"/>
                <w:szCs w:val="32"/>
              </w:rPr>
              <w:t>²</w:t>
            </w:r>
            <w:r>
              <w:rPr>
                <w:rFonts w:hint="eastAsia" w:ascii="仿宋" w:hAnsi="仿宋" w:eastAsia="仿宋_GB2312" w:cs="宋体"/>
                <w:sz w:val="32"/>
                <w:szCs w:val="32"/>
              </w:rPr>
              <w:t>）</w:t>
            </w:r>
          </w:p>
        </w:tc>
        <w:tc>
          <w:tcPr>
            <w:tcW w:w="149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容纳人数（万人）</w:t>
            </w:r>
          </w:p>
        </w:tc>
        <w:tc>
          <w:tcPr>
            <w:tcW w:w="168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分类：Ⅰ、Ⅱ、Ⅲ</w:t>
            </w:r>
          </w:p>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或疏散场地（Ⅳ）</w:t>
            </w:r>
          </w:p>
        </w:tc>
        <w:tc>
          <w:tcPr>
            <w:tcW w:w="145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日常维护与</w:t>
            </w:r>
          </w:p>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管理主体单位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17"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1</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凯瑞小学避难场所</w:t>
            </w: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张店区祥和路7号</w:t>
            </w:r>
          </w:p>
        </w:tc>
        <w:tc>
          <w:tcPr>
            <w:tcW w:w="21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118°0′33″</w:t>
            </w:r>
          </w:p>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36°48′36″</w:t>
            </w:r>
          </w:p>
        </w:tc>
        <w:tc>
          <w:tcPr>
            <w:tcW w:w="152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0.5</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0.5</w:t>
            </w:r>
          </w:p>
        </w:tc>
        <w:tc>
          <w:tcPr>
            <w:tcW w:w="168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Ⅳ</w:t>
            </w:r>
          </w:p>
        </w:tc>
        <w:tc>
          <w:tcPr>
            <w:tcW w:w="145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hint="eastAsia" w:ascii="仿宋" w:hAnsi="仿宋" w:eastAsia="仿宋_GB2312" w:cs="宋体"/>
                <w:sz w:val="32"/>
                <w:szCs w:val="32"/>
              </w:rPr>
            </w:pPr>
            <w:r>
              <w:rPr>
                <w:rFonts w:hint="eastAsia" w:ascii="仿宋" w:hAnsi="仿宋" w:eastAsia="仿宋_GB2312" w:cs="宋体"/>
                <w:sz w:val="32"/>
                <w:szCs w:val="32"/>
              </w:rPr>
              <w:t>区教育体育局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2"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2</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潘南小学（北校区）避难场所</w:t>
            </w: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潘庄东一巷49号</w:t>
            </w:r>
          </w:p>
        </w:tc>
        <w:tc>
          <w:tcPr>
            <w:tcW w:w="21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118°0′33″</w:t>
            </w:r>
          </w:p>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36°48′37″</w:t>
            </w:r>
          </w:p>
        </w:tc>
        <w:tc>
          <w:tcPr>
            <w:tcW w:w="152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1.2</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0.5</w:t>
            </w:r>
          </w:p>
        </w:tc>
        <w:tc>
          <w:tcPr>
            <w:tcW w:w="168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Ⅳ</w:t>
            </w:r>
          </w:p>
        </w:tc>
        <w:tc>
          <w:tcPr>
            <w:tcW w:w="145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hint="eastAsia" w:ascii="仿宋" w:hAnsi="仿宋" w:eastAsia="仿宋_GB2312" w:cs="宋体"/>
                <w:sz w:val="32"/>
                <w:szCs w:val="32"/>
              </w:rPr>
            </w:pPr>
            <w:r>
              <w:rPr>
                <w:rFonts w:hint="eastAsia" w:ascii="仿宋" w:hAnsi="仿宋" w:eastAsia="仿宋_GB2312" w:cs="宋体"/>
                <w:sz w:val="32"/>
                <w:szCs w:val="32"/>
              </w:rPr>
              <w:t>张店区教育体育局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2"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3</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世纪花园应急避难场所</w:t>
            </w: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张店区世纪花园中心公园</w:t>
            </w:r>
          </w:p>
        </w:tc>
        <w:tc>
          <w:tcPr>
            <w:tcW w:w="21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118°0′47″</w:t>
            </w:r>
          </w:p>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36°49′60″</w:t>
            </w:r>
          </w:p>
        </w:tc>
        <w:tc>
          <w:tcPr>
            <w:tcW w:w="152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1.35</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1</w:t>
            </w:r>
          </w:p>
        </w:tc>
        <w:tc>
          <w:tcPr>
            <w:tcW w:w="168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Ⅳ</w:t>
            </w:r>
          </w:p>
        </w:tc>
        <w:tc>
          <w:tcPr>
            <w:tcW w:w="145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世纪花园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17"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4</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儿童公园</w:t>
            </w: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张店区共青团东路30号</w:t>
            </w:r>
          </w:p>
        </w:tc>
        <w:tc>
          <w:tcPr>
            <w:tcW w:w="21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118°3′55″</w:t>
            </w:r>
          </w:p>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36°48′9″</w:t>
            </w:r>
          </w:p>
        </w:tc>
        <w:tc>
          <w:tcPr>
            <w:tcW w:w="152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4</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1.6</w:t>
            </w:r>
          </w:p>
        </w:tc>
        <w:tc>
          <w:tcPr>
            <w:tcW w:w="168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Ⅲ</w:t>
            </w:r>
          </w:p>
        </w:tc>
        <w:tc>
          <w:tcPr>
            <w:tcW w:w="145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区园林绿化服务中心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2"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5</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淄博中心广场</w:t>
            </w: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张店区南西四路119号</w:t>
            </w:r>
          </w:p>
        </w:tc>
        <w:tc>
          <w:tcPr>
            <w:tcW w:w="21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118°2′7″</w:t>
            </w:r>
          </w:p>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36°48′12″</w:t>
            </w:r>
          </w:p>
        </w:tc>
        <w:tc>
          <w:tcPr>
            <w:tcW w:w="152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6</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2.4</w:t>
            </w:r>
          </w:p>
        </w:tc>
        <w:tc>
          <w:tcPr>
            <w:tcW w:w="168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Ⅲ</w:t>
            </w:r>
          </w:p>
        </w:tc>
        <w:tc>
          <w:tcPr>
            <w:tcW w:w="145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区园林绿化服务中心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17"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6</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潘庄社区避难场所</w:t>
            </w: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张店区华光路与市府东一街交叉口东50米</w:t>
            </w:r>
          </w:p>
        </w:tc>
        <w:tc>
          <w:tcPr>
            <w:tcW w:w="21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118°3′52″</w:t>
            </w:r>
          </w:p>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36°49′51″</w:t>
            </w:r>
          </w:p>
        </w:tc>
        <w:tc>
          <w:tcPr>
            <w:tcW w:w="152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2.6</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1</w:t>
            </w:r>
          </w:p>
        </w:tc>
        <w:tc>
          <w:tcPr>
            <w:tcW w:w="168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Ⅳ</w:t>
            </w:r>
          </w:p>
        </w:tc>
        <w:tc>
          <w:tcPr>
            <w:tcW w:w="145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潘庄社区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2"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7</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祥和社区避难场所</w:t>
            </w: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张店区南西五路12号院</w:t>
            </w:r>
          </w:p>
        </w:tc>
        <w:tc>
          <w:tcPr>
            <w:tcW w:w="21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118°42′42″</w:t>
            </w:r>
          </w:p>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36°47′56″</w:t>
            </w:r>
          </w:p>
        </w:tc>
        <w:tc>
          <w:tcPr>
            <w:tcW w:w="152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0.8</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0.35</w:t>
            </w:r>
          </w:p>
        </w:tc>
        <w:tc>
          <w:tcPr>
            <w:tcW w:w="168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Ⅳ</w:t>
            </w:r>
          </w:p>
        </w:tc>
        <w:tc>
          <w:tcPr>
            <w:tcW w:w="145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spacing w:after="0" w:afterLines="0"/>
              <w:jc w:val="both"/>
              <w:rPr>
                <w:rFonts w:ascii="仿宋" w:hAnsi="仿宋" w:eastAsia="仿宋_GB2312" w:cs="宋体"/>
                <w:sz w:val="32"/>
                <w:szCs w:val="32"/>
              </w:rPr>
            </w:pPr>
            <w:r>
              <w:rPr>
                <w:rFonts w:hint="eastAsia" w:ascii="仿宋" w:hAnsi="仿宋" w:eastAsia="仿宋_GB2312" w:cs="宋体"/>
                <w:sz w:val="32"/>
                <w:szCs w:val="32"/>
              </w:rPr>
              <w:t>同泰物业</w:t>
            </w:r>
          </w:p>
        </w:tc>
      </w:tr>
    </w:tbl>
    <w:p>
      <w:pPr>
        <w:widowControl w:val="0"/>
        <w:adjustRightInd/>
        <w:snapToGrid/>
        <w:spacing w:after="0" w:afterLines="0"/>
        <w:rPr>
          <w:rFonts w:ascii="仿宋" w:hAnsi="仿宋" w:eastAsia="仿宋_GB2312"/>
          <w:sz w:val="32"/>
          <w:szCs w:val="32"/>
        </w:rPr>
        <w:sectPr>
          <w:footerReference r:id="rId13" w:type="default"/>
          <w:pgSz w:w="16838" w:h="11906" w:orient="landscape"/>
          <w:pgMar w:top="2098" w:right="1474" w:bottom="1985" w:left="1588" w:header="851" w:footer="992" w:gutter="0"/>
          <w:pgNumType w:fmt="decimal"/>
          <w:cols w:space="720" w:num="1"/>
        </w:sectPr>
      </w:pPr>
    </w:p>
    <w:p>
      <w:pPr>
        <w:widowControl w:val="0"/>
        <w:spacing w:after="0" w:afterLines="0" w:line="560" w:lineRule="exact"/>
        <w:ind w:firstLine="632" w:firstLineChars="200"/>
        <w:jc w:val="both"/>
        <w:rPr>
          <w:rFonts w:ascii="仿宋" w:hAnsi="仿宋" w:eastAsia="楷体_GB2312" w:cs="黑体"/>
          <w:sz w:val="32"/>
          <w:szCs w:val="32"/>
        </w:rPr>
      </w:pPr>
      <w:r>
        <w:rPr>
          <w:rFonts w:hint="eastAsia" w:ascii="仿宋" w:hAnsi="仿宋" w:eastAsia="楷体_GB2312" w:cs="黑体"/>
          <w:sz w:val="32"/>
          <w:szCs w:val="32"/>
        </w:rPr>
        <w:t>9.5张店区医疗救助单位相关信息</w:t>
      </w:r>
    </w:p>
    <w:tbl>
      <w:tblPr>
        <w:tblStyle w:val="20"/>
        <w:tblpPr w:leftFromText="180" w:rightFromText="180" w:vertAnchor="text" w:tblpY="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85"/>
        <w:gridCol w:w="2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tcW w:w="56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b/>
                <w:color w:val="000000"/>
                <w:sz w:val="32"/>
                <w:szCs w:val="32"/>
              </w:rPr>
            </w:pPr>
            <w:r>
              <w:rPr>
                <w:rFonts w:hint="eastAsia" w:ascii="仿宋" w:hAnsi="仿宋" w:eastAsia="仿宋_GB2312" w:cs="宋体"/>
                <w:b/>
                <w:color w:val="000000"/>
                <w:sz w:val="32"/>
                <w:szCs w:val="32"/>
              </w:rPr>
              <w:t>单位</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b/>
                <w:color w:val="000000"/>
                <w:sz w:val="32"/>
                <w:szCs w:val="32"/>
              </w:rPr>
            </w:pPr>
            <w:r>
              <w:rPr>
                <w:rFonts w:hint="eastAsia" w:ascii="仿宋" w:hAnsi="仿宋" w:eastAsia="仿宋_GB2312" w:cs="宋体"/>
                <w:b/>
                <w:color w:val="000000"/>
                <w:sz w:val="32"/>
                <w:szCs w:val="32"/>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4" w:hRule="atLeast"/>
        </w:trPr>
        <w:tc>
          <w:tcPr>
            <w:tcW w:w="56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张店区人民医院</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hint="default" w:ascii="仿宋" w:hAnsi="仿宋" w:eastAsia="仿宋_GB2312" w:cs="宋体"/>
                <w:color w:val="000000"/>
                <w:sz w:val="32"/>
                <w:szCs w:val="32"/>
                <w:lang w:val="en-US" w:eastAsia="zh-CN"/>
              </w:rPr>
            </w:pPr>
            <w:r>
              <w:rPr>
                <w:rFonts w:hint="eastAsia" w:ascii="仿宋" w:hAnsi="仿宋" w:eastAsia="仿宋_GB2312" w:cs="宋体"/>
                <w:color w:val="000000"/>
                <w:sz w:val="32"/>
                <w:szCs w:val="32"/>
              </w:rPr>
              <w:t>0533-</w:t>
            </w:r>
            <w:r>
              <w:rPr>
                <w:rFonts w:hint="eastAsia" w:ascii="仿宋" w:hAnsi="仿宋" w:eastAsia="仿宋_GB2312" w:cs="宋体"/>
                <w:color w:val="000000"/>
                <w:sz w:val="32"/>
                <w:szCs w:val="32"/>
                <w:lang w:val="en-US" w:eastAsia="zh-CN"/>
              </w:rPr>
              <w:t>2126302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4" w:hRule="atLeast"/>
        </w:trPr>
        <w:tc>
          <w:tcPr>
            <w:tcW w:w="56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张店区中医院</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0533-2176092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4" w:hRule="atLeast"/>
        </w:trPr>
        <w:tc>
          <w:tcPr>
            <w:tcW w:w="56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张店区疾病预防控制中心</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0533-2862746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4" w:hRule="atLeast"/>
        </w:trPr>
        <w:tc>
          <w:tcPr>
            <w:tcW w:w="56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张店区卫生计生综合监督执法局</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0533-2830901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4" w:hRule="atLeast"/>
        </w:trPr>
        <w:tc>
          <w:tcPr>
            <w:tcW w:w="56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张店区妇幼保健院</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0533-2219504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4" w:hRule="atLeast"/>
        </w:trPr>
        <w:tc>
          <w:tcPr>
            <w:tcW w:w="56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张店区第二人民医院</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0533-2833018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4" w:hRule="atLeast"/>
        </w:trPr>
        <w:tc>
          <w:tcPr>
            <w:tcW w:w="56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马尚</w:t>
            </w:r>
            <w:r>
              <w:rPr>
                <w:rFonts w:hint="eastAsia" w:ascii="仿宋" w:hAnsi="仿宋" w:eastAsia="仿宋_GB2312" w:cs="宋体"/>
                <w:color w:val="000000"/>
                <w:sz w:val="32"/>
                <w:szCs w:val="32"/>
                <w:lang w:val="en-US" w:eastAsia="zh-CN"/>
              </w:rPr>
              <w:t>中心</w:t>
            </w:r>
            <w:r>
              <w:rPr>
                <w:rFonts w:hint="eastAsia" w:ascii="仿宋" w:hAnsi="仿宋" w:eastAsia="仿宋_GB2312" w:cs="宋体"/>
                <w:color w:val="000000"/>
                <w:sz w:val="32"/>
                <w:szCs w:val="32"/>
              </w:rPr>
              <w:t>卫生院</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0533-2801059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4" w:hRule="atLeast"/>
        </w:trPr>
        <w:tc>
          <w:tcPr>
            <w:tcW w:w="56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湖田卫生院</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hint="default" w:ascii="仿宋" w:hAnsi="仿宋" w:eastAsia="仿宋_GB2312" w:cs="宋体"/>
                <w:color w:val="000000"/>
                <w:sz w:val="32"/>
                <w:szCs w:val="32"/>
                <w:lang w:val="en-US" w:eastAsia="zh-CN"/>
              </w:rPr>
            </w:pPr>
            <w:r>
              <w:rPr>
                <w:rFonts w:hint="eastAsia" w:ascii="仿宋" w:hAnsi="仿宋" w:eastAsia="仿宋_GB2312" w:cs="宋体"/>
                <w:color w:val="000000"/>
                <w:sz w:val="32"/>
                <w:szCs w:val="32"/>
              </w:rPr>
              <w:t>0533-</w:t>
            </w:r>
            <w:r>
              <w:rPr>
                <w:rFonts w:hint="eastAsia" w:ascii="仿宋" w:hAnsi="仿宋" w:eastAsia="仿宋_GB2312" w:cs="宋体"/>
                <w:color w:val="000000"/>
                <w:sz w:val="32"/>
                <w:szCs w:val="32"/>
                <w:lang w:val="en-US" w:eastAsia="zh-CN"/>
              </w:rPr>
              <w:t>2062121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4" w:hRule="atLeast"/>
        </w:trPr>
        <w:tc>
          <w:tcPr>
            <w:tcW w:w="56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房镇镇卫生院</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0533-3881151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6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张店区湖田街道杏园社区卫生服务中心</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hint="default" w:ascii="仿宋" w:hAnsi="仿宋" w:eastAsia="仿宋_GB2312" w:cs="宋体"/>
                <w:color w:val="000000"/>
                <w:sz w:val="32"/>
                <w:szCs w:val="32"/>
                <w:lang w:val="en-US" w:eastAsia="zh-CN"/>
              </w:rPr>
            </w:pPr>
            <w:r>
              <w:rPr>
                <w:rFonts w:hint="eastAsia" w:ascii="仿宋" w:hAnsi="仿宋" w:eastAsia="仿宋_GB2312" w:cs="宋体"/>
                <w:color w:val="000000"/>
                <w:sz w:val="32"/>
                <w:szCs w:val="32"/>
              </w:rPr>
              <w:t>0533-</w:t>
            </w:r>
            <w:r>
              <w:rPr>
                <w:rFonts w:hint="eastAsia" w:ascii="仿宋" w:hAnsi="仿宋" w:eastAsia="仿宋_GB2312" w:cs="宋体"/>
                <w:color w:val="000000"/>
                <w:sz w:val="32"/>
                <w:szCs w:val="32"/>
                <w:lang w:val="en-US" w:eastAsia="zh-CN"/>
              </w:rPr>
              <w:t>2112992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6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张店区车站街道社区卫生服务中心</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0533-2282987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6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张店区城中社区卫生服务中心</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0533-2880219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6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张店区凯瑞园社区卫生服务中心</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0533-2791728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7" w:hRule="atLeast"/>
        </w:trPr>
        <w:tc>
          <w:tcPr>
            <w:tcW w:w="56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世纪花园社区卫生服务中心</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hint="default" w:ascii="仿宋" w:hAnsi="仿宋" w:eastAsia="仿宋_GB2312" w:cs="宋体"/>
                <w:color w:val="000000"/>
                <w:sz w:val="32"/>
                <w:szCs w:val="32"/>
                <w:lang w:val="en-US" w:eastAsia="zh-CN"/>
              </w:rPr>
            </w:pPr>
            <w:r>
              <w:rPr>
                <w:rFonts w:hint="eastAsia" w:ascii="仿宋" w:hAnsi="仿宋" w:eastAsia="仿宋_GB2312" w:cs="宋体"/>
                <w:color w:val="000000"/>
                <w:sz w:val="32"/>
                <w:szCs w:val="32"/>
              </w:rPr>
              <w:t>0533-</w:t>
            </w:r>
            <w:r>
              <w:rPr>
                <w:rFonts w:hint="eastAsia" w:ascii="仿宋" w:hAnsi="仿宋" w:eastAsia="仿宋_GB2312" w:cs="宋体"/>
                <w:color w:val="000000"/>
                <w:sz w:val="32"/>
                <w:szCs w:val="32"/>
                <w:lang w:val="en-US" w:eastAsia="zh-CN"/>
              </w:rPr>
              <w:t>7865921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6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张店区和平街道社区卫生服务中心</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0533-2831160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6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张店区公园街道社区卫生服务中心</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0533-7865878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6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ascii="仿宋" w:hAnsi="仿宋" w:eastAsia="仿宋_GB2312" w:cs="宋体"/>
                <w:color w:val="000000"/>
                <w:sz w:val="32"/>
                <w:szCs w:val="32"/>
              </w:rPr>
            </w:pPr>
            <w:r>
              <w:rPr>
                <w:rFonts w:hint="eastAsia" w:ascii="仿宋" w:hAnsi="仿宋" w:eastAsia="仿宋_GB2312" w:cs="宋体"/>
                <w:color w:val="000000"/>
                <w:sz w:val="32"/>
                <w:szCs w:val="32"/>
              </w:rPr>
              <w:t>张店区体育场街道社区卫生服务中心</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val="0"/>
              <w:kinsoku w:val="0"/>
              <w:overflowPunct w:val="0"/>
              <w:autoSpaceDE w:val="0"/>
              <w:autoSpaceDN w:val="0"/>
              <w:spacing w:after="0" w:afterLines="0"/>
              <w:jc w:val="both"/>
              <w:textAlignment w:val="center"/>
              <w:rPr>
                <w:rFonts w:hint="default" w:ascii="仿宋" w:hAnsi="仿宋" w:eastAsia="仿宋_GB2312" w:cs="宋体"/>
                <w:color w:val="000000"/>
                <w:sz w:val="32"/>
                <w:szCs w:val="32"/>
                <w:lang w:val="en-US" w:eastAsia="zh-CN"/>
              </w:rPr>
            </w:pPr>
            <w:r>
              <w:rPr>
                <w:rFonts w:hint="eastAsia" w:ascii="仿宋" w:hAnsi="仿宋" w:eastAsia="仿宋_GB2312" w:cs="宋体"/>
                <w:color w:val="000000"/>
                <w:sz w:val="32"/>
                <w:szCs w:val="32"/>
              </w:rPr>
              <w:t>0533-</w:t>
            </w:r>
            <w:r>
              <w:rPr>
                <w:rFonts w:hint="eastAsia" w:ascii="仿宋" w:hAnsi="仿宋" w:eastAsia="仿宋_GB2312" w:cs="宋体"/>
                <w:color w:val="000000"/>
                <w:sz w:val="32"/>
                <w:szCs w:val="32"/>
                <w:lang w:val="en-US" w:eastAsia="zh-CN"/>
              </w:rPr>
              <w:t>3121985</w:t>
            </w:r>
          </w:p>
        </w:tc>
      </w:tr>
    </w:tbl>
    <w:p>
      <w:pPr>
        <w:pStyle w:val="8"/>
        <w:ind w:left="0" w:leftChars="0" w:firstLine="0" w:firstLineChars="0"/>
        <w:rPr>
          <w:rFonts w:hint="eastAsia" w:ascii="Times New Roman" w:hAnsi="Times New Roman"/>
          <w:lang w:val="en-US" w:eastAsia="zh-CN"/>
        </w:rPr>
      </w:pPr>
    </w:p>
    <w:p>
      <w:pPr>
        <w:pStyle w:val="8"/>
        <w:ind w:left="0" w:leftChars="0" w:firstLine="0" w:firstLineChars="0"/>
        <w:rPr>
          <w:rFonts w:hint="eastAsia" w:ascii="Times New Roman" w:hAnsi="Times New Roman"/>
          <w:lang w:val="en-US" w:eastAsia="zh-CN"/>
        </w:rPr>
      </w:pPr>
    </w:p>
    <w:p>
      <w:pPr>
        <w:pStyle w:val="8"/>
        <w:ind w:left="0" w:leftChars="0" w:firstLine="0" w:firstLineChars="0"/>
        <w:rPr>
          <w:rFonts w:hint="eastAsia" w:ascii="Times New Roman" w:hAnsi="Times New Roman"/>
          <w:lang w:val="en-US" w:eastAsia="zh-CN"/>
        </w:rPr>
      </w:pPr>
    </w:p>
    <w:p>
      <w:pPr>
        <w:pStyle w:val="8"/>
        <w:ind w:left="0" w:leftChars="0" w:firstLine="0" w:firstLineChars="0"/>
        <w:rPr>
          <w:rFonts w:hint="eastAsia" w:ascii="Times New Roman" w:hAnsi="Times New Roman"/>
          <w:lang w:val="en-US" w:eastAsia="zh-CN"/>
        </w:rPr>
      </w:pPr>
    </w:p>
    <w:p>
      <w:pPr>
        <w:pStyle w:val="8"/>
        <w:ind w:left="0" w:leftChars="0" w:firstLine="0" w:firstLineChars="0"/>
        <w:rPr>
          <w:rFonts w:hint="eastAsia" w:ascii="Times New Roman" w:hAnsi="Times New Roman"/>
          <w:lang w:val="en-US" w:eastAsia="zh-CN"/>
        </w:rPr>
      </w:pPr>
    </w:p>
    <w:p>
      <w:pPr>
        <w:pStyle w:val="8"/>
        <w:ind w:left="0" w:leftChars="0" w:firstLine="0" w:firstLineChars="0"/>
        <w:rPr>
          <w:rFonts w:hint="eastAsia" w:ascii="Times New Roman" w:hAnsi="Times New Roman"/>
          <w:lang w:val="en-US" w:eastAsia="zh-CN"/>
        </w:rPr>
      </w:pPr>
    </w:p>
    <w:p>
      <w:pPr>
        <w:pStyle w:val="8"/>
        <w:ind w:left="0" w:leftChars="0" w:firstLine="0" w:firstLineChars="0"/>
        <w:rPr>
          <w:rFonts w:hint="eastAsia" w:ascii="Times New Roman" w:hAnsi="Times New Roman"/>
          <w:lang w:val="en-US" w:eastAsia="zh-CN"/>
        </w:rPr>
      </w:pPr>
    </w:p>
    <w:p>
      <w:pPr>
        <w:pStyle w:val="8"/>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Times New Roman" w:hAnsi="Times New Roman"/>
          <w:lang w:val="en-US" w:eastAsia="zh-CN"/>
        </w:rPr>
      </w:pPr>
      <w:r>
        <w:rPr>
          <w:rFonts w:hint="eastAsia" w:ascii="Times New Roman" w:hAnsi="Times New Roman"/>
          <w:lang w:val="en-US" w:eastAsia="zh-CN"/>
        </w:rPr>
        <w:br w:type="page"/>
      </w:r>
    </w:p>
    <w:p>
      <w:pPr>
        <w:pStyle w:val="8"/>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Times New Roman" w:hAnsi="Times New Roman"/>
          <w:lang w:val="en-US" w:eastAsia="zh-CN"/>
        </w:rPr>
      </w:pPr>
    </w:p>
    <w:p>
      <w:pPr>
        <w:pStyle w:val="8"/>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Times New Roman" w:hAnsi="Times New Roman"/>
          <w:lang w:val="en-US" w:eastAsia="zh-CN"/>
        </w:rPr>
      </w:pPr>
    </w:p>
    <w:p>
      <w:pPr>
        <w:pStyle w:val="8"/>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Times New Roman" w:hAnsi="Times New Roman"/>
          <w:lang w:val="en-US" w:eastAsia="zh-CN"/>
        </w:rPr>
      </w:pPr>
    </w:p>
    <w:p>
      <w:pPr>
        <w:pStyle w:val="8"/>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Times New Roman" w:hAnsi="Times New Roman"/>
          <w:lang w:val="en-US" w:eastAsia="zh-CN"/>
        </w:rPr>
      </w:pPr>
    </w:p>
    <w:p>
      <w:pPr>
        <w:pStyle w:val="8"/>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Times New Roman" w:hAnsi="Times New Roman"/>
          <w:lang w:val="en-US" w:eastAsia="zh-CN"/>
        </w:rPr>
      </w:pPr>
    </w:p>
    <w:p>
      <w:pPr>
        <w:pStyle w:val="8"/>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Times New Roman" w:hAnsi="Times New Roman"/>
          <w:lang w:val="en-US" w:eastAsia="zh-CN"/>
        </w:rPr>
      </w:pPr>
    </w:p>
    <w:p>
      <w:pPr>
        <w:pStyle w:val="8"/>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Times New Roman" w:hAnsi="Times New Roman"/>
          <w:lang w:val="en-US" w:eastAsia="zh-CN"/>
        </w:rPr>
      </w:pPr>
    </w:p>
    <w:p>
      <w:pPr>
        <w:pStyle w:val="8"/>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Times New Roman" w:hAnsi="Times New Roman"/>
          <w:lang w:val="en-US" w:eastAsia="zh-CN"/>
        </w:rPr>
      </w:pPr>
    </w:p>
    <w:p>
      <w:pPr>
        <w:pStyle w:val="8"/>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Times New Roman" w:hAnsi="Times New Roman"/>
          <w:lang w:val="en-US" w:eastAsia="zh-CN"/>
        </w:rPr>
      </w:pPr>
    </w:p>
    <w:p>
      <w:pPr>
        <w:pStyle w:val="8"/>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Times New Roman" w:hAnsi="Times New Roman"/>
          <w:lang w:val="en-US" w:eastAsia="zh-CN"/>
        </w:rPr>
      </w:pPr>
    </w:p>
    <w:p>
      <w:pPr>
        <w:pStyle w:val="8"/>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Times New Roman" w:hAnsi="Times New Roman"/>
          <w:lang w:val="en-US" w:eastAsia="zh-CN"/>
        </w:rPr>
      </w:pPr>
    </w:p>
    <w:p>
      <w:pPr>
        <w:pStyle w:val="8"/>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Times New Roman" w:hAnsi="Times New Roman"/>
          <w:lang w:val="en-US" w:eastAsia="zh-CN"/>
        </w:rPr>
      </w:pPr>
    </w:p>
    <w:p>
      <w:pPr>
        <w:pStyle w:val="8"/>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Times New Roman" w:hAnsi="Times New Roman"/>
          <w:lang w:val="en-US" w:eastAsia="zh-CN"/>
        </w:rPr>
      </w:pPr>
    </w:p>
    <w:p>
      <w:pPr>
        <w:pStyle w:val="8"/>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Times New Roman" w:hAnsi="Times New Roman"/>
          <w:lang w:val="en-US" w:eastAsia="zh-CN"/>
        </w:rPr>
      </w:pPr>
    </w:p>
    <w:p>
      <w:pPr>
        <w:pStyle w:val="8"/>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Times New Roman" w:hAnsi="Times New Roman"/>
          <w:lang w:val="en-US" w:eastAsia="zh-CN"/>
        </w:rPr>
      </w:pPr>
    </w:p>
    <w:p>
      <w:pPr>
        <w:pStyle w:val="8"/>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Times New Roman" w:hAnsi="Times New Roman"/>
          <w:lang w:val="en-US" w:eastAsia="zh-CN"/>
        </w:rPr>
      </w:pPr>
    </w:p>
    <w:p>
      <w:pPr>
        <w:pStyle w:val="8"/>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Times New Roman" w:hAnsi="Times New Roman"/>
          <w:lang w:val="en-US" w:eastAsia="zh-CN"/>
        </w:rPr>
      </w:pPr>
    </w:p>
    <w:p>
      <w:pPr>
        <w:pStyle w:val="8"/>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Times New Roman" w:hAnsi="Times New Roman"/>
          <w:lang w:val="en-US" w:eastAsia="zh-CN"/>
        </w:rPr>
      </w:pPr>
    </w:p>
    <w:p>
      <w:pPr>
        <w:pStyle w:val="8"/>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Times New Roman" w:hAnsi="Times New Roman"/>
          <w:lang w:val="en-US" w:eastAsia="zh-CN"/>
        </w:rPr>
      </w:pPr>
    </w:p>
    <w:p>
      <w:pPr>
        <w:pStyle w:val="8"/>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Times New Roman" w:hAnsi="Times New Roman"/>
          <w:lang w:val="en-US" w:eastAsia="zh-CN"/>
        </w:rPr>
      </w:pPr>
    </w:p>
    <w:p>
      <w:pPr>
        <w:keepNext w:val="0"/>
        <w:keepLines w:val="0"/>
        <w:pageBreakBefore w:val="0"/>
        <w:widowControl w:val="0"/>
        <w:pBdr>
          <w:top w:val="single" w:color="auto" w:sz="4" w:space="1"/>
          <w:bottom w:val="single" w:color="auto" w:sz="4" w:space="1"/>
          <w:between w:val="single" w:color="auto" w:sz="4" w:space="1"/>
        </w:pBdr>
        <w:kinsoku/>
        <w:wordWrap/>
        <w:overflowPunct/>
        <w:topLinePunct w:val="0"/>
        <w:autoSpaceDE/>
        <w:autoSpaceDN/>
        <w:bidi w:val="0"/>
        <w:adjustRightInd/>
        <w:snapToGrid/>
        <w:spacing w:line="480" w:lineRule="exact"/>
        <w:textAlignment w:val="auto"/>
        <w:rPr>
          <w:rFonts w:hint="eastAsia" w:ascii="Times New Roman" w:hAnsi="Times New Roman"/>
          <w:lang w:val="en-US" w:eastAsia="zh-CN"/>
        </w:rPr>
      </w:pPr>
      <w:r>
        <w:rPr>
          <w:rFonts w:hint="eastAsia" w:ascii="Times New Roman" w:hAnsi="Times New Roman" w:eastAsia="仿宋_GB2312" w:cs="仿宋_GB2312"/>
          <w:snapToGrid w:val="0"/>
          <w:spacing w:val="-1"/>
          <w:kern w:val="0"/>
          <w:sz w:val="28"/>
          <w:szCs w:val="28"/>
        </w:rPr>
        <w:t xml:space="preserve">淄博市张店区人民政府办公室         </w:t>
      </w:r>
      <w:r>
        <w:rPr>
          <w:rFonts w:hint="eastAsia" w:ascii="Times New Roman" w:hAnsi="Times New Roman" w:eastAsia="仿宋_GB2312" w:cs="仿宋_GB2312"/>
          <w:snapToGrid w:val="0"/>
          <w:spacing w:val="-1"/>
          <w:kern w:val="0"/>
          <w:sz w:val="28"/>
          <w:szCs w:val="28"/>
          <w:lang w:val="en-US" w:eastAsia="zh-CN"/>
        </w:rPr>
        <w:t xml:space="preserve">        </w:t>
      </w:r>
      <w:r>
        <w:rPr>
          <w:rFonts w:hint="eastAsia" w:ascii="Times New Roman" w:hAnsi="Times New Roman" w:eastAsia="仿宋_GB2312" w:cs="仿宋_GB2312"/>
          <w:snapToGrid w:val="0"/>
          <w:spacing w:val="-1"/>
          <w:kern w:val="0"/>
          <w:sz w:val="28"/>
          <w:szCs w:val="28"/>
        </w:rPr>
        <w:t xml:space="preserve"> </w:t>
      </w:r>
      <w:r>
        <w:rPr>
          <w:rFonts w:hint="eastAsia" w:ascii="Times New Roman" w:hAnsi="Times New Roman" w:eastAsia="仿宋" w:cs="仿宋"/>
          <w:snapToGrid w:val="0"/>
          <w:spacing w:val="-1"/>
          <w:kern w:val="0"/>
          <w:sz w:val="28"/>
          <w:szCs w:val="28"/>
        </w:rPr>
        <w:t>2021</w:t>
      </w:r>
      <w:r>
        <w:rPr>
          <w:rFonts w:hint="eastAsia" w:ascii="Times New Roman" w:hAnsi="Times New Roman" w:eastAsia="仿宋_GB2312" w:cs="仿宋_GB2312"/>
          <w:snapToGrid w:val="0"/>
          <w:spacing w:val="-1"/>
          <w:kern w:val="0"/>
          <w:sz w:val="28"/>
          <w:szCs w:val="28"/>
        </w:rPr>
        <w:t>年</w:t>
      </w:r>
      <w:r>
        <w:rPr>
          <w:rFonts w:hint="eastAsia" w:ascii="Times New Roman" w:hAnsi="Times New Roman" w:eastAsia="仿宋" w:cs="仿宋"/>
          <w:snapToGrid w:val="0"/>
          <w:spacing w:val="-1"/>
          <w:kern w:val="0"/>
          <w:sz w:val="28"/>
          <w:szCs w:val="28"/>
          <w:lang w:val="en-US" w:eastAsia="zh-CN"/>
        </w:rPr>
        <w:t>12</w:t>
      </w:r>
      <w:r>
        <w:rPr>
          <w:rFonts w:hint="eastAsia" w:ascii="Times New Roman" w:hAnsi="Times New Roman" w:eastAsia="仿宋_GB2312" w:cs="仿宋_GB2312"/>
          <w:snapToGrid w:val="0"/>
          <w:spacing w:val="-1"/>
          <w:kern w:val="0"/>
          <w:sz w:val="28"/>
          <w:szCs w:val="28"/>
        </w:rPr>
        <w:t>月</w:t>
      </w:r>
      <w:r>
        <w:rPr>
          <w:rFonts w:hint="eastAsia" w:ascii="Times New Roman" w:hAnsi="Times New Roman" w:eastAsia="仿宋" w:cs="仿宋"/>
          <w:snapToGrid w:val="0"/>
          <w:spacing w:val="-1"/>
          <w:kern w:val="0"/>
          <w:sz w:val="28"/>
          <w:szCs w:val="28"/>
          <w:lang w:val="en-US" w:eastAsia="zh-CN"/>
        </w:rPr>
        <w:t>31</w:t>
      </w:r>
      <w:r>
        <w:rPr>
          <w:rFonts w:hint="eastAsia" w:ascii="Times New Roman" w:hAnsi="Times New Roman" w:eastAsia="仿宋_GB2312" w:cs="仿宋_GB2312"/>
          <w:snapToGrid w:val="0"/>
          <w:spacing w:val="-1"/>
          <w:kern w:val="0"/>
          <w:sz w:val="28"/>
          <w:szCs w:val="28"/>
        </w:rPr>
        <w:t>日印发</w:t>
      </w:r>
    </w:p>
    <w:p>
      <w:pPr>
        <w:spacing w:line="560" w:lineRule="exact"/>
        <w:rPr>
          <w:rFonts w:ascii="Times New Roman" w:hAnsi="Times New Roman" w:eastAsia="仿宋_GB2312" w:cs="仿宋_GB2312"/>
          <w:sz w:val="32"/>
          <w:szCs w:val="32"/>
        </w:rPr>
      </w:pPr>
    </w:p>
    <w:p>
      <w:pPr>
        <w:spacing w:line="56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张政字〔2021〕96号</w:t>
      </w:r>
    </w:p>
    <w:p>
      <w:pPr>
        <w:spacing w:line="560" w:lineRule="exact"/>
        <w:rPr>
          <w:rFonts w:ascii="Times New Roman" w:hAnsi="Times New Roman" w:eastAsia="仿宋_GB2312" w:cs="仿宋_GB2312"/>
          <w:sz w:val="32"/>
          <w:szCs w:val="32"/>
        </w:rPr>
      </w:pPr>
    </w:p>
    <w:p>
      <w:pPr>
        <w:spacing w:line="560" w:lineRule="exact"/>
        <w:jc w:val="center"/>
        <w:rPr>
          <w:rFonts w:ascii="Times New Roman" w:hAnsi="Times New Roman" w:eastAsia="方正小标宋简体" w:cs="方正小标宋简体"/>
          <w:sz w:val="44"/>
          <w:szCs w:val="44"/>
        </w:rPr>
      </w:pPr>
    </w:p>
    <w:p>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张店区人民政府</w:t>
      </w:r>
    </w:p>
    <w:p>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关于印发《张店区“十四五”妇女发展规划》</w:t>
      </w:r>
    </w:p>
    <w:p>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《张店区“十四五”儿童发展规划》的通知</w:t>
      </w:r>
    </w:p>
    <w:p>
      <w:pPr>
        <w:spacing w:line="560" w:lineRule="exact"/>
        <w:jc w:val="center"/>
        <w:rPr>
          <w:rFonts w:ascii="Times New Roman" w:hAnsi="Times New Roman" w:eastAsia="仿宋_GB2312" w:cs="仿宋_GB2312"/>
          <w:sz w:val="32"/>
          <w:szCs w:val="32"/>
        </w:rPr>
      </w:pP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各镇政府、街道办事处，区政府各部门，各有关单位：</w:t>
      </w:r>
    </w:p>
    <w:p>
      <w:pPr>
        <w:spacing w:line="56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现将《张店区“十四五”妇女发展规划》《张店区“十四五”儿童发展规划》印发给你们，请认真组织实施。</w:t>
      </w:r>
    </w:p>
    <w:p>
      <w:pPr>
        <w:spacing w:line="560" w:lineRule="exact"/>
        <w:ind w:firstLine="640"/>
        <w:rPr>
          <w:rFonts w:ascii="Times New Roman" w:hAnsi="Times New Roman" w:eastAsia="仿宋_GB2312" w:cs="仿宋_GB2312"/>
          <w:sz w:val="32"/>
          <w:szCs w:val="32"/>
        </w:rPr>
      </w:pPr>
    </w:p>
    <w:p>
      <w:pPr>
        <w:spacing w:line="560" w:lineRule="exact"/>
        <w:ind w:firstLine="640"/>
        <w:rPr>
          <w:rFonts w:ascii="Times New Roman" w:hAnsi="Times New Roman" w:eastAsia="仿宋_GB2312" w:cs="仿宋_GB2312"/>
          <w:sz w:val="32"/>
          <w:szCs w:val="32"/>
        </w:rPr>
      </w:pPr>
    </w:p>
    <w:p>
      <w:pPr>
        <w:wordWrap w:val="0"/>
        <w:spacing w:line="560" w:lineRule="exact"/>
        <w:jc w:val="right"/>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淄博市张店区人民政府      </w:t>
      </w:r>
    </w:p>
    <w:p>
      <w:pPr>
        <w:wordWrap w:val="0"/>
        <w:spacing w:line="560" w:lineRule="exact"/>
        <w:ind w:firstLine="4746" w:firstLineChars="1502"/>
        <w:jc w:val="right"/>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2021年12月31日        </w:t>
      </w:r>
    </w:p>
    <w:p>
      <w:pPr>
        <w:spacing w:line="56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（此件公开发布）</w:t>
      </w:r>
    </w:p>
    <w:p>
      <w:pPr>
        <w:autoSpaceDE w:val="0"/>
        <w:autoSpaceDN w:val="0"/>
        <w:adjustRightInd w:val="0"/>
        <w:spacing w:line="560" w:lineRule="exact"/>
        <w:jc w:val="center"/>
        <w:rPr>
          <w:rFonts w:ascii="Times New Roman" w:hAnsi="Times New Roman" w:eastAsia="方正小标宋简体" w:cs="MicrosoftYaHei"/>
          <w:sz w:val="44"/>
          <w:szCs w:val="44"/>
        </w:rPr>
      </w:pPr>
    </w:p>
    <w:p>
      <w:pPr>
        <w:autoSpaceDE w:val="0"/>
        <w:autoSpaceDN w:val="0"/>
        <w:adjustRightInd w:val="0"/>
        <w:spacing w:line="560" w:lineRule="exact"/>
        <w:jc w:val="center"/>
        <w:rPr>
          <w:rFonts w:ascii="Times New Roman" w:hAnsi="Times New Roman" w:eastAsia="方正小标宋简体" w:cs="MicrosoftYaHei"/>
          <w:sz w:val="44"/>
          <w:szCs w:val="44"/>
        </w:rPr>
      </w:pPr>
      <w:r>
        <w:rPr>
          <w:rFonts w:hint="eastAsia" w:ascii="Times New Roman" w:hAnsi="Times New Roman" w:eastAsia="方正小标宋简体" w:cs="MicrosoftYaHei"/>
          <w:sz w:val="44"/>
          <w:szCs w:val="44"/>
        </w:rPr>
        <w:t>张店区“十四五”妇女发展规划</w:t>
      </w:r>
    </w:p>
    <w:p>
      <w:pPr>
        <w:spacing w:line="560" w:lineRule="exact"/>
        <w:ind w:firstLine="632" w:firstLineChars="200"/>
        <w:rPr>
          <w:rFonts w:ascii="Times New Roman" w:hAnsi="Times New Roman" w:eastAsia="仿宋_GB2312" w:cs="仿宋"/>
          <w:sz w:val="32"/>
          <w:szCs w:val="32"/>
        </w:rPr>
      </w:pP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追求男女平等的事业是伟大的。妇女是人类文明的开创者、社会进步的推动者，是全面建设社会主义现代化国家的重要力量。男女平等和妇女全面发展程度，是检验社会文明进步的重要标准，是衡量国家治理体系和治理能力现代化水平的重要标尺。</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党和国家高度重视妇女事业和妇女发展。党的十八大以来，以习近平同志为核心的党中央将“坚持男女平等基本国策，保障妇女儿童合法权益”写入党的施政纲领，作为治国理政的重要内容，支持妇女充分发挥“半边天”作用，促进妇女全面发展加速行动。</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我区已制定实施了四个周期的妇女发展纲要、规划，为妇女依法平等行使民主权利、平等参与经济社会发展、平等享有改革发展成果提供了重要制度保障。“十三五”时期，全区妇女参与经济社会发展的能力和贡献率明显提升，社会地位显著提高，合法权益得到有效保障，健康状况得到极大改善，受教育程度进一步提高，参与决策和管理的途径更加多元，社会保障水平稳步提升，在家庭生活中的重要作用进一步彰显，发展环境日益优化。</w:t>
      </w:r>
    </w:p>
    <w:p>
      <w:pPr>
        <w:spacing w:line="560" w:lineRule="exact"/>
        <w:ind w:firstLine="632" w:firstLineChars="200"/>
        <w:rPr>
          <w:rFonts w:ascii="Times New Roman" w:hAnsi="Times New Roman" w:eastAsia="仿宋_GB2312" w:cs="仿宋"/>
          <w:color w:val="000000"/>
          <w:sz w:val="32"/>
          <w:szCs w:val="32"/>
        </w:rPr>
      </w:pPr>
      <w:r>
        <w:rPr>
          <w:rFonts w:hint="eastAsia" w:ascii="Times New Roman" w:hAnsi="Times New Roman" w:eastAsia="仿宋_GB2312" w:cs="仿宋"/>
          <w:sz w:val="32"/>
          <w:szCs w:val="32"/>
        </w:rPr>
        <w:t>但受经济社会发展水平和传统文化中性别偏见的影响，妇女日益增长的美好生活需要和不平衡不充分的妇女发展之间的矛盾仍然存在，妇女发展水</w:t>
      </w:r>
      <w:r>
        <w:rPr>
          <w:rFonts w:hint="eastAsia" w:ascii="Times New Roman" w:hAnsi="Times New Roman" w:eastAsia="仿宋_GB2312" w:cs="仿宋"/>
          <w:color w:val="000000"/>
          <w:sz w:val="32"/>
          <w:szCs w:val="32"/>
        </w:rPr>
        <w:t>平与推动张店高质量发展的要求不相适应。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四五”时期，是我国全面建成小康社会、实现第一个百年目标之后，乘势而上开启全面建设社会主义现代化新征程，向第二个百年奋斗目标进军的第一个五年，是我区全面贯彻落实习近平新时代中国特色社会主义思想，奋力实现张店高质量发展的关键五年。新时代的妇女发展要把握新发展阶段，贯彻新发展理念，融入新发展格局，坚持问题导向、目标导向和结果导向，科学规划妇女全面发展的新目标新任务，健全完善制度机制，团结引领妇女建功新时代、奋进新征程。</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依照《中华人民共和国宪法》《中华人民共和国民法典》《中华人民共和国妇女权益保障法》等有关法律法规，按照《中国妇女发展纲要（2021-2030年）》《山东省“十四五”妇女发展规划》《淄博市“十四五”妇女发展规划》《张店区国民经济和社会发展第十四个五年规划和2035年远景目标纲要》的总体要求，结合我区妇女发展实际，制定本规划。</w:t>
      </w:r>
    </w:p>
    <w:p>
      <w:pPr>
        <w:pStyle w:val="3"/>
        <w:spacing w:before="0" w:beforeLines="0" w:line="560" w:lineRule="exact"/>
        <w:ind w:firstLine="640"/>
        <w:jc w:val="left"/>
        <w:rPr>
          <w:rFonts w:ascii="Times New Roman" w:hAnsi="Times New Roman"/>
          <w:bCs/>
          <w:lang w:eastAsia="zh-CN"/>
        </w:rPr>
      </w:pPr>
      <w:bookmarkStart w:id="344" w:name="_Toc17762"/>
      <w:r>
        <w:rPr>
          <w:rFonts w:hint="eastAsia" w:ascii="Times New Roman" w:hAnsi="Times New Roman"/>
          <w:bCs/>
          <w:lang w:eastAsia="zh-CN"/>
        </w:rPr>
        <w:t>一、指导思想和基本原则</w:t>
      </w:r>
      <w:bookmarkEnd w:id="344"/>
    </w:p>
    <w:p>
      <w:pPr>
        <w:pStyle w:val="5"/>
        <w:spacing w:line="560" w:lineRule="exact"/>
        <w:ind w:firstLine="640"/>
        <w:rPr>
          <w:rFonts w:ascii="Times New Roman" w:hAnsi="Times New Roman"/>
          <w:b w:val="0"/>
          <w:bCs/>
          <w:lang w:eastAsia="zh-CN"/>
        </w:rPr>
      </w:pPr>
      <w:bookmarkStart w:id="345" w:name="_Toc31200"/>
      <w:r>
        <w:rPr>
          <w:rFonts w:hint="eastAsia" w:ascii="Times New Roman" w:hAnsi="Times New Roman"/>
          <w:b w:val="0"/>
          <w:bCs/>
          <w:lang w:eastAsia="zh-CN"/>
        </w:rPr>
        <w:t>（一）指导思想</w:t>
      </w:r>
      <w:bookmarkEnd w:id="345"/>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坚持习近平新时代中国特色社会主义思想为指导，深入贯彻党的十九大和十九届二中、三中、四中、五中、六中全会精神，认真贯彻落实习近平总书记对山东工作和妇女工作的重要指示要求，立足新发展阶段，完整、全面、准确贯彻新发展理念，服务和融入新发展格局，贯彻落实男女平等基本国策，完善促进男女平等和妇女全面发展的制度机制，保障妇女合法权益，推动性别平等成为全社会共同遵循的行为规范和价值标准。充分发挥妇女在推动张店高质量发展中的“半边天”作用，保障妇女平等依法行使民主权利、平等参与经济社会发展、平等享有改革发展成果，推动妇女事业走在前列。</w:t>
      </w:r>
    </w:p>
    <w:p>
      <w:pPr>
        <w:pStyle w:val="5"/>
        <w:spacing w:line="560" w:lineRule="exact"/>
        <w:ind w:firstLine="640"/>
        <w:rPr>
          <w:rFonts w:ascii="Times New Roman" w:hAnsi="Times New Roman"/>
          <w:b w:val="0"/>
          <w:bCs/>
          <w:lang w:eastAsia="zh-CN"/>
        </w:rPr>
      </w:pPr>
      <w:bookmarkStart w:id="346" w:name="_Toc26065"/>
      <w:r>
        <w:rPr>
          <w:rFonts w:hint="eastAsia" w:ascii="Times New Roman" w:hAnsi="Times New Roman"/>
          <w:b w:val="0"/>
          <w:bCs/>
          <w:lang w:eastAsia="zh-CN"/>
        </w:rPr>
        <w:t>（二）基本原则</w:t>
      </w:r>
      <w:bookmarkEnd w:id="346"/>
    </w:p>
    <w:p>
      <w:pPr>
        <w:spacing w:line="56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shd w:val="clear" w:color="auto" w:fill="FFFFFF"/>
        </w:rPr>
        <w:t>坚持党的全面领导。</w:t>
      </w:r>
      <w:r>
        <w:rPr>
          <w:rFonts w:hint="eastAsia" w:ascii="Times New Roman" w:hAnsi="Times New Roman" w:eastAsia="仿宋_GB2312" w:cs="仿宋_GB2312"/>
          <w:sz w:val="32"/>
          <w:szCs w:val="32"/>
        </w:rPr>
        <w:t>坚持</w:t>
      </w:r>
      <w:r>
        <w:rPr>
          <w:rFonts w:hint="eastAsia" w:ascii="Times New Roman" w:hAnsi="Times New Roman" w:eastAsia="仿宋_GB2312" w:cs="仿宋"/>
          <w:sz w:val="32"/>
          <w:szCs w:val="32"/>
        </w:rPr>
        <w:t>妇女发展事业的正确政治方向，贯彻落实党中央关于妇女发展事业的重要决策部署和省委、市委工作要求，区委工作安排，切实把党的领</w:t>
      </w:r>
      <w:r>
        <w:rPr>
          <w:rFonts w:hint="eastAsia" w:ascii="Times New Roman" w:hAnsi="Times New Roman" w:eastAsia="仿宋_GB2312" w:cs="仿宋_GB2312"/>
          <w:sz w:val="32"/>
          <w:szCs w:val="32"/>
        </w:rPr>
        <w:t>导体现在妇女发展事业的全过程和各方面。</w:t>
      </w:r>
    </w:p>
    <w:p>
      <w:pPr>
        <w:spacing w:line="56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shd w:val="clear" w:color="auto" w:fill="FFFFFF"/>
        </w:rPr>
        <w:t>坚持妇女事业与经济社会同步协调发展</w:t>
      </w:r>
      <w:r>
        <w:rPr>
          <w:rFonts w:hint="eastAsia" w:ascii="Times New Roman" w:hAnsi="Times New Roman" w:eastAsia="仿宋_GB2312" w:cs="仿宋_GB2312"/>
          <w:sz w:val="32"/>
          <w:szCs w:val="32"/>
        </w:rPr>
        <w:t>。将促进妇女全面发展目标任务纳入全区经济社会发展总体规划，纳入专项规划，纳入民生实事，同部署、同落实，让经济社会发展成果更多惠及广大妇女。</w:t>
      </w:r>
    </w:p>
    <w:p>
      <w:pPr>
        <w:spacing w:line="56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shd w:val="clear" w:color="auto" w:fill="FFFFFF"/>
        </w:rPr>
        <w:t>坚持男女两性平等发展</w:t>
      </w:r>
      <w:r>
        <w:rPr>
          <w:rFonts w:hint="eastAsia" w:ascii="Times New Roman" w:hAnsi="Times New Roman" w:eastAsia="仿宋_GB2312" w:cs="仿宋_GB2312"/>
          <w:sz w:val="32"/>
          <w:szCs w:val="32"/>
        </w:rPr>
        <w:t>。贯彻落实男女平等基本国策，在制定规范性文件、编制规划、部署工作中充分考虑两性的现实差异和妇女的特殊利益，营造更加平等、包容、可持续的发展环境，缩小男女两性发展差距。</w:t>
      </w:r>
    </w:p>
    <w:p>
      <w:pPr>
        <w:spacing w:line="56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shd w:val="clear" w:color="auto" w:fill="FFFFFF"/>
        </w:rPr>
        <w:t>坚持促进妇女全面发展</w:t>
      </w:r>
      <w:r>
        <w:rPr>
          <w:rFonts w:hint="eastAsia" w:ascii="Times New Roman" w:hAnsi="Times New Roman" w:eastAsia="仿宋_GB2312" w:cs="仿宋_GB2312"/>
          <w:sz w:val="32"/>
          <w:szCs w:val="32"/>
        </w:rPr>
        <w:t>。统筹兼顾妇女在政治、经济、文化、社会和家庭生活等方面的发展利益，有效解决制约妇女发展的重点难点问题，统筹推进城乡、区域、群体之间妇女的均衡发展，协调推进妇女在各领域的全面发展。</w:t>
      </w:r>
    </w:p>
    <w:p>
      <w:pPr>
        <w:spacing w:line="56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shd w:val="clear" w:color="auto" w:fill="FFFFFF"/>
        </w:rPr>
        <w:t>坚持共建共治共享</w:t>
      </w:r>
      <w:r>
        <w:rPr>
          <w:rFonts w:hint="eastAsia" w:ascii="Times New Roman" w:hAnsi="Times New Roman" w:eastAsia="仿宋_GB2312" w:cs="仿宋_GB2312"/>
          <w:sz w:val="32"/>
          <w:szCs w:val="32"/>
        </w:rPr>
        <w:t>。依法保障妇女参与经济社会发展的权利，尊重妇女的主体地位，充分发挥妇女在统筹推进“五位一体”总体布局，协调推进“四个全面”战略布局中的重要作用，踊跃参与城市治理体系和治理能力现代化进程，在投身高质量发展中实现自身的进步与发展，共享经济社会发展成果。</w:t>
      </w:r>
    </w:p>
    <w:p>
      <w:pPr>
        <w:pStyle w:val="3"/>
        <w:spacing w:before="0" w:beforeLines="0" w:line="560" w:lineRule="exact"/>
        <w:ind w:firstLine="640"/>
        <w:jc w:val="left"/>
        <w:rPr>
          <w:rFonts w:ascii="Times New Roman" w:hAnsi="Times New Roman"/>
          <w:bCs/>
          <w:lang w:eastAsia="zh-CN"/>
        </w:rPr>
      </w:pPr>
      <w:bookmarkStart w:id="347" w:name="_Toc9712"/>
      <w:r>
        <w:rPr>
          <w:rFonts w:hint="eastAsia" w:ascii="Times New Roman" w:hAnsi="Times New Roman"/>
          <w:bCs/>
          <w:lang w:eastAsia="zh-CN"/>
        </w:rPr>
        <w:t>二、总体目标</w:t>
      </w:r>
      <w:bookmarkEnd w:id="347"/>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男女平等基本国策得到深入贯彻落实，男女平等和妇女全面发展的制度机制进一步创新完善，妇女在各行各业建功立业，“半边天”作用更加彰显，性别平等进程加速推进，妇女全面发展取得更为明显的实质性进展。妇女的获得感、幸福感、安全感显著提升。</w:t>
      </w:r>
    </w:p>
    <w:p>
      <w:pPr>
        <w:pStyle w:val="3"/>
        <w:spacing w:before="0" w:beforeLines="0" w:line="560" w:lineRule="exact"/>
        <w:ind w:firstLine="640"/>
        <w:jc w:val="left"/>
        <w:rPr>
          <w:rFonts w:ascii="Times New Roman" w:hAnsi="Times New Roman"/>
          <w:bCs/>
          <w:lang w:eastAsia="zh-CN"/>
        </w:rPr>
      </w:pPr>
      <w:bookmarkStart w:id="348" w:name="_Toc14640"/>
      <w:r>
        <w:rPr>
          <w:rFonts w:hint="eastAsia" w:ascii="Times New Roman" w:hAnsi="Times New Roman"/>
          <w:bCs/>
          <w:lang w:eastAsia="zh-CN"/>
        </w:rPr>
        <w:t>三、发展领域、主要目标和策略措施</w:t>
      </w:r>
      <w:bookmarkEnd w:id="348"/>
    </w:p>
    <w:p>
      <w:pPr>
        <w:pStyle w:val="5"/>
        <w:spacing w:line="560" w:lineRule="exact"/>
        <w:ind w:firstLine="640"/>
        <w:rPr>
          <w:rFonts w:ascii="Times New Roman" w:hAnsi="Times New Roman"/>
          <w:b w:val="0"/>
          <w:bCs/>
          <w:lang w:eastAsia="zh-CN"/>
        </w:rPr>
      </w:pPr>
      <w:bookmarkStart w:id="349" w:name="_Toc9803"/>
      <w:r>
        <w:rPr>
          <w:rFonts w:hint="eastAsia" w:ascii="Times New Roman" w:hAnsi="Times New Roman"/>
          <w:b w:val="0"/>
          <w:bCs/>
          <w:lang w:eastAsia="zh-CN"/>
        </w:rPr>
        <w:t>（一）妇女与健康</w:t>
      </w:r>
      <w:bookmarkEnd w:id="349"/>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1.主要目标</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（1）妇女全生命周期享有良好的卫生健康服务，妇女人均预期寿命延长，人均健康预期寿命提高。（牵头单位：区卫生健康局。责任单位：市医保局张店分局、区发展改革局）</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（2）孕产妇死亡率控制在8.2/10万以下，城乡、区域差距逐步缩小。（牵头单位：区卫生健康局）</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3）妇女常见病筛查率达到85%以上。妇女宫颈癌和乳腺癌防治意识明显提高。35-64岁适龄妇女宫颈癌、乳腺癌人群筛查率分别达到85%以上。（牵头单位：区卫生健康局。责任单位：区发展改革局、区财政局、区妇联、区总工会）</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（4）减少艾滋病、梅毒和乙肝母婴传播，艾滋病母婴传播率下降到3%以下。（牵头单位：区卫生健康局。责任单位：张店公安分局、区妇联）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（5）改善妇女营养状况。预防和减少孕产妇贫血。（牵头单位：区卫生健康局。责任单位：区市场监管局、区妇联）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（6）普及健康知识，提高妇女健康素养水平。（牵头单位：区卫生健康局。责任单位：区委宣传部、区教体局、区妇联、区融媒体中心）</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（7）妇女心理健康素养水平不断提升</w:t>
      </w:r>
      <w:r>
        <w:rPr>
          <w:rFonts w:hint="eastAsia" w:ascii="Times New Roman" w:hAnsi="Times New Roman" w:cs="宋体"/>
          <w:sz w:val="32"/>
          <w:szCs w:val="32"/>
          <w:shd w:val="clear" w:color="auto" w:fill="FFFFFF"/>
        </w:rPr>
        <w:t>。</w:t>
      </w:r>
      <w:r>
        <w:rPr>
          <w:rFonts w:hint="eastAsia" w:ascii="Times New Roman" w:hAnsi="Times New Roman" w:eastAsia="仿宋_GB2312" w:cs="仿宋"/>
          <w:sz w:val="32"/>
          <w:szCs w:val="32"/>
        </w:rPr>
        <w:t>妇女焦虑障碍、抑郁症患病率上升趋势减缓。（牵头单位：区卫生健康局。责任单位：区委宣传部、区妇联、区融媒体中心）</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（8）生殖健康和优生优育知识全面普及，促进健康孕育，减少非意愿妊娠。（牵头单位：区卫生健康局。责任单位：区市场监管局、区委宣传部、区教体局、区妇联、区融媒体中心）</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（9）提高妇女经常参加体育锻炼的人数比例，提高妇女体质测定标准合格比例。（牵头单位：区教体局。责任单位：区妇联、区总工会）</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2.策略措施</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完善保障妇女健康的制度机制。坚持预防为主，加快实施“健康张店行动”，建立健全政府主导、部门协同、社会参与、行业监管、科技支撑的妇女健康保障工作机制。深入推进医疗、医保、医药联动改革，统筹改革监管体制，保障妇女获得高质量、有效率、可负担的医疗和保健服务。加大对妇女健康事业的财政投入。完善公共卫生应急管理体系，关注妇女的特殊需求。</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加强妇幼健康服务体系建设。健全以妇幼保健机构为核心、以基层医疗卫生机构为基础、以区级医院为支撑的妇幼健康服务网络，提升妇幼健康服务供给能力和水平。建立危重孕产妇救治中心和1所政府举办、标准化妇幼保健机构。强化区、镇（街道）、村（社区）三级妇幼卫生服务网络建设，完善基层网底和转诊网络。加强复合型妇幼健康人才和产科、助产等急需紧缺人才的培养使用。</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3）建立完善妇女全生命周期的健康管理模式。针对青春期、育龄期、孕产期、更年期和老年期妇女的健康需求，提供全方位健康管理服务。坚持保健与临床结合，预防为主、关口前移，发挥多学科协作优势，积极发挥中医药在妇幼保健和妇女病防治中的作用。为妇女提供宣传教育、咨询指导、筛查评估、综合干预和应急救治等全方位的卫生健康服务，提高妇女健康水平和人均健康预期寿命。</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4）保障孕产妇安全分娩。提倡科学备孕和适龄怀孕，保持适宜生育间隔，合理控制剖宫产率。推进婚前、孕前、孕期保健服务更加公平可及，促进优生优育。提供生育全程基本医疗保健服务，将孕产妇健康管理纳入基本公共服务范围，孕产妇系统管理率达到90%以上。加强对流动孕产妇的管理服务。为低收入孕产妇住院分娩和危重孕产妇救治提供必要救助。持续推进高龄孕产妇等重点人群分类管理和服务。全面落实妊娠风险筛查与评估、高危孕产妇专案管理、危急重症救治、孕产妇死亡个案报告和约谈通报制度。有效运行危重孕产妇救治网络，提高危急重症救治能力。</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（5）持续加大妇女常见病防治力度。建立妇女常见病筛查、转诊、治疗、随访一体的实施机制。加强基层妇女常见病筛查率考核，建立相应的病种管理、信息上报、项目培训、帮扶督导等配套制度。</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6）完善宫颈癌和乳腺癌综合防治体系和救助政策。提高妇女宫颈癌和乳腺癌自我防控意识，防控知识知晓率达到90%以上。扩大宫颈癌和乳腺癌检查覆盖面，全面落实城镇和农村适龄妇女宫颈癌和乳腺癌检查项目，规范项目实施，保障经费投入。加强宫颈癌和乳腺癌筛查和诊断技术的创新应用，提高筛查和服务能力，加强监测评估。强化筛查和后续诊治服务的衔接，促进早诊早治，确诊宫颈癌的患病妇女得到治疗的比例超过90%。探索推广适龄妇女人乳头瘤病毒疫苗接种。持续实施宫颈癌和乳腺癌患病低收入妇女救助项目，进一步扩大救助覆盖面。</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7）加强艾滋病梅毒乙肝母婴传播防治。全面落实预防艾滋病、梅毒和乙肝母婴传播综合干预措施。孕早期检测率达70%以上，孕产妇艾滋病、梅毒和乙肝检测率达到95%以上，艾滋病、梅毒孕产妇感染者治疗率达95%以上，对所生儿童进行规范干预。加大艾滋病防控力度，加强艾滋病防治知识和相关政策的宣传教育，提高妇女的防范意识和能力。加强对女性感染者的医疗服务，提高随访率。多形式为孕产妇感染者及其家庭提供健康咨询、心理和社会支持等服务。</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8）提高妇女营养水平。持续开展营养健康科普宣传教育，因地制宜开展营养和膳食指导，提高妇女对营养标签的知晓率，促进妇女学习掌握营养知识，均衡饮食、吃动平衡，预防控制营养不良和肥胖。面向不同年龄阶段妇女群体开发有针对性的营养健康信息和产品，加强对营养食品生产和流通的监管。定期开展孕期、产期、哺乳期妇女的营养监测和评估，预防和减少孕产妇缺铁性贫血。预防控制老年妇女低体重和贫血。</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9）提升妇女健康素养。实施妇女健康知识普及行动，建立完善健康科普专家库和资源库，持续深入开展健康科普宣传教育，规范发布妇女健康信息，引导妇女树立科学的健康理念，学习健康知识，掌握身心健康、预防疾病、科学就医、合理用药知识技能。提高妇女参与疫情防控、应急避险的意识和能力。面向妇女开展控制烟草危害、拒绝酗酒、远离毒品的宣传教育。促进妇女积极投身爱国卫生运动，养成文明健康生活方式。</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（10）促进妇女心理健康。加强心理健康相关知识的宣传，根据妇女需要开展心理咨询、评估和指导，促进妇女掌握基本的心理调适方法，预防抑郁、焦虑等心理问题。</w:t>
      </w:r>
      <w:r>
        <w:rPr>
          <w:rFonts w:hint="eastAsia" w:ascii="Times New Roman" w:hAnsi="Times New Roman" w:eastAsia="仿宋_GB2312" w:cs="仿宋_GB2312"/>
          <w:sz w:val="32"/>
          <w:szCs w:val="32"/>
          <w:shd w:val="clear" w:color="auto" w:fill="FFFFFF"/>
        </w:rPr>
        <w:t>在心理健康和精神卫生服务体系建设中，</w:t>
      </w:r>
      <w:r>
        <w:rPr>
          <w:rFonts w:hint="eastAsia" w:ascii="Times New Roman" w:hAnsi="Times New Roman" w:eastAsia="仿宋_GB2312" w:cs="仿宋"/>
          <w:sz w:val="32"/>
          <w:szCs w:val="32"/>
        </w:rPr>
        <w:t>重点关注青春期、孕产期、更年期和老年期妇女的心理健康。强化心理咨询和治疗技术在妇女保健和疾病防治中的应用。加大应用型心理健康和社会工作人员培养力度，促进医疗机构、心理健康和社会工作服务机构提供规范服务。鼓励社区为有需要的妇女提供心理健康服务支持。</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11）提高妇女生殖健康水平。普及生殖道感染、性传播疾病等防控知识。在学校教育不同阶段多种形式开展科学、实用的健康教育，促进学生掌握生殖健康知识，提高自我保护能力。增强男女两性性道德、性健康、性安全意识，倡导共担避孕责任。</w:t>
      </w:r>
      <w:r>
        <w:rPr>
          <w:rFonts w:hint="eastAsia" w:ascii="Times New Roman" w:hAnsi="Times New Roman" w:eastAsia="仿宋_GB2312" w:cs="仿宋_GB2312"/>
          <w:sz w:val="32"/>
          <w:szCs w:val="32"/>
          <w:shd w:val="clear" w:color="auto" w:fill="FFFFFF"/>
        </w:rPr>
        <w:t>将生殖健康服务融入妇女健康管理全过程，</w:t>
      </w:r>
      <w:r>
        <w:rPr>
          <w:rFonts w:hint="eastAsia" w:ascii="Times New Roman" w:hAnsi="Times New Roman" w:eastAsia="仿宋_GB2312" w:cs="仿宋"/>
          <w:sz w:val="32"/>
          <w:szCs w:val="32"/>
        </w:rPr>
        <w:t>保障妇女享有避孕节育知情自主选择权。落实基本避孕服务项目，加强产后和流产后避孕节育服务，提高服务可及性，预防非意愿妊娠。推进婚前医学检查、孕前优生健康检查、增补叶酸等婚前孕前保健服务更加公平可及。</w:t>
      </w:r>
      <w:r>
        <w:rPr>
          <w:rFonts w:hint="eastAsia" w:ascii="Times New Roman" w:hAnsi="Times New Roman" w:eastAsia="仿宋_GB2312" w:cs="仿宋_GB2312"/>
          <w:sz w:val="32"/>
          <w:szCs w:val="32"/>
          <w:shd w:val="clear" w:color="auto" w:fill="FFFFFF"/>
        </w:rPr>
        <w:t>减少非医学需要的人工流产。</w:t>
      </w:r>
      <w:r>
        <w:rPr>
          <w:rFonts w:hint="eastAsia" w:ascii="Times New Roman" w:hAnsi="Times New Roman" w:eastAsia="仿宋_GB2312" w:cs="仿宋"/>
          <w:sz w:val="32"/>
          <w:szCs w:val="32"/>
        </w:rPr>
        <w:t>规范不孕症诊疗服务。</w:t>
      </w:r>
      <w:r>
        <w:rPr>
          <w:rFonts w:hint="eastAsia" w:ascii="Times New Roman" w:hAnsi="Times New Roman" w:eastAsia="仿宋_GB2312" w:cs="仿宋_GB2312"/>
          <w:sz w:val="32"/>
          <w:szCs w:val="32"/>
          <w:shd w:val="clear" w:color="auto" w:fill="FFFFFF"/>
        </w:rPr>
        <w:t>规范人类辅助生殖技术应用。</w:t>
      </w:r>
      <w:r>
        <w:rPr>
          <w:rFonts w:hint="eastAsia" w:ascii="Times New Roman" w:hAnsi="Times New Roman" w:eastAsia="仿宋_GB2312" w:cs="仿宋"/>
          <w:sz w:val="32"/>
          <w:szCs w:val="32"/>
        </w:rPr>
        <w:t>加强对女性卫生用品的质量监管，鼓励企业为城乡低收入妇女提供质优价廉的卫生巾等生理期用品。</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12）引导妇女积极参与全民健身行动。持续推进全民健身场地设施建设，推动各级各类公共体育设施免费或低收费开放，为妇女健身活动提供保障。积极发展城乡社区体育活动，丰富完善妇女健身活动赛事体系，提倡机关、企事业单位开展工间操，鼓励支持工会组织、社区开展妇女健身活动，不断提高妇女的体育活动意识，培养运动习惯。加强妇女健身骨干队伍建设，推进妇女健身站点与组织建设，加强对妇女健身的指导与服务。</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13）强化妇女健康服务的科技支撑。推进“互联网+妇幼健康”，促进大数据、云计算、人工智能、计算机仿真技术等在妇女健康领域的创新应用。提升全区妇幼健康信息化管理水平，实施妇女人群健康管理和健康风险预警。促进信息技术在妇女健康领域专科医联体、医共体建设中的应用，加强医疗机构间的协作，促进分级诊疗和上下联动。重视妇女身心健康的科学研究和成果转化。</w:t>
      </w:r>
    </w:p>
    <w:p>
      <w:pPr>
        <w:pStyle w:val="5"/>
        <w:spacing w:line="560" w:lineRule="exact"/>
        <w:ind w:firstLine="640"/>
        <w:rPr>
          <w:rFonts w:ascii="Times New Roman" w:hAnsi="Times New Roman"/>
          <w:b w:val="0"/>
          <w:bCs/>
          <w:lang w:eastAsia="zh-CN"/>
        </w:rPr>
      </w:pPr>
      <w:bookmarkStart w:id="350" w:name="_Toc17755"/>
      <w:r>
        <w:rPr>
          <w:rFonts w:hint="eastAsia" w:ascii="Times New Roman" w:hAnsi="Times New Roman"/>
          <w:b w:val="0"/>
          <w:bCs/>
          <w:lang w:eastAsia="zh-CN"/>
        </w:rPr>
        <w:t>（二）妇女与教育</w:t>
      </w:r>
      <w:bookmarkEnd w:id="350"/>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1.主要目标</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加强思想政治教育，增进妇女对习近平新时代中国特色社会主义思想的政治认同、思想认同、情感认同，引领妇女做伟大事业的建设者、文明风尚的倡导者、敢于追梦的奋斗者。（牵头单位：区妇联。责任单位：区委宣传部、区教体局、区文化和旅游局、区总工会、团区委等区妇儿工委成员单位）</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（2）教育工作全面贯彻男女平等基本国策。大中小学性别平等教育全面推进，教师和学生的男女平等意识明显增强。（牵头单位：区教体局。责任单位：区妇儿工委办公室、区妇联）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3）女童平等接受学前教育，学前3年毛入园率达到99%以上。女童平等接受义务教育，义务教育巩固率保持在98%以上。（牵头单位：区教体局。责任单位：区发展改革局、区财政局、市自然资源和规划局张店分局、区妇联、区残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（4）女性平等接受高中阶段教育，高中阶段教育毛入学率达到98%。（牵头单位：区教体局。责任单位：区发展改革局、区财政局、市自然资源和规划局张店分局、区妇联、区残联）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（5）女性接受职业教育的水平逐步提高。（牵头单位：区教体局。责任单位：区人力资源社会保障局、区农业农村局、区商务局、区科协、区妇联、区残联）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（6）女性平等接受高等教育，消除性别因素对学生专业选择的不利影响。（牵头单位：区教体局）</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（7）女性科技人才培养力度加大，男女两性科学素质水平差距显著缩小。（牵头单位：区科技局。责任单位：区教体局、区人力资源社会保障局、区科协）</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（8）女性青壮年文盲基本消除。女性平均受教育年限不断提高。（牵头单位：区教体局、区人力资源社会保障局。责任单位：区农业农村局、区残联、区妇联）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（9）女性终身学习意识不断增强，接受终身教育水平不断提高。（牵头单位：区教体局、区人力资源社会保障局。责任单位：区农业农村局、区科协、区总工会、区妇联）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（10）提高妇女/性别研究水平，逐步普及社会性别知识。（牵头单位：区教体局、区委党校。责任单位：区妇联）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2.策略措施</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面向妇女广泛开展思想政治教育。深入开展习近平新时代中国特色社会主义思想学习教育，加强党史、新中国史、改革开放史、社会主义发展史教育，加强爱国主义、集体主义、社会主义教育，促进妇女更加坚定理想信念，不断厚植爱国情怀，把个人理想追求融入党和国家事业大局，为全面建设社会主义现代化国家贡献力量。充分发挥学校教育主渠道作用，将思想价值引领贯穿于教育教学及其管理全过程和校园生活各方面，融入学校党组织、共青团、少先队各类主题教育和实践活动。充分发挥爱国主义教育基地和国防教育基地的思想政治教育作用。</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将贯彻落实男女平等基本国策体现在教育工作全过程。增强教育工作者自觉贯彻男女平等基本国策的主动性和能动性。将男女平等基本国策落实到教育政策和规划制定、修订、执行和评估中，落实到各级各类教育内容、教学过程、学校管理中。抓好性别平等教育评估工作，注重吸收社会性别专家参与。在各级各类师资培训中加入性别平等内容。</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（3）推动各级各类学校广泛开展性别平等教育。促进性别平等教育融入学校教学内容、校园文化、社团活动和社会实践活动。探索构建学校教育、家庭教育、社会教育相结合的性别平等教育模式。</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4）保障女童平等接受学前教育。坚持学前教育的公益性和普惠性，提高普惠性幼儿园覆盖率。新增资源重点向新增人口聚集地区、农村地区和低收入群体倾斜，鼓励举办特殊教育幼儿园（部、班），确保农村地区和低收入群体女童、孤儿、残疾女童、随迁女童和农村留守女童就近接受普惠性学前教育。</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5）保障女童平等接受义务教育的权利。深化教育教学改革，加快城乡义务教育一体化发展，均衡配置教育资源，确保女童平等接受公平优质的义务教育。健全精准控辍保学长效机制，加强分类指导，督促法定监护人保障女童接受义务教育。切实保障困境女童、农村留守女童、随迁女童以及残疾女童的受教育权利和机会。支持学业困难女童完成义务教育，提高女童义务教育巩固率。</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6）提高女性接受普通高中教育的水平。保障女性特别是农村低收入家庭女性平等接受普通高中教育的权利和机会。推动普通高中多样化有特色发展，满足女性全面发展和个性化发展需求。有针对性地开展学科选择和职业生涯规划指导，提高女性自主选择能力，破除性别因素对女性学业和职业发展的影响。</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7）促进女性接受高质量职业教育。完善学历教育与培训并重的现代职业教育体系，优化专业设置，提供多种学习方式，支持女性获得职业技能等级证书，培养复合型技术技能女性人才和能工巧匠、淄博工匠、齐鲁工匠、大国工匠。鼓励职业院校面向女高校毕业生、进城务工女性、去产能分流女职工等重点人群开展就业创业和职业技能培训。</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8）保障女性平等接受高等教育的权利和机会。严格控制招生过程中的特殊专业范围，强化涉及性别歧视问题的监管，建立约谈、依法处罚机制。采取激励措施，提高女性在科学、技术、工程、数学等学科学生中的比例。加强对基础学科拔尖女生的培养。</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（9）大力加强女性科技人才培养。探索建立多层次女性科技人才培养体系，培养具有竞争力的女性科技人才。</w:t>
      </w:r>
      <w:r>
        <w:rPr>
          <w:rFonts w:hint="eastAsia" w:ascii="Times New Roman" w:hAnsi="Times New Roman" w:eastAsia="仿宋_GB2312" w:cs="仿宋_GB2312"/>
          <w:sz w:val="32"/>
          <w:szCs w:val="32"/>
          <w:shd w:val="clear" w:color="auto" w:fill="FFFFFF"/>
        </w:rPr>
        <w:t>关注培养义务教育阶段女生爱科学、学科学的兴趣和志向</w:t>
      </w:r>
      <w:r>
        <w:rPr>
          <w:rFonts w:hint="eastAsia" w:ascii="Times New Roman" w:hAnsi="Times New Roman" w:cs="宋体"/>
          <w:sz w:val="32"/>
          <w:szCs w:val="32"/>
          <w:shd w:val="clear" w:color="auto" w:fill="FFFFFF"/>
        </w:rPr>
        <w:t>。</w:t>
      </w:r>
      <w:r>
        <w:rPr>
          <w:rFonts w:hint="eastAsia" w:ascii="Times New Roman" w:hAnsi="Times New Roman" w:eastAsia="仿宋_GB2312" w:cs="仿宋"/>
          <w:sz w:val="32"/>
          <w:szCs w:val="32"/>
        </w:rPr>
        <w:t>引导高中教育阶段女生养成科学兴趣和钻研精神，支持有意愿的女生报考理工类院校。加大女性创新型、应用型人才的培养力度，鼓励女大学生参与科研项目，在实践中培养科学精神和创新能力。引导女性从事科学和技术相关工作，增加女性科技人才参与继续教育和专业培训的机会。贯彻落实《关于支持女性科技人才在科技创新中发挥更大作用的若干措施》（国科发才〔2021〕172号）等文件精神，推动女性参与科技创新。</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10）大力提高女性科学素质。开展女性科学素质提升专项行动，利用现代信息化手段，加大面向女性的科学知识教育、传播与普及力度。开展女科学家进校园活动，发挥优秀女科技人才的榜样引领作用。引导中小学女生参加各类科普活动</w:t>
      </w:r>
      <w:r>
        <w:rPr>
          <w:rFonts w:hint="eastAsia" w:ascii="Times New Roman" w:hAnsi="Times New Roman" w:eastAsia="仿宋_GB2312" w:cs="仿宋_GB2312"/>
          <w:sz w:val="32"/>
          <w:szCs w:val="32"/>
          <w:shd w:val="clear" w:color="auto" w:fill="FFFFFF"/>
        </w:rPr>
        <w:t>和科技竞赛</w:t>
      </w:r>
      <w:r>
        <w:rPr>
          <w:rFonts w:hint="eastAsia" w:ascii="Times New Roman" w:hAnsi="Times New Roman" w:eastAsia="仿宋_GB2312" w:cs="仿宋"/>
          <w:sz w:val="32"/>
          <w:szCs w:val="32"/>
        </w:rPr>
        <w:t>，培养科学兴趣、创新精神和实践能力。鼓励女大学生积极参与项目设计、社会实践、创新创业、科技竞赛等活动。深入实施“乡村巾帼人才培育集聚行动”，提升农村妇女科技文化素质。</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（11）持续巩固女性青壮年扫盲成果，</w:t>
      </w:r>
      <w:r>
        <w:rPr>
          <w:rFonts w:hint="eastAsia" w:ascii="Times New Roman" w:hAnsi="Times New Roman" w:eastAsia="仿宋_GB2312" w:cs="仿宋_GB2312"/>
          <w:sz w:val="32"/>
          <w:szCs w:val="32"/>
          <w:shd w:val="clear" w:color="auto" w:fill="FFFFFF"/>
        </w:rPr>
        <w:t>加大普通话推广力度</w:t>
      </w:r>
      <w:r>
        <w:rPr>
          <w:rFonts w:hint="eastAsia" w:ascii="Times New Roman" w:hAnsi="Times New Roman" w:eastAsia="仿宋_GB2312" w:cs="仿宋"/>
          <w:sz w:val="32"/>
          <w:szCs w:val="32"/>
        </w:rPr>
        <w:t>。完善扫盲工作机制，</w:t>
      </w:r>
      <w:r>
        <w:rPr>
          <w:rFonts w:hint="eastAsia" w:ascii="Times New Roman" w:hAnsi="Times New Roman" w:eastAsia="仿宋_GB2312" w:cs="仿宋_GB2312"/>
          <w:sz w:val="32"/>
          <w:szCs w:val="32"/>
          <w:shd w:val="clear" w:color="auto" w:fill="FFFFFF"/>
        </w:rPr>
        <w:t>加强国家通用语言文字教育，</w:t>
      </w:r>
      <w:r>
        <w:rPr>
          <w:rFonts w:hint="eastAsia" w:ascii="Times New Roman" w:hAnsi="Times New Roman" w:eastAsia="仿宋_GB2312" w:cs="仿宋"/>
          <w:sz w:val="32"/>
          <w:szCs w:val="32"/>
        </w:rPr>
        <w:t>消除女童辍学现象，杜绝产生新的女性青壮年文盲。</w:t>
      </w:r>
      <w:r>
        <w:rPr>
          <w:rFonts w:hint="eastAsia" w:ascii="Times New Roman" w:hAnsi="Times New Roman" w:eastAsia="仿宋_GB2312" w:cs="仿宋_GB2312"/>
          <w:sz w:val="32"/>
          <w:szCs w:val="32"/>
          <w:shd w:val="clear" w:color="auto" w:fill="FFFFFF"/>
        </w:rPr>
        <w:t>普通话培训及各类职业培训向农村妇女、残疾妇女等群体倾斜</w:t>
      </w:r>
      <w:r>
        <w:rPr>
          <w:rFonts w:hint="eastAsia" w:ascii="Times New Roman" w:hAnsi="Times New Roman" w:cs="宋体"/>
          <w:sz w:val="32"/>
          <w:szCs w:val="32"/>
          <w:shd w:val="clear" w:color="auto" w:fill="FFFFFF"/>
        </w:rPr>
        <w:t>。</w:t>
      </w:r>
      <w:r>
        <w:rPr>
          <w:rFonts w:hint="eastAsia" w:ascii="Times New Roman" w:hAnsi="Times New Roman" w:eastAsia="仿宋_GB2312" w:cs="仿宋"/>
          <w:sz w:val="32"/>
          <w:szCs w:val="32"/>
        </w:rPr>
        <w:t>提高女性平均受教育年限。</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12）为女性终身学习提供支持。建立完善更加开放灵活的终身学习体系，完善注册学习、弹性学习及继续教育制度，拓宽学历教育渠道，满足女性多样化学习需求，关注因生育中断学业和职业女性的发展需求。扩大教育资源供给，为女性提供便捷的社区和在线教育资源，为进城务工女性、女性新市民、待业女性等提供有针对性的职业技能培训。</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（13）加强妇女/性别研究和人才培养。培养具有跨学科知识基础和性别平等意识的专业人才。加大对妇女/社会性别理论研究的支持力度，提高妇女或性别研究相关选题的立项比例。</w:t>
      </w:r>
    </w:p>
    <w:p>
      <w:pPr>
        <w:pStyle w:val="5"/>
        <w:spacing w:line="560" w:lineRule="exact"/>
        <w:ind w:firstLine="640"/>
        <w:rPr>
          <w:rFonts w:ascii="Times New Roman" w:hAnsi="Times New Roman"/>
          <w:b w:val="0"/>
          <w:bCs/>
          <w:lang w:eastAsia="zh-CN"/>
        </w:rPr>
      </w:pPr>
      <w:bookmarkStart w:id="351" w:name="_Toc25652"/>
      <w:r>
        <w:rPr>
          <w:rFonts w:hint="eastAsia" w:ascii="Times New Roman" w:hAnsi="Times New Roman"/>
          <w:b w:val="0"/>
          <w:bCs/>
          <w:lang w:eastAsia="zh-CN"/>
        </w:rPr>
        <w:t>（三）妇女与经济</w:t>
      </w:r>
      <w:bookmarkEnd w:id="351"/>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1.主要目标</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w:t>
      </w:r>
      <w:r>
        <w:rPr>
          <w:rFonts w:hint="eastAsia" w:ascii="Times New Roman" w:hAnsi="Times New Roman" w:eastAsia="仿宋_GB2312" w:cs="仿宋_GB2312"/>
          <w:sz w:val="32"/>
          <w:szCs w:val="32"/>
          <w:shd w:val="clear" w:color="auto" w:fill="FFFFFF"/>
        </w:rPr>
        <w:t>鼓励支持妇女为推动经济高质量发展贡献力量，</w:t>
      </w:r>
      <w:r>
        <w:rPr>
          <w:rFonts w:hint="eastAsia" w:ascii="Times New Roman" w:hAnsi="Times New Roman" w:eastAsia="仿宋_GB2312" w:cs="仿宋"/>
          <w:sz w:val="32"/>
          <w:szCs w:val="32"/>
        </w:rPr>
        <w:t>保障妇女平等获得经济资源、平等参与经济建设、平等享有经济发展成果的权利和机会。（牵头单位：区妇联。责任单位：区发展改革局、区司法局、区人力资源社会保障局、区农业农村局、区总工会）</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w:t>
      </w:r>
      <w:r>
        <w:rPr>
          <w:rFonts w:hint="eastAsia" w:ascii="Times New Roman" w:hAnsi="Times New Roman" w:eastAsia="仿宋_GB2312" w:cs="仿宋_GB2312"/>
          <w:sz w:val="32"/>
          <w:szCs w:val="32"/>
          <w:shd w:val="clear" w:color="auto" w:fill="FFFFFF"/>
        </w:rPr>
        <w:t>促进平等就业，</w:t>
      </w:r>
      <w:r>
        <w:rPr>
          <w:rFonts w:hint="eastAsia" w:ascii="Times New Roman" w:hAnsi="Times New Roman" w:eastAsia="仿宋_GB2312" w:cs="仿宋"/>
          <w:sz w:val="32"/>
          <w:szCs w:val="32"/>
        </w:rPr>
        <w:t>消除就业性别歧视。就业人员中的女性比例保持在45%左右。促进女大学生充分就业。（牵头单位：区人力资源社会保障局。责任单位：区委组织部、区妇联、区总工会、区教体局、团区委）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（3）优化妇女就业结构。城镇单位就业人员中的女性比例达到40%左右。（牵头单位：区人力资源社会保障局。责任单位：区教体局、区妇联、区总工会、团区委、区农业农村局）</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（4）保障妇女获得公平的劳动报酬。（牵头单位：区人力资源社会保障局。责任单位：区财政局、区总工会、区农业农村局、区商务局、团区委、区妇联）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（5）促进女性人才发展。倡导实现高级专业技术人员中的女性比例达到40%左右，</w:t>
      </w:r>
      <w:r>
        <w:rPr>
          <w:rFonts w:hint="eastAsia" w:ascii="Times New Roman" w:hAnsi="Times New Roman" w:eastAsia="仿宋_GB2312" w:cs="仿宋_GB2312"/>
          <w:sz w:val="32"/>
          <w:szCs w:val="32"/>
          <w:shd w:val="clear" w:color="auto" w:fill="FFFFFF"/>
        </w:rPr>
        <w:t>促进女性劳动者提升职业技能水平。</w:t>
      </w:r>
      <w:r>
        <w:rPr>
          <w:rFonts w:hint="eastAsia" w:ascii="Times New Roman" w:hAnsi="Times New Roman" w:eastAsia="仿宋_GB2312" w:cs="仿宋"/>
          <w:sz w:val="32"/>
          <w:szCs w:val="32"/>
        </w:rPr>
        <w:t>（牵头单位：区人力资源社会保障局。责任单位：有关行业主管部门）</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（6）保障女性从业人员劳动安全和健康。女职工职业病发病率明显降低。（牵头单位：区应急管理局。责任单位：区卫生健康局、区总工会、区人力资源社会保障局）</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（7）建立工会女职工委员会的企业应签订女职工权益保护专项集体合同。（牵头单位：区总工会）</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（8）</w:t>
      </w:r>
      <w:r>
        <w:rPr>
          <w:rFonts w:hint="eastAsia" w:ascii="Times New Roman" w:hAnsi="Times New Roman" w:eastAsia="仿宋_GB2312" w:cs="仿宋_GB2312"/>
          <w:sz w:val="32"/>
          <w:szCs w:val="32"/>
          <w:shd w:val="clear" w:color="auto" w:fill="FFFFFF"/>
        </w:rPr>
        <w:t>保障农村妇女平等享有土地承包经营权、宅基地使用权等权益，平等享有农村集体经济组织收益分配、土地征收或征用安置补偿权益。</w:t>
      </w:r>
      <w:r>
        <w:rPr>
          <w:rFonts w:hint="eastAsia" w:ascii="Times New Roman" w:hAnsi="Times New Roman" w:eastAsia="仿宋_GB2312" w:cs="仿宋"/>
          <w:sz w:val="32"/>
          <w:szCs w:val="32"/>
        </w:rPr>
        <w:t>（牵头单位：区农业农村局。责任单位：区民政局、区妇联、市自然资源和规划局张店分局）</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（9）巩固拓展脱贫攻坚成果，增强农村低收入妇女群体的可持续发展能力。（牵头单位：区农业农村局、区人力资源社会保障局、区民政局。责任单位：区财政局、区妇联、区科协、区乡村振兴局、区残联）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（10）妇女在实施乡村振兴战略中的作用充分发挥。（牵头单位：区农业农村局、区妇联。责任单位：区民政局、区文化和旅游局、区乡村振兴局、区科协）</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2.策略措施</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加大妇女平等参与经济发展的保障力度。落实保障妇女平等获得经济资源、参与经济建设、享有经济发展成果的法律法规政策。创新制度机制，保障妇女在就业创业、职业发展、劳动报酬、职业健康与安全、职业退出、土地等方面的权益，保障新业态从业人员劳动权益，为妇女充分参与经济高质量发展创造有利条件。</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加大消除就业性别歧视工作力度。全面落实消除就业性别歧视的法律法规政策，创造性别平等的就业机制和市场环境。对招聘、录用环节涉嫌性别歧视的用人单位进行联合约谈，依法惩处。督促用人单位加强就业性别歧视自查自纠。发挥劳动保障法律监督作用，对涉嫌就业性别歧视的用人单位提出纠正意见，或建议人力资源社会保障行政部门依法处理。依法受理涉及就业性别歧视的诉讼，畅通司法救济渠道。发挥行业协会、商会协调监督作用，提高行业自律意识。党政机关、国有企事业单位在招录（聘）和职工晋职晋级、评定专业技术职称等方面发挥男女平等的引领带头作用。</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3）促进妇女就业创业。提升妇女就业质量，发挥现代服务业和新业态吸纳妇女就业的作用，支持妇女参与新业态新模式从业人员技能培训。深化就业服务专项活动，加大女大学生等群体就业指导力度，促进妇女就业人岗对接。深入实施创业创新巾帼行动，鼓励妇女积极投身大众创业万众创新，支持女性科研人员投身科技创业。发展农村电子商务，发挥家庭农场、农民合作社、农业龙头企业等新型农业经营主体作用，加强对新型职业农村妇女、巾帼新型农业经营主体负责人培训，鼓励外出务工妇女返乡创业，支持有意愿的妇女入乡创业，推动农村留守妇女就近就地创业就业。加大帮扶力度，对特困女大学生、女性就业困难人员开展即时就业援助。创新金融、保险产品和服务模式，拓宽妇女创业融资渠道。</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4）促进女大学生就业创业。加强职业生涯规划指导服务，引导女大学生树立正确的择业就业观，提升就业能力。完善落实就业创业支持政策，提供不断线的就业服务，拓宽女大学生市场化社会化就业渠道。鼓励女大学生到基层、中小微企业和新经济领域就业。加强女大学生创业指导，支持女大学生创业。对有就业意愿的离校未就业女大学生实施就业帮扶。吸引更多女高校毕业生来张店就业创业。</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（5）改善妇女就业结构。完善终身职业技能培训制度，</w:t>
      </w:r>
      <w:r>
        <w:rPr>
          <w:rFonts w:hint="eastAsia" w:ascii="Times New Roman" w:hAnsi="Times New Roman" w:eastAsia="仿宋_GB2312" w:cs="仿宋_GB2312"/>
          <w:sz w:val="32"/>
          <w:szCs w:val="32"/>
          <w:shd w:val="clear" w:color="auto" w:fill="FFFFFF"/>
        </w:rPr>
        <w:t>提升妇女职业技能水平，</w:t>
      </w:r>
      <w:r>
        <w:rPr>
          <w:rFonts w:hint="eastAsia" w:ascii="Times New Roman" w:hAnsi="Times New Roman" w:eastAsia="仿宋_GB2312" w:cs="仿宋"/>
          <w:sz w:val="32"/>
          <w:szCs w:val="32"/>
        </w:rPr>
        <w:t>大力培育知识型、技能型、创新型女性劳动者。不断提高女性在高新技术产业、战略性新兴产业和现代服务业从业人员中的比例。</w:t>
      </w:r>
      <w:r>
        <w:rPr>
          <w:rFonts w:hint="eastAsia" w:ascii="Times New Roman" w:hAnsi="Times New Roman" w:eastAsia="仿宋_GB2312" w:cs="仿宋_GB2312"/>
          <w:sz w:val="32"/>
          <w:szCs w:val="32"/>
          <w:shd w:val="clear" w:color="auto" w:fill="FFFFFF"/>
        </w:rPr>
        <w:t>逐步消除职业性别隔离，提高城镇单位就业人员中的女性比例。扩大农村妇女转移就业规模，缩小男女转移就业差距。</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6）保障妇女获得公平的劳动报酬。全面落实男女同工同酬，保障收入公平。促进女性对知识、技术、管理、数据等生产要素的掌握和应用，提高女性职业竞争力。督促用人单位制定实施男女平等的人力资源制度，畅通女性职业发展和职务职级晋升通道。加强对收入的分性别统计，动态掌握男女两性收入状况。</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（7）加强女性专业技术和技能人才队伍建设。</w:t>
      </w:r>
      <w:r>
        <w:rPr>
          <w:rFonts w:hint="eastAsia" w:ascii="Times New Roman" w:hAnsi="Times New Roman" w:eastAsia="仿宋_GB2312" w:cs="仿宋_GB2312"/>
          <w:sz w:val="32"/>
          <w:szCs w:val="32"/>
          <w:shd w:val="clear" w:color="auto" w:fill="FFFFFF"/>
        </w:rPr>
        <w:t>实施科技创新巾帼行动，搭建平台、提供服务，激励女性科技人才、技术技能人才立足岗位锐意创新。</w:t>
      </w:r>
      <w:r>
        <w:rPr>
          <w:rFonts w:hint="eastAsia" w:ascii="Times New Roman" w:hAnsi="Times New Roman" w:eastAsia="仿宋_GB2312" w:cs="仿宋"/>
          <w:sz w:val="32"/>
          <w:szCs w:val="32"/>
        </w:rPr>
        <w:t>加强对女性科技人员、技术技能人员的专业知识、科研管理</w:t>
      </w:r>
      <w:r>
        <w:rPr>
          <w:rFonts w:hint="eastAsia" w:ascii="Times New Roman" w:hAnsi="Times New Roman" w:eastAsia="仿宋_GB2312" w:cs="仿宋_GB2312"/>
          <w:sz w:val="32"/>
          <w:szCs w:val="32"/>
          <w:shd w:val="clear" w:color="auto" w:fill="FFFFFF"/>
        </w:rPr>
        <w:t>、创新创业</w:t>
      </w:r>
      <w:r>
        <w:rPr>
          <w:rFonts w:hint="eastAsia" w:ascii="Times New Roman" w:hAnsi="Times New Roman" w:eastAsia="仿宋_GB2312" w:cs="仿宋"/>
          <w:sz w:val="32"/>
          <w:szCs w:val="32"/>
        </w:rPr>
        <w:t>等培训，增强发展能力。提高各级各类科技奖励、科研和工程建设项目申报和负责人、评审专家队伍中的女性比例，提升女性的参与度和决策权。加强典型宣传，发挥榜样引领作用。</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8）改善女性从业人员劳动安全状况。将女职工劳动保护纳入职业健康和安全生产监督管理范围，加强对用人单位的劳动保障监察以及劳动安全和职业健康监督。督促用人单位加强对女职工经期、孕期、哺乳期的特殊保护，</w:t>
      </w:r>
      <w:r>
        <w:rPr>
          <w:rFonts w:hint="eastAsia" w:ascii="Times New Roman" w:hAnsi="Times New Roman" w:eastAsia="仿宋_GB2312" w:cs="仿宋_GB2312"/>
          <w:sz w:val="32"/>
          <w:szCs w:val="32"/>
          <w:shd w:val="clear" w:color="auto" w:fill="FFFFFF"/>
        </w:rPr>
        <w:t>落实哺乳时间和产假制度。</w:t>
      </w:r>
      <w:r>
        <w:rPr>
          <w:rFonts w:hint="eastAsia" w:ascii="Times New Roman" w:hAnsi="Times New Roman" w:eastAsia="仿宋_GB2312" w:cs="仿宋"/>
          <w:sz w:val="32"/>
          <w:szCs w:val="32"/>
        </w:rPr>
        <w:t>督促用人单位加强职业防护和职业健康监督保护，保障女职工在工作中免受有毒有害物质和危险生产工艺的危害。</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（9）保障女职工劳动权益。督促用人单位规范用工行为，</w:t>
      </w:r>
      <w:r>
        <w:rPr>
          <w:rFonts w:hint="eastAsia" w:ascii="Times New Roman" w:hAnsi="Times New Roman" w:eastAsia="仿宋_GB2312" w:cs="仿宋_GB2312"/>
          <w:sz w:val="32"/>
          <w:szCs w:val="32"/>
          <w:shd w:val="clear" w:color="auto" w:fill="FFFFFF"/>
        </w:rPr>
        <w:t>依法与</w:t>
      </w:r>
      <w:r>
        <w:rPr>
          <w:rFonts w:hint="eastAsia" w:ascii="Times New Roman" w:hAnsi="Times New Roman" w:eastAsia="仿宋_GB2312" w:cs="仿宋"/>
          <w:sz w:val="32"/>
          <w:szCs w:val="32"/>
        </w:rPr>
        <w:t>女职工签订劳动合同，推动签订女职工权益保护专项集体合同。指导用人单位建立预防和制止性骚扰工作机制</w:t>
      </w:r>
      <w:r>
        <w:rPr>
          <w:rFonts w:hint="eastAsia" w:ascii="Times New Roman" w:hAnsi="Times New Roman" w:eastAsia="仿宋_GB2312" w:cs="仿宋_GB2312"/>
          <w:sz w:val="32"/>
          <w:szCs w:val="32"/>
          <w:shd w:val="clear" w:color="auto" w:fill="FFFFFF"/>
        </w:rPr>
        <w:t>，完善相关执法措施</w:t>
      </w:r>
      <w:r>
        <w:rPr>
          <w:rFonts w:hint="eastAsia" w:ascii="Times New Roman" w:hAnsi="Times New Roman" w:eastAsia="仿宋_GB2312" w:cs="仿宋"/>
          <w:sz w:val="32"/>
          <w:szCs w:val="32"/>
        </w:rPr>
        <w:t>。加强劳动用工领域信用建设，加大对侵犯女职工劳动权益行为的失信惩戒力度。推动有条件的劳动人事争议仲裁机构设立女职工维权仲裁庭，依法处理女职工劳动争议案件。</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（10）为女性生育后的职业发展创造有利条件。协同推进男女平等基本国策和人口生育政策的落实。禁止用人单位因女职工怀孕、生育、哺乳而降低工资、</w:t>
      </w:r>
      <w:r>
        <w:rPr>
          <w:rFonts w:hint="eastAsia" w:ascii="Times New Roman" w:hAnsi="Times New Roman" w:eastAsia="仿宋_GB2312" w:cs="仿宋_GB2312"/>
          <w:sz w:val="32"/>
          <w:szCs w:val="32"/>
          <w:shd w:val="clear" w:color="auto" w:fill="FFFFFF"/>
        </w:rPr>
        <w:t>恶意调岗、</w:t>
      </w:r>
      <w:r>
        <w:rPr>
          <w:rFonts w:hint="eastAsia" w:ascii="Times New Roman" w:hAnsi="Times New Roman" w:eastAsia="仿宋_GB2312" w:cs="仿宋"/>
          <w:sz w:val="32"/>
          <w:szCs w:val="32"/>
        </w:rPr>
        <w:t>予以辞退、解除劳动（聘用）合同。为女性生育后返岗或再就业提供</w:t>
      </w:r>
      <w:r>
        <w:rPr>
          <w:rFonts w:hint="eastAsia" w:ascii="Times New Roman" w:hAnsi="Times New Roman" w:eastAsia="仿宋_GB2312" w:cs="仿宋_GB2312"/>
          <w:sz w:val="32"/>
          <w:szCs w:val="32"/>
          <w:shd w:val="clear" w:color="auto" w:fill="FFFFFF"/>
        </w:rPr>
        <w:t>培训等支持</w:t>
      </w:r>
      <w:r>
        <w:rPr>
          <w:rFonts w:hint="eastAsia" w:ascii="Times New Roman" w:hAnsi="Times New Roman" w:eastAsia="仿宋_GB2312" w:cs="仿宋"/>
          <w:sz w:val="32"/>
          <w:szCs w:val="32"/>
        </w:rPr>
        <w:t>。推动用人单位根据女职工需要建立女职工哺乳室、孕妇休息室等设施。增加优质普惠托育服务供给，支持有条件的用人单位为职工提供福利性托育托管服务。</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11）保障农村妇女平等享有各项经济权益。在农村土地承包、宅基地使用权确权登记颁证工作中保障农村妇女权益，确保应登尽登。建立健全农村集体资产管理制度，规范农村集体经济组织成员身份确认办法，完善包括征地补偿安置在内的农村集体经济组织资产收益内部分配机制，保障妇女在农村集体经济组织资产股权量化、权益流转和继承等各环节，作为农村集体经济组织成员和家庭成员平等享有知情权、参与决策权和收益权。保障进城落户女性的经济权益。畅通经济权益受侵害农村妇女的维权渠道。</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12）提高农村妇女的经济收入。健全农村低收入妇女群体帮扶机制，探索分性别的动态监测和精准帮扶。扶持发展适合低收入妇女自主发展的手工编织、农村电商等特色产业项目。通过致富带头人培育、巾帼居家创业就业基地建设和以工代赈等方式，支持农村妇女就地就近就业，实现增收致富。</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13）支持妇女积极参与乡村振兴。积极发挥妇女在农村一二三产业融合发展和数字农业农村中心城市建设中的作用。深入实施乡村振兴巾帼行动，大力开展乡村振兴巾帼基地建设，发挥农业产业化联合体作用，鼓励支持妇女创办领办新型农业经营主体和社会化服务组织。加强高素质女农民培育，引导女农民争做乡村工匠、文化能人、手工艺人、农技协领办人和新型农业管理经营能手。</w:t>
      </w:r>
    </w:p>
    <w:p>
      <w:pPr>
        <w:pStyle w:val="5"/>
        <w:spacing w:line="560" w:lineRule="exact"/>
        <w:ind w:firstLine="640"/>
        <w:rPr>
          <w:rFonts w:ascii="Times New Roman" w:hAnsi="Times New Roman"/>
          <w:b w:val="0"/>
          <w:bCs/>
          <w:lang w:eastAsia="zh-CN"/>
        </w:rPr>
      </w:pPr>
      <w:bookmarkStart w:id="352" w:name="_Toc17916"/>
      <w:r>
        <w:rPr>
          <w:rFonts w:hint="eastAsia" w:ascii="Times New Roman" w:hAnsi="Times New Roman"/>
          <w:b w:val="0"/>
          <w:bCs/>
          <w:lang w:eastAsia="zh-CN"/>
        </w:rPr>
        <w:t>（四）妇女参与决策和管理</w:t>
      </w:r>
      <w:bookmarkEnd w:id="352"/>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1.主要目标</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（1）妇女参与国家和社会事务管理的水平全面提升，在社会主义民主政治建设和社会治理中的作用日益增强。（牵头单位：区委组织部。责任单位：区民政局、区妇联）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（2）中国共产党女党员保持合理比例。中国共产党全区各级党员代表大会中女党员代表比例一般不低于本地区党员总数中女性比例。（牵头单位：区委组织部。责任单位：区农业农村局、区妇联）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（3）积极推动有关方面逐步提高各级人大代表和常委会组成人员中的女性比例及各级政协委员和常委中的女性比例。（牵头单位：区委组织部、区委统战部）</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（4）区委、区人大、区政府、区政协和各镇（街道）党委、政府领导班子至少各配备1名女干部。（牵头单位：区委组织部）</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（5）担任区县党政正职的女干部要有一定数量。全区范围内，镇（街道）党政正职中至少配备1名女干部。（牵头单位：区委组织部）</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（6）区党政工作部门，应保证一半以上的领导班子配备女干部，其中担任正职的一般不少于3人。（牵头单位：区委组织部）</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（7）各级各类事业单位领导班子成员中的女性比例逐步提高。（牵头单位：区委组织部。责任单位：区人力资源社会保障局）</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（8）企业董事会、监事会成员及管理层中女性比例逐步提高。企事业单位职工代表大会中女性比例与女职工比例相适应。（牵头单位：区委组织部、区总工会、区国资局。责任单位：区人力资源社会保障局）</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（9）村党组织成员、村党组织书记中女性比例逐步提高。村委会成员中女性比例保持在30%以上，村委会主任中女性比例逐步提高。（牵头单位：区委组织部。责任单位：区民政局、区妇联）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（10）社区党组织成员、社区党组织书记中女性比例逐步提高。社区居委会成员中女性比例保持在50%左右，社区居委会主任中女性比例达到35%左右。（牵头单位：区委组织部。责任单位：区民政局、区妇联）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（11）鼓励支持女性参与社会组织、担任社会组织负责人。（牵头单位：区妇联。责任单位：区民政局、各区管社会组织业务主管单位）</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（12）提高各级妇女联合会、工会女职工委员会等妇女组织参与国家和社会事务管理水平。（牵头单位：区委办公室。责任单位：区委组织部、区发展改革局、区司法局、区民政局、区总工会、区妇联）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2.策略措施</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（1）提高妇女参与决策管理的意识和能力。广泛开展宣传教育，提高妇女参与国家和社会事务管理的意识。</w:t>
      </w:r>
      <w:r>
        <w:rPr>
          <w:rFonts w:hint="eastAsia" w:ascii="Times New Roman" w:hAnsi="Times New Roman" w:eastAsia="仿宋_GB2312" w:cs="仿宋_GB2312"/>
          <w:sz w:val="32"/>
          <w:szCs w:val="32"/>
          <w:shd w:val="clear" w:color="auto" w:fill="FFFFFF"/>
        </w:rPr>
        <w:t>加大基层妇女骨干培训力度，提高妇女在自治、法治、德治中的参与意识和能力，鼓励妇女积极参与村（居）民议事会、理事会等自治组织，推进村（社区）妇女议事会实现全覆盖并有效运行，发挥妇女在城乡基层治理中的积极作用。开展女性领导干部政治素质和领导能力培训</w:t>
      </w:r>
      <w:r>
        <w:rPr>
          <w:rFonts w:hint="eastAsia" w:ascii="Times New Roman" w:hAnsi="Times New Roman" w:eastAsia="仿宋_GB2312" w:cs="仿宋"/>
          <w:sz w:val="32"/>
          <w:szCs w:val="32"/>
        </w:rPr>
        <w:t>，培养年轻女性的政治素养和参与决策管理的能力。</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（2）加大妇女参与决策和管理的支持力度。</w:t>
      </w:r>
      <w:r>
        <w:rPr>
          <w:rFonts w:hint="eastAsia" w:ascii="Times New Roman" w:hAnsi="Times New Roman" w:eastAsia="仿宋_GB2312" w:cs="仿宋_GB2312"/>
          <w:sz w:val="32"/>
          <w:szCs w:val="32"/>
          <w:shd w:val="clear" w:color="auto" w:fill="FFFFFF"/>
        </w:rPr>
        <w:t>充分发挥妇女参与国家和社会事务管理的重要作用</w:t>
      </w:r>
      <w:r>
        <w:rPr>
          <w:rFonts w:hint="eastAsia" w:ascii="Times New Roman" w:hAnsi="Times New Roman" w:eastAsia="仿宋_GB2312" w:cs="仿宋"/>
          <w:sz w:val="32"/>
          <w:szCs w:val="32"/>
        </w:rPr>
        <w:t>，破除制约妇女参与决策和管理的障碍，</w:t>
      </w:r>
      <w:r>
        <w:rPr>
          <w:rFonts w:hint="eastAsia" w:ascii="Times New Roman" w:hAnsi="Times New Roman" w:eastAsia="仿宋_GB2312" w:cs="仿宋_GB2312"/>
          <w:sz w:val="32"/>
          <w:szCs w:val="32"/>
          <w:shd w:val="clear" w:color="auto" w:fill="FFFFFF"/>
        </w:rPr>
        <w:t>促进妇女参与决策和管理水平与妇女地位作用相适应</w:t>
      </w:r>
      <w:r>
        <w:rPr>
          <w:rFonts w:hint="eastAsia" w:ascii="Times New Roman" w:hAnsi="Times New Roman" w:eastAsia="仿宋_GB2312" w:cs="仿宋"/>
          <w:sz w:val="32"/>
          <w:szCs w:val="32"/>
        </w:rPr>
        <w:t>。加大培训力度，提高各级领导干部培养选拔女干部的宪法意识和贯彻落实男女平等基本国策的能力，始终把培养选拔女干部工作放到整体干部队伍建设规划中研究部署，做好女干部的培养、选拔和任用工作。把推动妇女参政纳入重要议程，提出目标举措。</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（3）重视发展中国共产党女党员。面向妇女深入开展思想政治工作，扩大党的妇女群众基础，培养对党的感情，深化对党的认识，引导拥护党的主张，激发妇女入党的政治意愿。</w:t>
      </w:r>
      <w:r>
        <w:rPr>
          <w:rFonts w:hint="eastAsia" w:ascii="Times New Roman" w:hAnsi="Times New Roman" w:eastAsia="仿宋_GB2312" w:cs="仿宋_GB2312"/>
          <w:sz w:val="32"/>
          <w:szCs w:val="32"/>
          <w:shd w:val="clear" w:color="auto" w:fill="FFFFFF"/>
        </w:rPr>
        <w:t>注重从各行各业青年女性中发展党员，</w:t>
      </w:r>
      <w:r>
        <w:rPr>
          <w:rFonts w:hint="eastAsia" w:ascii="Times New Roman" w:hAnsi="Times New Roman" w:eastAsia="仿宋_GB2312" w:cs="仿宋"/>
          <w:sz w:val="32"/>
          <w:szCs w:val="32"/>
        </w:rPr>
        <w:t>保证发展党员计划中优秀年轻女党员有一定比例。在党代表候选人酝酿过程中，充分关注政治过硬、作风优良、敢于担当、实绩突出的优秀妇女，确保党员代表大会中女党员代表保持合理比例。</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4）提高人大女代表、政协女委员比例。落实人大代表选举规则和程序，在选区划分、代表名额分配、候选人推荐、选举等环节，保障妇女享有平等权利和机会。重视从基层、生产一线推荐人大代表女性候选人，候选人中应当有适当数量的妇女代表，并逐步提高妇女代表的比例。提名推荐、协商确定政协委员建议名单时，保障提名一定比例的妇女。充分发挥人大女代表、政协女委员在发展社会主义民主政治和男女平等事业中的积极作用。</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（5）加大培养选拔女干部工作力度。培养忠诚干净担当的高素质专业化女干部，促进女干部不断增强</w:t>
      </w:r>
      <w:r>
        <w:rPr>
          <w:rFonts w:hint="eastAsia" w:ascii="Times New Roman" w:hAnsi="Times New Roman" w:eastAsia="仿宋_GB2312" w:cs="仿宋_GB2312"/>
          <w:sz w:val="32"/>
          <w:szCs w:val="32"/>
          <w:shd w:val="clear" w:color="auto" w:fill="FFFFFF"/>
        </w:rPr>
        <w:t>学习本领、政治领导本领、改革创新本领、科学发展本领、依法执政本领、群众工作本领、狠抓落实本领、驾驭风险本领</w:t>
      </w:r>
      <w:r>
        <w:rPr>
          <w:rFonts w:hint="eastAsia" w:ascii="Times New Roman" w:hAnsi="Times New Roman" w:eastAsia="仿宋_GB2312" w:cs="仿宋"/>
          <w:sz w:val="32"/>
          <w:szCs w:val="32"/>
        </w:rPr>
        <w:t>。优化女干部成长路径，注重日常培养和战略培养，为女干部参加教育培训、交流任职、挂职锻炼创造条件和机会。注重从基层、生产一线培养选拔女干部，注重选拔女干部到重要部门、关键岗位担任领导职务。注重保持优秀年轻干部队伍中女干部的合理比例。落实女干部选拔配备的目标任务，在保证质量的前提下应配尽配。保障妇女在干部录用、选拔、聘（任）用、晋升、退休各环节不因性别受到歧视。</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6）推动妇女积极参与事业单位决策管理。培养选拔优秀女性专业技术人员进入决策管理层。重视在卫生、教育、文化等女性集中的行业提高决策管理层中的女性比例，鼓励妇女积极参与本单位党建和群团组织建设，促进事业单位职工代表大会中的女代表比例与</w:t>
      </w:r>
      <w:r>
        <w:rPr>
          <w:rFonts w:hint="eastAsia" w:ascii="Times New Roman" w:hAnsi="Times New Roman" w:eastAsia="仿宋_GB2312" w:cs="仿宋_GB2312"/>
          <w:sz w:val="32"/>
          <w:szCs w:val="32"/>
          <w:shd w:val="clear" w:color="auto" w:fill="FFFFFF"/>
        </w:rPr>
        <w:t>事业单位</w:t>
      </w:r>
      <w:r>
        <w:rPr>
          <w:rFonts w:hint="eastAsia" w:ascii="Times New Roman" w:hAnsi="Times New Roman" w:eastAsia="仿宋_GB2312" w:cs="仿宋"/>
          <w:sz w:val="32"/>
          <w:szCs w:val="32"/>
        </w:rPr>
        <w:t>女职工比例相适应。在深化事业单位改革进程中，确保妇女在职务晋升、职称评聘等方面享有平等的权利和机会。</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7）推动妇女广泛参与企业决策管理。将女干部选拔配备纳入国有企业领导班子和干部队伍建设规划，加大培养、选拔、使用力度。在深化企业人事制度改革进程中，采取组织推荐、公开招聘、民主推荐等方式，促进优秀妇女进入企业董事会、监事会和管理层。完善企业民主管理制度，促进企业职工代表大会中女职工代表比例与企业女职工比例相适应，支持女职工通过职工代表大会等形式参与企业民主决策、民主管理和民主监督。企业制定相关规章制度，对涉及女职工权益的事项，听取工会女职工委员会的意见，依法经职工代表大会审议通过。</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（8）</w:t>
      </w:r>
      <w:r>
        <w:rPr>
          <w:rFonts w:hint="eastAsia" w:ascii="Times New Roman" w:hAnsi="Times New Roman" w:eastAsia="仿宋_GB2312" w:cs="仿宋_GB2312"/>
          <w:sz w:val="32"/>
          <w:szCs w:val="32"/>
          <w:shd w:val="clear" w:color="auto" w:fill="FFFFFF"/>
        </w:rPr>
        <w:t>推动妇女有序参与城乡基层社会治理。</w:t>
      </w:r>
      <w:r>
        <w:rPr>
          <w:rFonts w:hint="eastAsia" w:ascii="Times New Roman" w:hAnsi="Times New Roman" w:eastAsia="仿宋_GB2312" w:cs="仿宋"/>
          <w:sz w:val="32"/>
          <w:szCs w:val="32"/>
        </w:rPr>
        <w:t>注重从女致富能手、外出务工经商返乡女性、本乡本土女大学毕业生、女社区专职工作者、女专职网格员、巾帼志愿者骨干、退休女性等人员中培养选拔村（社区）干部。在村（社区）“两委”换届工作中，通过提名确定女性候选人、女性委员专职专选、女性成员缺位增补等措施，提高村（居）委员会成员、村（居）委员会主任中的女性比例。组织妇女积极参与村规民约、居民公约的制定修订，开展协商议事活动。促进新社会阶层、社会工作者和志愿者中的女性积极参与社会治理。</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9）支持引导妇女参与社会组织。优化社会组织发展的制度环境，加大以女性为成员主体或以女性为主要从业人员的社会组织的培育力度，加强支持和指导服务，促进其健康有序发展并积极参与社会组织协商。鼓励支持更多女性成为社会组织成员或从业人员，加强对社会组织女性专业人才和管理人才的培养，注重发现培养社会组织女性负责人。</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10）发挥妇联组织在推进国家治理体系和治理能力现代化进程中的作用。支持妇联组织履行代表妇女参与管理国家事务、经济文化事业和社会事务的职责，强化妇联组织参与民主决策、民主管理、民主监督，参与制定规范性文件，参与社会治理和公共服务的制度保障。在制定有关促进男女平等和保障妇女合法权益的规范性文件以及选拔培养女干部工作中，充分听取妇联组织意见和建议。</w:t>
      </w:r>
    </w:p>
    <w:p>
      <w:pPr>
        <w:pStyle w:val="5"/>
        <w:spacing w:line="560" w:lineRule="exact"/>
        <w:ind w:firstLine="640"/>
        <w:rPr>
          <w:rFonts w:ascii="Times New Roman" w:hAnsi="Times New Roman"/>
          <w:b w:val="0"/>
          <w:bCs/>
          <w:lang w:eastAsia="zh-CN"/>
        </w:rPr>
      </w:pPr>
      <w:bookmarkStart w:id="353" w:name="_Toc3676"/>
      <w:r>
        <w:rPr>
          <w:rFonts w:hint="eastAsia" w:ascii="Times New Roman" w:hAnsi="Times New Roman"/>
          <w:b w:val="0"/>
          <w:bCs/>
          <w:lang w:eastAsia="zh-CN"/>
        </w:rPr>
        <w:t>（五）妇女与社会保障</w:t>
      </w:r>
      <w:bookmarkEnd w:id="353"/>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1.主要目标</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（1）妇女平等享有社会保障权益，</w:t>
      </w:r>
      <w:r>
        <w:rPr>
          <w:rFonts w:hint="eastAsia" w:ascii="Times New Roman" w:hAnsi="Times New Roman" w:eastAsia="仿宋_GB2312" w:cs="仿宋_GB2312"/>
          <w:sz w:val="32"/>
          <w:szCs w:val="32"/>
          <w:shd w:val="clear" w:color="auto" w:fill="FFFFFF"/>
        </w:rPr>
        <w:t>保障水平不断提高</w:t>
      </w:r>
      <w:r>
        <w:rPr>
          <w:rFonts w:hint="eastAsia" w:ascii="Times New Roman" w:hAnsi="Times New Roman" w:eastAsia="仿宋_GB2312" w:cs="仿宋"/>
          <w:sz w:val="32"/>
          <w:szCs w:val="32"/>
        </w:rPr>
        <w:t>。（牵头单位：区人力资源社会保障局。责任单位：区财政局、市医保局张店分局、区民政局、区总工会）</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（2）完善生育保障制度。提高生育保险参保率。（牵头单位：市医保局张店分局。责任单位：区财政局、区卫生健康局、区总工会、区税务局）</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（3）完善医疗保障体系。妇女基本医疗保险参保率稳定在95%以上，待遇保障公平适度。（牵头单位：市医保局张店分局。责任单位：区卫生健康局、区财政局、区总工会、区税务局）</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（4）完善基本养老保险体系。符合参保条件的</w:t>
      </w:r>
      <w:r>
        <w:rPr>
          <w:rFonts w:hint="eastAsia" w:ascii="Times New Roman" w:hAnsi="Times New Roman" w:eastAsia="仿宋_GB2312" w:cs="仿宋_GB2312"/>
          <w:sz w:val="32"/>
          <w:szCs w:val="32"/>
          <w:shd w:val="clear" w:color="auto" w:fill="FFFFFF"/>
        </w:rPr>
        <w:t>妇女基本养老保险参保率达到95%</w:t>
      </w:r>
      <w:r>
        <w:rPr>
          <w:rFonts w:hint="eastAsia" w:ascii="Times New Roman" w:hAnsi="Times New Roman" w:eastAsia="仿宋_GB2312" w:cs="仿宋"/>
          <w:sz w:val="32"/>
          <w:szCs w:val="32"/>
        </w:rPr>
        <w:t>，待遇水平稳步提高。（牵头单位：区人力资源社会保障局。责任单位：区卫生健康局、区财政局、区总工会、区税务局）</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（5）完善失业保险和工伤保险制度。提高妇女失业保险和工伤保险参保人数，落实相</w:t>
      </w:r>
      <w:r>
        <w:rPr>
          <w:rFonts w:hint="eastAsia" w:ascii="Times New Roman" w:hAnsi="Times New Roman" w:eastAsia="仿宋_GB2312" w:cs="仿宋_GB2312"/>
          <w:sz w:val="32"/>
          <w:szCs w:val="32"/>
          <w:shd w:val="clear" w:color="auto" w:fill="FFFFFF"/>
        </w:rPr>
        <w:t>关待遇保障。</w:t>
      </w:r>
      <w:r>
        <w:rPr>
          <w:rFonts w:hint="eastAsia" w:ascii="Times New Roman" w:hAnsi="Times New Roman" w:eastAsia="仿宋_GB2312" w:cs="仿宋"/>
          <w:sz w:val="32"/>
          <w:szCs w:val="32"/>
        </w:rPr>
        <w:t>（牵头单位：区人力资源社会保障局。责任单位：区财政局、区总工会、区税务局）</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（6）健全分层分类社会救助体系。</w:t>
      </w:r>
      <w:r>
        <w:rPr>
          <w:rFonts w:hint="eastAsia" w:ascii="Times New Roman" w:hAnsi="Times New Roman" w:eastAsia="仿宋_GB2312" w:cs="仿宋_GB2312"/>
          <w:sz w:val="32"/>
          <w:szCs w:val="32"/>
          <w:shd w:val="clear" w:color="auto" w:fill="FFFFFF"/>
        </w:rPr>
        <w:t>困难妇女的生活得到基本保障</w:t>
      </w:r>
      <w:r>
        <w:rPr>
          <w:rFonts w:hint="eastAsia" w:ascii="Times New Roman" w:hAnsi="Times New Roman" w:eastAsia="仿宋_GB2312" w:cs="仿宋"/>
          <w:sz w:val="32"/>
          <w:szCs w:val="32"/>
        </w:rPr>
        <w:t>。（牵头单位：区民政局。责任单位：区财政局、市医保局张店分局、区教体局、区人力资源社会保障局、区应急管理局、区总工会、区妇联、区残联、团区委）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7）建立完善多层次养老服务和长期照护保障制度。保障老年妇女享有均等可及的基本养老服务，对失能妇女的照护服务水平不断提高。（牵头单位：区民政局、市医保局张店分局。责任单位：区卫生健康局、区人力资源社会保障局、区财政局、区住房城乡建设局）</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（8）</w:t>
      </w:r>
      <w:r>
        <w:rPr>
          <w:rFonts w:hint="eastAsia" w:ascii="Times New Roman" w:hAnsi="Times New Roman" w:eastAsia="仿宋_GB2312" w:cs="仿宋_GB2312"/>
          <w:sz w:val="32"/>
          <w:szCs w:val="32"/>
          <w:shd w:val="clear" w:color="auto" w:fill="FFFFFF"/>
        </w:rPr>
        <w:t>加强对妇女的关爱服务，重点为有困难、有需求的妇女提供帮扶。</w:t>
      </w:r>
      <w:r>
        <w:rPr>
          <w:rFonts w:hint="eastAsia" w:ascii="Times New Roman" w:hAnsi="Times New Roman" w:eastAsia="仿宋_GB2312" w:cs="仿宋"/>
          <w:sz w:val="32"/>
          <w:szCs w:val="32"/>
        </w:rPr>
        <w:t>（牵头单位：区民政局、区妇联。责任单位：区乡村振兴局、张店公安分局、区司法局、区财政局、区人力资源社会保障局、区卫生健康局、区文化和旅游局、区教体局、区残联）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2.策略措施</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（1）完善惠及妇女群体的社会保障体系。在制定修订相关规范性文件过程中，关切和保障妇女的特殊利益和需求。持续推动社会保险参保扩面，支持灵活就业女</w:t>
      </w:r>
      <w:r>
        <w:rPr>
          <w:rFonts w:hint="eastAsia" w:ascii="Times New Roman" w:hAnsi="Times New Roman" w:eastAsia="仿宋_GB2312" w:cs="仿宋_GB2312"/>
          <w:sz w:val="32"/>
          <w:szCs w:val="32"/>
          <w:shd w:val="clear" w:color="auto" w:fill="FFFFFF"/>
        </w:rPr>
        <w:t>性和新业态就业女性参加相应社会保险</w:t>
      </w:r>
      <w:r>
        <w:rPr>
          <w:rFonts w:hint="eastAsia" w:ascii="Times New Roman" w:hAnsi="Times New Roman" w:eastAsia="仿宋_GB2312" w:cs="仿宋"/>
          <w:sz w:val="32"/>
          <w:szCs w:val="32"/>
        </w:rPr>
        <w:t>，推进符合条件的妇女应保尽保。加强社会保障分性别统计、信息动态监测和管理。</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完善覆盖城乡妇女的生育保障制度。健全完善生育保险制度机制。落实《山东省企业职工生育保险规定》《山东省女职工劳动保护办法》等规定，提高生育保险与职工基本医疗保险合并实施成效，保障女职工生育保险待遇。参加生育保险男职工的未就业配偶，符合计划生育政策规定生育，未享受生育医疗费待遇的，按照女职工生育医疗费标准的50%享受生育医疗费待遇。妥善解决妇女在就业和失业期间生育保障问题。做好城乡居民医疗保险参保人员生育医疗费用保障工作。</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3）不断提高妇女医疗保障水平。推动女职工和城乡女性居民持续参加基本医疗保险，满足妇女基本医疗保障需求。统筹发挥基本医保、大病保险、医疗救助三重制度综合保障，促进多层次医疗保障互补衔接，做好符合条件的低收入妇女医疗救助。</w:t>
      </w:r>
      <w:r>
        <w:rPr>
          <w:rFonts w:hint="eastAsia" w:ascii="Times New Roman" w:hAnsi="Times New Roman" w:eastAsia="仿宋_GB2312" w:cs="仿宋_GB2312"/>
          <w:sz w:val="32"/>
          <w:szCs w:val="32"/>
          <w:shd w:val="clear" w:color="auto" w:fill="FFFFFF"/>
        </w:rPr>
        <w:t>推进建立女职工医疗互助，充分发挥商业保险对宫颈癌、乳腺癌等重大疾病的保障作用。</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（4）促进妇女享有可持续多层次养老保险。建立完善基本养老保险统筹制度。</w:t>
      </w:r>
      <w:r>
        <w:rPr>
          <w:rFonts w:hint="eastAsia" w:ascii="Times New Roman" w:hAnsi="Times New Roman" w:eastAsia="仿宋_GB2312" w:cs="仿宋_GB2312"/>
          <w:sz w:val="32"/>
          <w:szCs w:val="32"/>
          <w:shd w:val="clear" w:color="auto" w:fill="FFFFFF"/>
        </w:rPr>
        <w:t>督促用人单位依法为包括女职工在内的全体职工及时足额缴纳基本养老保险费，不断增加妇女参加基本养老保险的人数，促进妇女依法公平享有基本养老保险权益。鼓励有条件的用人单位为包括女职工在内的全体职工建立企业年金，规范发展商业养老保险产品，提高妇女养老保险水平。</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（5）保障女性的失业保险权益。督促用人单位依法为女职工办理失业保险，提高女职工</w:t>
      </w:r>
      <w:r>
        <w:rPr>
          <w:rFonts w:hint="eastAsia" w:ascii="Times New Roman" w:hAnsi="Times New Roman" w:eastAsia="仿宋_GB2312" w:cs="仿宋_GB2312"/>
          <w:sz w:val="32"/>
          <w:szCs w:val="32"/>
          <w:shd w:val="clear" w:color="auto" w:fill="FFFFFF"/>
        </w:rPr>
        <w:t>特别是进城务工女性</w:t>
      </w:r>
      <w:r>
        <w:rPr>
          <w:rFonts w:hint="eastAsia" w:ascii="Times New Roman" w:hAnsi="Times New Roman" w:eastAsia="仿宋_GB2312" w:cs="仿宋"/>
          <w:sz w:val="32"/>
          <w:szCs w:val="32"/>
        </w:rPr>
        <w:t>的参保率。保障符合条件的失业女职工按时享有失业保险待遇。强化失业保险促就业防失业功能，支持女职工稳定就业。适时制定特殊时期失业保障政策</w:t>
      </w:r>
      <w:r>
        <w:rPr>
          <w:rFonts w:hint="eastAsia" w:ascii="Times New Roman" w:hAnsi="Times New Roman" w:eastAsia="仿宋_GB2312" w:cs="仿宋_GB2312"/>
          <w:sz w:val="32"/>
          <w:szCs w:val="32"/>
          <w:shd w:val="clear" w:color="auto" w:fill="FFFFFF"/>
        </w:rPr>
        <w:t>，为包括女职工在内的劳动者提供失业保障</w:t>
      </w:r>
      <w:r>
        <w:rPr>
          <w:rFonts w:hint="eastAsia" w:ascii="Times New Roman" w:hAnsi="Times New Roman" w:eastAsia="仿宋_GB2312" w:cs="仿宋"/>
          <w:sz w:val="32"/>
          <w:szCs w:val="32"/>
        </w:rPr>
        <w:t>。</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6）扩大妇女工伤保险覆盖面。增强工伤保险预防工伤、保障生活、促进康复的功能，探索建立新业态领域职业伤害参保机制，将新业态就业妇女纳入参保范围。督促用人单位特别是高风险行业单位依法为女职工办理工伤保险，确保落实工伤保险待遇。</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（7）强化社会救助对</w:t>
      </w:r>
      <w:r>
        <w:rPr>
          <w:rFonts w:hint="eastAsia" w:ascii="Times New Roman" w:hAnsi="Times New Roman" w:eastAsia="仿宋_GB2312" w:cs="仿宋_GB2312"/>
          <w:sz w:val="32"/>
          <w:szCs w:val="32"/>
          <w:shd w:val="clear" w:color="auto" w:fill="FFFFFF"/>
        </w:rPr>
        <w:t>生活</w:t>
      </w:r>
      <w:r>
        <w:rPr>
          <w:rFonts w:hint="eastAsia" w:ascii="Times New Roman" w:hAnsi="Times New Roman" w:eastAsia="仿宋_GB2312" w:cs="仿宋"/>
          <w:sz w:val="32"/>
          <w:szCs w:val="32"/>
        </w:rPr>
        <w:t>困难妇女的兜底保障。</w:t>
      </w:r>
      <w:r>
        <w:rPr>
          <w:rFonts w:hint="eastAsia" w:ascii="Times New Roman" w:hAnsi="Times New Roman" w:eastAsia="仿宋_GB2312" w:cs="仿宋_GB2312"/>
          <w:sz w:val="32"/>
          <w:szCs w:val="32"/>
          <w:shd w:val="clear" w:color="auto" w:fill="FFFFFF"/>
        </w:rPr>
        <w:t>推进法律实施，强化政策衔接，健全基本生活救助制度和医疗、教育、住房、就业、受灾人员等专项救助制度，健全临时救助政策措施，强化急难社会</w:t>
      </w:r>
      <w:r>
        <w:rPr>
          <w:rFonts w:hint="eastAsia" w:ascii="Times New Roman" w:hAnsi="Times New Roman" w:eastAsia="仿宋_GB2312" w:cs="仿宋"/>
          <w:sz w:val="32"/>
          <w:szCs w:val="32"/>
        </w:rPr>
        <w:t>救助</w:t>
      </w:r>
      <w:r>
        <w:rPr>
          <w:rFonts w:hint="eastAsia" w:ascii="Times New Roman" w:hAnsi="Times New Roman" w:eastAsia="仿宋_GB2312" w:cs="仿宋_GB2312"/>
          <w:sz w:val="32"/>
          <w:szCs w:val="32"/>
          <w:shd w:val="clear" w:color="auto" w:fill="FFFFFF"/>
        </w:rPr>
        <w:t>功能，积极发展服务类社会救助，推进政府购买社会救助服务，确保符合条件的妇女应救尽救。鼓励、支持慈善组织依法依规为生活困难妇女提供救助帮扶。</w:t>
      </w:r>
      <w:r>
        <w:rPr>
          <w:rFonts w:hint="eastAsia" w:ascii="Times New Roman" w:hAnsi="Times New Roman" w:eastAsia="仿宋_GB2312" w:cs="仿宋"/>
          <w:sz w:val="32"/>
          <w:szCs w:val="32"/>
        </w:rPr>
        <w:t>推动建立统一的救助信息平台，加强社会救助分性别统计，精准识别救助对象。</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（8）更好满足妇女群体的社会福利需求。</w:t>
      </w:r>
      <w:r>
        <w:rPr>
          <w:rFonts w:hint="eastAsia" w:ascii="Times New Roman" w:hAnsi="Times New Roman" w:eastAsia="仿宋_GB2312" w:cs="仿宋_GB2312"/>
          <w:sz w:val="32"/>
          <w:szCs w:val="32"/>
          <w:shd w:val="clear" w:color="auto" w:fill="FFFFFF"/>
        </w:rPr>
        <w:t>完善经济困难高龄失能老年人补贴制度，落实各项补贴待遇，逐步提升老年妇女福利水平。完善残疾人补贴制度，动态调整、合理确定困难残疾人生活补贴和重度残疾人护理补贴标准，扩大适合残疾妇女特殊需求的公共服务供给。</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（9）保障妇女享有基本养老服务。加快建设居家社区机构相协调、医养康养相结合的养老服务体系</w:t>
      </w:r>
      <w:r>
        <w:rPr>
          <w:rFonts w:hint="eastAsia" w:ascii="Times New Roman" w:hAnsi="Times New Roman" w:eastAsia="仿宋_GB2312" w:cs="仿宋_GB2312"/>
          <w:sz w:val="32"/>
          <w:szCs w:val="32"/>
          <w:shd w:val="clear" w:color="auto" w:fill="FFFFFF"/>
        </w:rPr>
        <w:t>，大力发展普惠型养老服务</w:t>
      </w:r>
      <w:r>
        <w:rPr>
          <w:rFonts w:hint="eastAsia" w:ascii="Times New Roman" w:hAnsi="Times New Roman" w:eastAsia="仿宋_GB2312" w:cs="仿宋"/>
          <w:sz w:val="32"/>
          <w:szCs w:val="32"/>
        </w:rPr>
        <w:t>。充分发挥公办养老机构兜底保障作用。促进养老机构提供多元化、便利化、个性化服务，提高老年妇女生活照料、紧急救援、精神慰藉等服务水平。推动专业养老服务向家庭延伸，鼓励依托社区提供养老服务，支持邻里之间的互助式养老，推动居家适老化改造。</w:t>
      </w:r>
      <w:r>
        <w:rPr>
          <w:rFonts w:hint="eastAsia" w:ascii="Times New Roman" w:hAnsi="Times New Roman" w:eastAsia="仿宋_GB2312" w:cs="仿宋_GB2312"/>
          <w:sz w:val="32"/>
          <w:szCs w:val="32"/>
          <w:shd w:val="clear" w:color="auto" w:fill="FFFFFF"/>
        </w:rPr>
        <w:t>加大养老护理型人才培养力度，</w:t>
      </w:r>
      <w:r>
        <w:rPr>
          <w:rFonts w:hint="eastAsia" w:ascii="Times New Roman" w:hAnsi="Times New Roman" w:eastAsia="仿宋_GB2312" w:cs="仿宋"/>
          <w:sz w:val="32"/>
          <w:szCs w:val="32"/>
        </w:rPr>
        <w:t>建设高素质、专业化的养老服务队伍。</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（10）探索建立覆盖城乡妇女的多层次长期照护保障制度。推进职工长期护理保险制度试点，将符合条件的失能妇女</w:t>
      </w:r>
      <w:r>
        <w:rPr>
          <w:rFonts w:hint="eastAsia" w:ascii="Times New Roman" w:hAnsi="Times New Roman" w:eastAsia="仿宋_GB2312" w:cs="仿宋_GB2312"/>
          <w:sz w:val="32"/>
          <w:szCs w:val="32"/>
          <w:shd w:val="clear" w:color="auto" w:fill="FFFFFF"/>
        </w:rPr>
        <w:t>按规定</w:t>
      </w:r>
      <w:r>
        <w:rPr>
          <w:rFonts w:hint="eastAsia" w:ascii="Times New Roman" w:hAnsi="Times New Roman" w:eastAsia="仿宋_GB2312" w:cs="仿宋"/>
          <w:sz w:val="32"/>
          <w:szCs w:val="32"/>
        </w:rPr>
        <w:t>纳入保障范围，妥善解决其护理保障问题。</w:t>
      </w:r>
      <w:r>
        <w:rPr>
          <w:rFonts w:hint="eastAsia" w:ascii="Times New Roman" w:hAnsi="Times New Roman" w:eastAsia="仿宋_GB2312" w:cs="仿宋_GB2312"/>
          <w:sz w:val="32"/>
          <w:szCs w:val="32"/>
          <w:shd w:val="clear" w:color="auto" w:fill="FFFFFF"/>
        </w:rPr>
        <w:t>加强长期护理保险制度与长期照护服务体系有机衔接。探索建立相关保险、福利、救助相衔接的长期照护保障制度，</w:t>
      </w:r>
      <w:r>
        <w:rPr>
          <w:rFonts w:hint="eastAsia" w:ascii="Times New Roman" w:hAnsi="Times New Roman" w:eastAsia="仿宋_GB2312" w:cs="仿宋"/>
          <w:sz w:val="32"/>
          <w:szCs w:val="32"/>
        </w:rPr>
        <w:t>扩大养老机构护理型床位供给，</w:t>
      </w:r>
      <w:r>
        <w:rPr>
          <w:rFonts w:hint="eastAsia" w:ascii="Times New Roman" w:hAnsi="Times New Roman" w:eastAsia="仿宋_GB2312" w:cs="仿宋_GB2312"/>
          <w:sz w:val="32"/>
          <w:szCs w:val="32"/>
          <w:shd w:val="clear" w:color="auto" w:fill="FFFFFF"/>
        </w:rPr>
        <w:t>提高护理</w:t>
      </w:r>
      <w:r>
        <w:rPr>
          <w:rFonts w:hint="eastAsia" w:ascii="Times New Roman" w:hAnsi="Times New Roman" w:eastAsia="仿宋_GB2312" w:cs="仿宋"/>
          <w:sz w:val="32"/>
          <w:szCs w:val="32"/>
        </w:rPr>
        <w:t>服务质量。为家庭照料者提供照护培训、心理疏导等支持。</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（11）</w:t>
      </w:r>
      <w:r>
        <w:rPr>
          <w:rFonts w:hint="eastAsia" w:ascii="Times New Roman" w:hAnsi="Times New Roman" w:eastAsia="仿宋_GB2312" w:cs="仿宋_GB2312"/>
          <w:sz w:val="32"/>
          <w:szCs w:val="32"/>
          <w:shd w:val="clear" w:color="auto" w:fill="FFFFFF"/>
        </w:rPr>
        <w:t>提高对妇女的关爱服务水平。开展农村留守妇女关爱行动。对农村留守妇女进行摸底排查，建立完善以镇（街道）为单位的信息台账。积极为农村留守妇女创业发展搭建平台、提供服务。支持农村留守妇女参与乡村振兴和家庭文明建设，在乡村治理、邻里互助、留守老人儿童关爱服务中发挥积极作用。完善特殊困难失能留守老年人探访关爱制度，不断拓展对妇女群体的关爱服务，支持社会力量参与，重点为生活困难、残疾、重病等妇女群体提供权益保护、生活帮扶、精神抚慰等关爱服务</w:t>
      </w:r>
      <w:r>
        <w:rPr>
          <w:rFonts w:hint="eastAsia" w:ascii="Times New Roman" w:hAnsi="Times New Roman" w:eastAsia="仿宋_GB2312" w:cs="仿宋"/>
          <w:sz w:val="32"/>
          <w:szCs w:val="32"/>
        </w:rPr>
        <w:t>。</w:t>
      </w:r>
    </w:p>
    <w:p>
      <w:pPr>
        <w:pStyle w:val="5"/>
        <w:spacing w:line="560" w:lineRule="exact"/>
        <w:ind w:firstLine="640"/>
        <w:rPr>
          <w:rFonts w:ascii="Times New Roman" w:hAnsi="Times New Roman"/>
          <w:b w:val="0"/>
          <w:bCs/>
          <w:lang w:eastAsia="zh-CN"/>
        </w:rPr>
      </w:pPr>
      <w:bookmarkStart w:id="354" w:name="_Toc12802"/>
      <w:r>
        <w:rPr>
          <w:rFonts w:hint="eastAsia" w:ascii="Times New Roman" w:hAnsi="Times New Roman"/>
          <w:b w:val="0"/>
          <w:bCs/>
          <w:lang w:eastAsia="zh-CN"/>
        </w:rPr>
        <w:t>（六）妇女与法律</w:t>
      </w:r>
      <w:bookmarkEnd w:id="354"/>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1.主要目标</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（1）全面贯彻落实男女平等宪法原则和基本国策，健全完善保障妇女合法权益的政策体系。（责任单位：区妇儿工委各成员单位）</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（2）促进法规政策性别平等评估机制</w:t>
      </w:r>
      <w:r>
        <w:rPr>
          <w:rFonts w:hint="eastAsia" w:ascii="Times New Roman" w:hAnsi="Times New Roman" w:eastAsia="仿宋_GB2312" w:cs="仿宋_GB2312"/>
          <w:sz w:val="32"/>
          <w:szCs w:val="32"/>
          <w:shd w:val="clear" w:color="auto" w:fill="FFFFFF"/>
        </w:rPr>
        <w:t>规范化建设和</w:t>
      </w:r>
      <w:r>
        <w:rPr>
          <w:rFonts w:hint="eastAsia" w:ascii="Times New Roman" w:hAnsi="Times New Roman" w:eastAsia="仿宋_GB2312" w:cs="仿宋"/>
          <w:sz w:val="32"/>
          <w:szCs w:val="32"/>
        </w:rPr>
        <w:t>有效运行。（牵头单位：区妇儿工委办公室。责任单位：区法规政策性别平等评估机制联席会议各成员单位）</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（3）</w:t>
      </w:r>
      <w:r>
        <w:rPr>
          <w:rFonts w:hint="eastAsia" w:ascii="Times New Roman" w:hAnsi="Times New Roman" w:eastAsia="仿宋_GB2312" w:cs="仿宋_GB2312"/>
          <w:sz w:val="32"/>
          <w:szCs w:val="32"/>
          <w:shd w:val="clear" w:color="auto" w:fill="FFFFFF"/>
        </w:rPr>
        <w:t>妇女维护自身合法权益的意识和能力增强</w:t>
      </w:r>
      <w:r>
        <w:rPr>
          <w:rFonts w:hint="eastAsia" w:ascii="Times New Roman" w:hAnsi="Times New Roman" w:eastAsia="仿宋_GB2312" w:cs="仿宋"/>
          <w:sz w:val="32"/>
          <w:szCs w:val="32"/>
        </w:rPr>
        <w:t>。充分发挥妇女在法治张店建设中的作用。（责任单位：区妇儿工委各成员单位）</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4）深入实施反家庭暴力法律法规，预防和制止针对妇女的一切形式的家庭暴力。（牵头单位：区委政法委、张店公安分局。责任单位：区法院、区检察院、区司法局、区民政局、区卫生健康局、区妇联等区妇儿工委有关成员单位）</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（5）严厉打击拐卖妇女、性侵害妇女等违法犯罪行为。（牵头单位：张店公安分局。责任单位：区法院、区检察院、区司法局、区卫生健康局、区妇联等区妇儿工委有关成员单位）</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（6）提升预防和制止性骚扰的法治意识，有效遏制针对妇女的性骚扰。（牵头单位：区司法局、张店公安分局。责任单位：区法院、区检察院、区教体局、区总工会、区妇联等区妇儿工委有关成员单位）</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（7）严厉打击利用网络对妇女实施的违法犯罪行为。（牵头单位：张店公安分局、区委网信办。责任单位：区委宣传部、区法院、区检察院、区司法局、区文化和旅游局等区妇儿工委有关成员单位）</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8）保障妇女在家庭关系中的财产所有权、继承权，保障妇女对婚姻家庭关系中共同共有财产享有知情权和平等处理权。（责任单位：区法院、区检察院、区司法局、区民政局、区农业农村局、区妇联等区妇儿工委有关成员单位）</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（9）保障化妆品、卫生巾等用品的妇女消费者权益。（牵头单位：区市场监管局。责任单位：区卫生健康局）</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（10）依法为妇女提供公共法律服务。保障遭受侵害妇女获得及时有效的司法救助。（牵头单位：区司法局。责任单位：区法院、区民政局、区妇联）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2.策略措施</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推进男女平等宪法原则和基本国策贯彻落实到法治张店建设全过程。加大民法典、妇女权益保障法等法律法规的实施力度，加强执法检查和督查督办，保障侵害妇女权益案件获得公平公正处理。促进开展妇女权益保障领域的公益诉讼。将保障妇女权益相关内容纳入基层社会治理，纳入法治队伍建设、全民普法规划和群众性法治文化活动，增强全社会男女平等法治意识和法治素养。</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加强法规政策性别平等评估工作。发挥区法规政策性别平等评估机制作用，探索建立政策性别平等评估机制，明确评估范围和标准，规范评估流程，细化评估指标。加强规范性文件制定前研判、决策中贯彻、实施后评估的制度化建设。对现行规范性文件中违反男女平等基本国策的条款和内容进行清理。开展性别平等评估相关培训，加强专业化队伍建设，将男女平等基本国策落实到行政规范性文件制定实施全过程各环节。加强社会性别理论培训，将社会性别理论纳入司法和执法部门培训课程，提高司法和执法人员的社会性别意识。</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3）提升妇女法治意识和参与法治张店建设的能力。深入开展民法典等专项普法活动，提高妇女尊法学法守法用法的意识和能力。面向妇女提供法律咨询等服务，引导妇女自觉学习宪法和法律知识，增强法治观念，养成办事依法、遇事找法、解决问题用法、化解矛盾靠法的法治思维和行为习惯。鼓励妇女多途径参与司法和普法活动。充分发挥人大女代表、政协女委员、妇联组织、以女性为成员主体或者以女性为主要服务对象的社会组织等在法治张店建设中的作用。</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4）加大反家庭暴力法律法规的实施力度。建立健全反家庭暴力宣传教育体系，落实以案说法工作制度，提高全社会反家暴意识。健全完善预防和制止家庭暴力多部门合作机制，畅通部门信息共享渠道。强化预防排查，完善社区网格化家庭暴力重点监控机制。完善家庭暴力发现、报告、处置机制，强化学校、幼儿园、医疗机构等相关主体强制报告</w:t>
      </w:r>
      <w:r>
        <w:rPr>
          <w:rFonts w:hint="eastAsia" w:ascii="Times New Roman" w:hAnsi="Times New Roman" w:eastAsia="仿宋_GB2312" w:cs="仿宋_GB2312"/>
          <w:sz w:val="32"/>
          <w:szCs w:val="32"/>
          <w:shd w:val="clear" w:color="auto" w:fill="FFFFFF"/>
        </w:rPr>
        <w:t>意识，履行强制报告</w:t>
      </w:r>
      <w:r>
        <w:rPr>
          <w:rFonts w:hint="eastAsia" w:ascii="Times New Roman" w:hAnsi="Times New Roman" w:eastAsia="仿宋_GB2312" w:cs="仿宋"/>
          <w:sz w:val="32"/>
          <w:szCs w:val="32"/>
        </w:rPr>
        <w:t>义务。规范接警处警工作，</w:t>
      </w:r>
      <w:r>
        <w:rPr>
          <w:rFonts w:hint="eastAsia" w:ascii="Times New Roman" w:hAnsi="Times New Roman" w:eastAsia="仿宋_GB2312" w:cs="仿宋_GB2312"/>
          <w:sz w:val="32"/>
          <w:szCs w:val="32"/>
          <w:shd w:val="clear" w:color="auto" w:fill="FFFFFF"/>
        </w:rPr>
        <w:t>开展家庭暴力警情、出具告诫书情况统计</w:t>
      </w:r>
      <w:r>
        <w:rPr>
          <w:rFonts w:hint="eastAsia" w:ascii="Times New Roman" w:hAnsi="Times New Roman" w:eastAsia="仿宋_GB2312" w:cs="仿宋"/>
          <w:sz w:val="32"/>
          <w:szCs w:val="32"/>
        </w:rPr>
        <w:t>。提高人身安全保护令的审核签发率，加大执行力度。加快落实反家暴条例规定的因实施家庭暴力受到处罚作为不良信息被记入信用档案的加害人的惩戒。加强对受暴妇女的心理抚慰、身体康复和生活救助。加强对施暴者的教育警示、</w:t>
      </w:r>
      <w:r>
        <w:rPr>
          <w:rFonts w:hint="eastAsia" w:ascii="Times New Roman" w:hAnsi="Times New Roman" w:eastAsia="仿宋_GB2312" w:cs="仿宋_GB2312"/>
          <w:sz w:val="32"/>
          <w:szCs w:val="32"/>
          <w:shd w:val="clear" w:color="auto" w:fill="FFFFFF"/>
        </w:rPr>
        <w:t>心理辅导</w:t>
      </w:r>
      <w:r>
        <w:rPr>
          <w:rFonts w:hint="eastAsia" w:ascii="Times New Roman" w:hAnsi="Times New Roman" w:eastAsia="仿宋_GB2312" w:cs="仿宋"/>
          <w:sz w:val="32"/>
          <w:szCs w:val="32"/>
        </w:rPr>
        <w:t>和行为矫治。鼓励支持社会组织和社会工作者参与反家庭暴力工作，提供专业化服务。</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5）坚决打击拐卖妇女犯罪。完善落实预防、打击、救助、安置、康复为一体的反拐工作长效机制。坚持预防为主、防治结合，提高全社会的反拐意识以及妇女的自我防范意识和能力。深入实施反对拐卖人口行动计划，打击拐卖妇女犯罪团伙。整治“买方市场”，及时解救被拐妇女并帮助其正常融入社会。</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6）加大对组织、强迫、引诱、容留、介绍卖淫等犯罪行为的打击力度。加强网络治理，利用大数据完善违法信息过滤、举报等功能，严厉打击利用网络组织、强迫、引诱、容留、介绍妇女卖淫。依法加大对强迫、引诱幼女卖淫和智力残疾妇女卖淫的打击力度。加强社会治安综合治理，建立常态化整治机制，鼓励群众监督和举报涉黄违法犯罪行为。</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7）有效控制和严厉惩处强奸、猥亵、侮辱妇女特别是女童和智力、精神残疾妇女的违法犯罪行为。加强防性侵教育，提高妇女特别是女童的防性侵意识和能力。建立完善重点人群和家庭关爱服务机制、侵害案件发现报告制度、多部门联防联动机制和侵权案件推进工作督查制度。完善立案侦查制度，在区级医疗机构、公安机关执法办案中心、检察机关办案区及其他便于对被害人询问、取证、检查救治的场所建立“一站式”办案（取证）区，与其他办案、工作区隔离，设置专门进出通道，及时、全面、一次性收集固定证据，保障被害人安全和隐私，避免受害妇女遭受“二次伤害”。建立性侵害的违法犯罪人员信息查询系统，完善和落实从业禁止制度。加强受害妇女特别是女童的隐私保护、心理疏导和干预。</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8）预防和制止针对妇女的性骚扰。建立健全预防和制止性骚扰工作机制，加大对性骚扰行为的打击力度。加强联防联控，发挥典型案例指引作用。预防和制止公共场所和工作、学习等场所发生的性骚扰，推动机关、企事业、学校、社会组织等单位建立预防和制止性骚扰工作机制，加强日常管理、预防排查、受理投诉和调查处置，预防和制止利用职权、从属关系等实施性骚扰。畅通救济途径。多形式多渠道宣传防范性骚扰知识，提升妇女自我防范和制止性骚扰的意识能力。</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9）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提高妇女防范电信网络诈骗的意识能力，严厉打击采取非法网络贷款、虚假投资、咨询服务、传销等手段骗取妇女钱财的犯罪行为。</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10）在婚姻家庭和继承案件处理中依法保障妇女的财产权益。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无过错妇女依法获得损害赔偿。</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（11）加强对化妆品、妇女用药和卫生用品等妇女用品监督检查，依法查处假冒伪劣产品，保障妇女消费者权益。</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（12）为妇女提供优质高效的公共法律服务。推进公共法律服务实体、网络、热线三大平台融合发展，为妇女特别是低收入妇女、老年妇女、残疾妇女、单亲困难母亲等提供便捷高效、均等普惠的公共法律服务。</w:t>
      </w:r>
      <w:r>
        <w:rPr>
          <w:rFonts w:hint="eastAsia" w:ascii="Times New Roman" w:hAnsi="Times New Roman" w:eastAsia="仿宋_GB2312" w:cs="仿宋_GB2312"/>
          <w:sz w:val="32"/>
          <w:szCs w:val="32"/>
          <w:shd w:val="clear" w:color="auto" w:fill="FFFFFF"/>
        </w:rPr>
        <w:t>落实法律法规对妇女申请法律援助的相关规定，</w:t>
      </w:r>
      <w:r>
        <w:rPr>
          <w:rFonts w:hint="eastAsia" w:ascii="Times New Roman" w:hAnsi="Times New Roman" w:eastAsia="仿宋_GB2312" w:cs="仿宋"/>
          <w:sz w:val="32"/>
          <w:szCs w:val="32"/>
        </w:rPr>
        <w:t>保障妇女在刑事、民事、行政案件中享有诉讼代理和维权指导服务。加强维护妇女合法权益的法律援助类社会组织和专业律师、基层法律服务工作者队伍建设。保障特定案件中生活困难妇女能够获得司法救助。</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13）发挥妇联组织代表和维护妇女合法权益的职能作用。支持妇联组织健全联合约谈、联席会议、信息通报、调研督查、发布案例等工作制度，推动保障妇女权益规范性文件的制定实施，加强“12338”妇女维权公益服务热线建设，畅通妇女有序表达诉求的渠道。及时发现报告侵权问题，依法建议查处性别歧视事件或协调办理侵害妇女权益案件，</w:t>
      </w:r>
      <w:r>
        <w:rPr>
          <w:rFonts w:hint="eastAsia" w:ascii="Times New Roman" w:hAnsi="Times New Roman" w:eastAsia="仿宋_GB2312" w:cs="仿宋_GB2312"/>
          <w:sz w:val="32"/>
          <w:szCs w:val="32"/>
          <w:shd w:val="clear" w:color="auto" w:fill="FFFFFF"/>
        </w:rPr>
        <w:t>配合打击侵害妇女合法权益的违法犯罪行为，</w:t>
      </w:r>
      <w:r>
        <w:rPr>
          <w:rFonts w:hint="eastAsia" w:ascii="Times New Roman" w:hAnsi="Times New Roman" w:eastAsia="仿宋_GB2312" w:cs="仿宋"/>
          <w:sz w:val="32"/>
          <w:szCs w:val="32"/>
        </w:rPr>
        <w:t>为受侵害妇女提供帮助。</w:t>
      </w:r>
    </w:p>
    <w:p>
      <w:pPr>
        <w:pStyle w:val="5"/>
        <w:spacing w:line="560" w:lineRule="exact"/>
        <w:ind w:firstLine="640"/>
        <w:rPr>
          <w:rFonts w:ascii="Times New Roman" w:hAnsi="Times New Roman"/>
          <w:b w:val="0"/>
          <w:bCs/>
          <w:lang w:eastAsia="zh-CN"/>
        </w:rPr>
      </w:pPr>
      <w:bookmarkStart w:id="355" w:name="_Toc16111"/>
      <w:r>
        <w:rPr>
          <w:rFonts w:hint="eastAsia" w:ascii="Times New Roman" w:hAnsi="Times New Roman"/>
          <w:b w:val="0"/>
          <w:bCs/>
          <w:lang w:eastAsia="zh-CN"/>
        </w:rPr>
        <w:t>（七）妇女与家庭建设</w:t>
      </w:r>
      <w:bookmarkEnd w:id="355"/>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1.主要目标</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树立新时代家庭观，推动形成爱国爱家、相亲相爱、向上向善、共建共享的社会主义家庭文明新风尚，推动社会主义核心价值观在家庭落地生根。（牵头单位：区妇联。责任单位：区委宣传部、区委网信办、区教体局、区文化和旅游局、区融媒体中心等区妇儿工委有关成员单位）</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建立完善促进男女平等和妇女全面发展的家庭政策体系，增强家庭功能，提升家庭发展能力。（牵头单位：区妇联、区财政局。责任单位：区发展改革局、区卫生健康局、区商务局、区人力资源社会保障局、区民政局、区教体局）</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3）拓展支持家庭与妇女全面发展的公共服务。（牵头单位：区妇儿工委办公室、区发展改革局、区财政局。责任单位：区卫生健康局、区商务局、区人力资源社会保障局、区民政局、区教体局、区妇联、区残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（4）注重发挥家庭家教家风在基层社会治理中的重要作用，推动有常住庭院户的村（居）“美家超市”全覆盖。（牵头单位：区委政法委、区妇联。责任单位：区委组织部、区委宣传部、区民政局、区教体局）</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（5）注重发挥妇女在家庭生活中的独特作用，</w:t>
      </w:r>
      <w:r>
        <w:rPr>
          <w:rFonts w:hint="eastAsia" w:ascii="Times New Roman" w:hAnsi="Times New Roman" w:eastAsia="仿宋_GB2312" w:cs="仿宋_GB2312"/>
          <w:sz w:val="32"/>
          <w:szCs w:val="32"/>
          <w:shd w:val="clear" w:color="auto" w:fill="FFFFFF"/>
        </w:rPr>
        <w:t>弘扬中华民族家庭美德、树立良好家风，</w:t>
      </w:r>
      <w:r>
        <w:rPr>
          <w:rFonts w:hint="eastAsia" w:ascii="Times New Roman" w:hAnsi="Times New Roman" w:eastAsia="仿宋_GB2312" w:cs="仿宋"/>
          <w:sz w:val="32"/>
          <w:szCs w:val="32"/>
        </w:rPr>
        <w:t>支持妇女成为幸福安康家庭的建设者、倡导者和享有者。（牵头单位：区妇联。责任单位：区委宣传部、区委政法委、区教体局、区卫生健康局、区教体局、市生态环境局张店分局等区妇儿工委有关成员单位）</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6）倡导构建男女平等、和睦、文明的婚姻家庭关系，降低婚姻家庭纠纷对妇女发展的不利影响。（牵头单位：区妇联。责任单位：区民政局、区委宣传部、区卫生健康局、区法院、区司法局等区妇儿工委有关成员单位）</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7）倡导和支持男女共担家务，缩小两性家务劳动时间差距。（牵头单位：区妇联、区委宣传部。责任单位：区人力资源社会保障局、区商务局、区卫生健康局、区教体局、区总工会等区妇儿工委有关成员单位）</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（8）促进夫妻共同承担</w:t>
      </w:r>
      <w:r>
        <w:rPr>
          <w:rFonts w:hint="eastAsia" w:ascii="Times New Roman" w:hAnsi="Times New Roman" w:eastAsia="仿宋_GB2312" w:cs="仿宋_GB2312"/>
          <w:sz w:val="32"/>
          <w:szCs w:val="32"/>
          <w:shd w:val="clear" w:color="auto" w:fill="FFFFFF"/>
        </w:rPr>
        <w:t>未成年子女的抚养</w:t>
      </w:r>
      <w:r>
        <w:rPr>
          <w:rFonts w:hint="eastAsia" w:ascii="Times New Roman" w:hAnsi="Times New Roman" w:eastAsia="仿宋_GB2312" w:cs="仿宋"/>
          <w:sz w:val="32"/>
          <w:szCs w:val="32"/>
        </w:rPr>
        <w:t>、</w:t>
      </w:r>
      <w:r>
        <w:rPr>
          <w:rFonts w:hint="eastAsia" w:ascii="Times New Roman" w:hAnsi="Times New Roman" w:eastAsia="仿宋_GB2312" w:cs="仿宋_GB2312"/>
          <w:sz w:val="32"/>
          <w:szCs w:val="32"/>
          <w:shd w:val="clear" w:color="auto" w:fill="FFFFFF"/>
        </w:rPr>
        <w:t>教育、</w:t>
      </w:r>
      <w:r>
        <w:rPr>
          <w:rFonts w:hint="eastAsia" w:ascii="Times New Roman" w:hAnsi="Times New Roman" w:eastAsia="仿宋_GB2312" w:cs="仿宋"/>
          <w:sz w:val="32"/>
          <w:szCs w:val="32"/>
        </w:rPr>
        <w:t>保护责任，为未成年子女身心发展创造良好家庭环境。（牵头单位：区妇联、区教体局。责任单位：区民政局、张店公安分局、区司法局等区妇儿工委有关成员单位）</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（9）</w:t>
      </w:r>
      <w:r>
        <w:rPr>
          <w:rFonts w:hint="eastAsia" w:ascii="Times New Roman" w:hAnsi="Times New Roman" w:eastAsia="仿宋_GB2312" w:cs="仿宋_GB2312"/>
          <w:sz w:val="32"/>
          <w:szCs w:val="32"/>
          <w:shd w:val="clear" w:color="auto" w:fill="FFFFFF"/>
        </w:rPr>
        <w:t>支持家庭承担赡养老人责任，不断提升老年妇女家庭生活质量</w:t>
      </w:r>
      <w:r>
        <w:rPr>
          <w:rFonts w:hint="eastAsia" w:ascii="Times New Roman" w:hAnsi="Times New Roman" w:eastAsia="仿宋_GB2312" w:cs="仿宋"/>
          <w:sz w:val="32"/>
          <w:szCs w:val="32"/>
        </w:rPr>
        <w:t>。（牵头单位：区民政局、区卫生健康局。责任单位：区发展改革局、区人力资源社会保障局、区财政局、区司法局等区妇儿工委有关成员单位）</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2.策略措施</w:t>
      </w:r>
    </w:p>
    <w:p>
      <w:pPr>
        <w:spacing w:line="56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
          <w:sz w:val="32"/>
          <w:szCs w:val="32"/>
        </w:rPr>
        <w:t>（1）促进家庭成员践行社会主义核心价值观。加强教育引导、舆论宣传、文化熏陶、实践养成，</w:t>
      </w:r>
      <w:r>
        <w:rPr>
          <w:rFonts w:hint="eastAsia" w:ascii="Times New Roman" w:hAnsi="Times New Roman" w:eastAsia="仿宋_GB2312" w:cs="仿宋_GB2312"/>
          <w:sz w:val="32"/>
          <w:szCs w:val="32"/>
          <w:shd w:val="clear" w:color="auto" w:fill="FFFFFF"/>
        </w:rPr>
        <w:t>宣传尊老爱幼、男女平等、夫妻和睦、勤俭持家、邻里团结等家庭美德，弘扬中华民族优秀传统家风、革命前辈红色家风、践行社会主义核心价值观的现代家风，营造平等、文明、和谐、稳定的家庭环境，实现共建共享的家庭追求，引导妇女和家庭成员自觉把家庭梦融入中国梦。</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（2）实施促进男女平等和妇女全面发展的家庭领域政策措施。落实</w:t>
      </w:r>
      <w:r>
        <w:rPr>
          <w:rFonts w:hint="eastAsia" w:ascii="Times New Roman" w:hAnsi="Times New Roman" w:eastAsia="仿宋_GB2312" w:cs="仿宋_GB2312"/>
          <w:sz w:val="32"/>
          <w:szCs w:val="32"/>
          <w:shd w:val="clear" w:color="auto" w:fill="FFFFFF"/>
        </w:rPr>
        <w:t>人口生育相关法律法规政策，推动生育政策与经济社会政策配套衔接，落实</w:t>
      </w:r>
      <w:r>
        <w:rPr>
          <w:rFonts w:hint="eastAsia" w:ascii="Times New Roman" w:hAnsi="Times New Roman" w:eastAsia="仿宋_GB2312" w:cs="仿宋"/>
          <w:sz w:val="32"/>
          <w:szCs w:val="32"/>
        </w:rPr>
        <w:t>税收、住房、福利等</w:t>
      </w:r>
      <w:r>
        <w:rPr>
          <w:rFonts w:hint="eastAsia" w:ascii="Times New Roman" w:hAnsi="Times New Roman" w:eastAsia="仿宋_GB2312" w:cs="仿宋_GB2312"/>
          <w:sz w:val="32"/>
          <w:szCs w:val="32"/>
          <w:shd w:val="clear" w:color="auto" w:fill="FFFFFF"/>
        </w:rPr>
        <w:t>方面支持政策，减轻家庭</w:t>
      </w:r>
      <w:r>
        <w:rPr>
          <w:rFonts w:hint="eastAsia" w:ascii="Times New Roman" w:hAnsi="Times New Roman" w:eastAsia="仿宋_GB2312" w:cs="仿宋"/>
          <w:sz w:val="32"/>
          <w:szCs w:val="32"/>
        </w:rPr>
        <w:t>生育</w:t>
      </w:r>
      <w:r>
        <w:rPr>
          <w:rFonts w:hint="eastAsia" w:ascii="Times New Roman" w:hAnsi="Times New Roman" w:eastAsia="仿宋_GB2312" w:cs="仿宋_GB2312"/>
          <w:sz w:val="32"/>
          <w:szCs w:val="32"/>
          <w:shd w:val="clear" w:color="auto" w:fill="FFFFFF"/>
        </w:rPr>
        <w:t>、养育、教育负担。完善幼儿养育、青少年发展、老人赡养、病残照料等政策，形成支持完善家庭基本功能、促进男女平等和妇女全面发展的家庭政策体系，增强家庭发展能力。</w:t>
      </w:r>
      <w:r>
        <w:rPr>
          <w:rFonts w:hint="eastAsia" w:ascii="Times New Roman" w:hAnsi="Times New Roman" w:eastAsia="仿宋_GB2312" w:cs="仿宋"/>
          <w:sz w:val="32"/>
          <w:szCs w:val="32"/>
        </w:rPr>
        <w:t>探索建立父母育儿假和家庭育儿津贴制度。完善家政服务、3岁以下婴幼儿照护服务等政策。探索建立促进家庭发展的政策评估机制。</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（3）大力发展面向家庭的公共服务。</w:t>
      </w:r>
      <w:r>
        <w:rPr>
          <w:rFonts w:hint="eastAsia" w:ascii="Times New Roman" w:hAnsi="Times New Roman" w:eastAsia="仿宋_GB2312" w:cs="仿宋_GB2312"/>
          <w:sz w:val="32"/>
          <w:szCs w:val="32"/>
          <w:shd w:val="clear" w:color="auto" w:fill="FFFFFF"/>
        </w:rPr>
        <w:t>发展普惠托育服务体系，综合运用土地、住房、财政、金融、人才等支持政策，扩大托育服务供给。</w:t>
      </w:r>
      <w:r>
        <w:rPr>
          <w:rFonts w:hint="eastAsia" w:ascii="Times New Roman" w:hAnsi="Times New Roman" w:eastAsia="仿宋_GB2312" w:cs="仿宋"/>
          <w:sz w:val="32"/>
          <w:szCs w:val="32"/>
        </w:rPr>
        <w:t>宣传贯彻落实养老、家政等服务标准，推动将婚姻家庭辅导服务、家庭教育指导服务等纳入公共服务体系，提升面向家庭的基本公共服务均等化水平。通过政府购买服务等形式，引导社会力量开展家庭服务，满足家庭日益增长的个性化、多样化需求。重点为经济困难、临时遭遇困难和计划生育特殊家庭、残疾人家庭等提供支持。探索在镇（街道）及有条件的城乡社区建立家庭综合服务中心。探索</w:t>
      </w:r>
      <w:r>
        <w:rPr>
          <w:rFonts w:hint="eastAsia" w:ascii="Times New Roman" w:hAnsi="Times New Roman" w:eastAsia="仿宋_GB2312" w:cs="仿宋_GB2312"/>
          <w:sz w:val="32"/>
          <w:szCs w:val="32"/>
          <w:shd w:val="clear" w:color="auto" w:fill="FFFFFF"/>
        </w:rPr>
        <w:t>发展数字家庭。</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（4）推动家庭家教家风在基层社会治理中发挥重要作用。构建党委领导、政府主导、部门合作、家庭尽责、社会参与的家庭建设工作格局。将建设好家庭、涵养好家教、弘扬好家风纳入基层社会治理体系</w:t>
      </w:r>
      <w:r>
        <w:rPr>
          <w:rFonts w:hint="eastAsia" w:ascii="Times New Roman" w:hAnsi="Times New Roman" w:eastAsia="仿宋_GB2312" w:cs="仿宋_GB2312"/>
          <w:sz w:val="32"/>
          <w:szCs w:val="32"/>
          <w:shd w:val="clear" w:color="auto" w:fill="FFFFFF"/>
        </w:rPr>
        <w:t>以及基层社会治理评价考核内容</w:t>
      </w:r>
      <w:r>
        <w:rPr>
          <w:rFonts w:hint="eastAsia" w:ascii="Times New Roman" w:hAnsi="Times New Roman" w:eastAsia="仿宋_GB2312" w:cs="仿宋"/>
          <w:sz w:val="32"/>
          <w:szCs w:val="32"/>
        </w:rPr>
        <w:t>。鼓励家庭成员履行家庭和社会责任。</w:t>
      </w:r>
      <w:r>
        <w:rPr>
          <w:rFonts w:hint="eastAsia" w:ascii="Times New Roman" w:hAnsi="Times New Roman" w:eastAsia="仿宋_GB2312" w:cs="仿宋_GB2312"/>
          <w:sz w:val="32"/>
        </w:rPr>
        <w:t>推</w:t>
      </w:r>
      <w:r>
        <w:rPr>
          <w:rFonts w:ascii="Times New Roman" w:hAnsi="Times New Roman" w:eastAsia="仿宋_GB2312" w:cs="仿宋_GB2312"/>
          <w:sz w:val="32"/>
        </w:rPr>
        <w:t>行</w:t>
      </w:r>
      <w:r>
        <w:rPr>
          <w:rFonts w:hint="eastAsia" w:ascii="Times New Roman" w:hAnsi="Times New Roman" w:eastAsia="仿宋_GB2312" w:cs="仿宋_GB2312"/>
          <w:sz w:val="32"/>
        </w:rPr>
        <w:t>“</w:t>
      </w:r>
      <w:r>
        <w:rPr>
          <w:rFonts w:ascii="Times New Roman" w:hAnsi="Times New Roman" w:eastAsia="仿宋_GB2312" w:cs="仿宋_GB2312"/>
          <w:sz w:val="32"/>
        </w:rPr>
        <w:t>美家超市”积分激励模式</w:t>
      </w:r>
      <w:r>
        <w:rPr>
          <w:rFonts w:hint="eastAsia" w:ascii="Times New Roman" w:hAnsi="Times New Roman" w:eastAsia="仿宋_GB2312" w:cs="仿宋_GB2312"/>
          <w:sz w:val="32"/>
        </w:rPr>
        <w:t>，</w:t>
      </w:r>
      <w:r>
        <w:rPr>
          <w:rFonts w:ascii="Times New Roman" w:hAnsi="Times New Roman" w:eastAsia="仿宋_GB2312" w:cs="仿宋_GB2312"/>
          <w:sz w:val="32"/>
        </w:rPr>
        <w:t>推动“美在家庭”创建工作提质扩面</w:t>
      </w:r>
      <w:r>
        <w:rPr>
          <w:rFonts w:hint="eastAsia" w:ascii="Times New Roman" w:hAnsi="Times New Roman" w:eastAsia="仿宋_GB2312" w:cs="仿宋"/>
          <w:sz w:val="32"/>
          <w:szCs w:val="32"/>
        </w:rPr>
        <w:t>，引导家庭积极参与城乡社区治理。增进政府治理和社会调节、居民自治良性互动，以广大家庭的好家风支撑起社会的好风气。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5）鼓励支持妇女在家庭生活中发挥独特作用。深化实施“家家幸福安康工程”，鼓励妇女带领家庭成员积极参与文明家庭、五好家庭、最美家庭等群众性精神文明建设活动，参与绿色家庭争创，提升健康素养，践行绿色、低碳、循环、可持续的生活方式，养成勤俭节约好习惯，杜绝浪费。推进平安家庭、无烟家庭建设。</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6）促进婚姻家庭关系健康发展。面向家庭开展有关法律法规宣传，促进男女平等观念在婚姻家庭关系建设中落实落地，倡导夫妻平等参与家庭事务决策，反对一切形式的家庭暴力。开展恋爱、婚姻家庭观念教育，</w:t>
      </w:r>
      <w:r>
        <w:rPr>
          <w:rFonts w:hint="eastAsia" w:ascii="Times New Roman" w:hAnsi="Times New Roman" w:eastAsia="仿宋_GB2312" w:cs="仿宋_GB2312"/>
          <w:sz w:val="32"/>
          <w:szCs w:val="32"/>
          <w:shd w:val="clear" w:color="auto" w:fill="FFFFFF"/>
        </w:rPr>
        <w:t>为适龄男女青年婚恋交友、组建家庭搭建平台，</w:t>
      </w:r>
      <w:r>
        <w:rPr>
          <w:rFonts w:hint="eastAsia" w:ascii="Times New Roman" w:hAnsi="Times New Roman" w:eastAsia="仿宋_GB2312" w:cs="仿宋"/>
          <w:sz w:val="32"/>
          <w:szCs w:val="32"/>
        </w:rPr>
        <w:t>推广婚姻登记、婚育健康宣传教育、婚姻家庭关系辅导等“一站式”服务。</w:t>
      </w:r>
      <w:r>
        <w:rPr>
          <w:rFonts w:hint="eastAsia" w:ascii="Times New Roman" w:hAnsi="Times New Roman" w:eastAsia="仿宋_GB2312" w:cs="仿宋_GB2312"/>
          <w:sz w:val="32"/>
          <w:szCs w:val="32"/>
          <w:shd w:val="clear" w:color="auto" w:fill="FFFFFF"/>
        </w:rPr>
        <w:t>广泛开展生育政策宣传。</w:t>
      </w:r>
      <w:r>
        <w:rPr>
          <w:rFonts w:hint="eastAsia" w:ascii="Times New Roman" w:hAnsi="Times New Roman" w:eastAsia="仿宋_GB2312" w:cs="仿宋"/>
          <w:sz w:val="32"/>
          <w:szCs w:val="32"/>
        </w:rPr>
        <w:t>推进移风易俗，引导改变生男偏好，抵制早婚早育、高价彩礼等陋习，选树宣传移风易俗典型，倡导</w:t>
      </w:r>
      <w:r>
        <w:rPr>
          <w:rFonts w:hint="eastAsia" w:ascii="Times New Roman" w:hAnsi="Times New Roman" w:eastAsia="仿宋_GB2312" w:cs="仿宋_GB2312"/>
          <w:sz w:val="32"/>
          <w:szCs w:val="32"/>
          <w:shd w:val="clear" w:color="auto" w:fill="FFFFFF"/>
        </w:rPr>
        <w:t>构建新型婚育文化</w:t>
      </w:r>
      <w:r>
        <w:rPr>
          <w:rFonts w:hint="eastAsia" w:ascii="Times New Roman" w:hAnsi="Times New Roman" w:eastAsia="仿宋_GB2312" w:cs="仿宋"/>
          <w:sz w:val="32"/>
          <w:szCs w:val="32"/>
        </w:rPr>
        <w:t>。加强对广播电视、网络等婚恋活动和服务的规范管理。</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7）加强婚姻家庭纠纷预防化解工作。健全婚姻家庭纠纷预防化解工作机制，发挥综治中心和网格化服务管理作用，强化衔接联动，加强婚姻家庭纠纷预测预防预警，健全纠纷排查调处制度。推进建立健全婚姻家庭纠纷人民调解委员会和婚姻家庭辅导中心，建设人民调解员和婚姻家庭辅导员队伍，</w:t>
      </w:r>
      <w:r>
        <w:rPr>
          <w:rFonts w:hint="eastAsia" w:ascii="Times New Roman" w:hAnsi="Times New Roman" w:eastAsia="仿宋_GB2312" w:cs="仿宋_GB2312"/>
          <w:sz w:val="32"/>
          <w:szCs w:val="32"/>
          <w:shd w:val="clear" w:color="auto" w:fill="FFFFFF"/>
        </w:rPr>
        <w:t>搭建“互联网+”纠纷预防化解工作平台，支持社会力量参与，提供多元便捷服务</w:t>
      </w:r>
      <w:r>
        <w:rPr>
          <w:rFonts w:hint="eastAsia" w:ascii="Times New Roman" w:hAnsi="Times New Roman" w:eastAsia="仿宋_GB2312" w:cs="仿宋"/>
          <w:sz w:val="32"/>
          <w:szCs w:val="32"/>
        </w:rPr>
        <w:t>。推进家事审判制度改革，加强诉调对接平台建设，构建新型家事纠纷综合协调解决模式。</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8）促进男女平等分担家务。倡导夫妻在家务劳动中分工配合，共同承担照料陪伴子女老人、教育子女、料理家务等家庭责任，缩小两性家务劳动时间差距。促进照料、保洁、烹饪等家务劳动社会化，持续推动家政服务业提质扩容增效，发展婴幼儿照护服务和失能失智老年人长期照护服务，</w:t>
      </w:r>
      <w:r>
        <w:rPr>
          <w:rFonts w:hint="eastAsia" w:ascii="Times New Roman" w:hAnsi="Times New Roman" w:eastAsia="仿宋_GB2312" w:cs="仿宋_GB2312"/>
          <w:sz w:val="32"/>
          <w:szCs w:val="32"/>
          <w:shd w:val="clear" w:color="auto" w:fill="FFFFFF"/>
        </w:rPr>
        <w:t>增强家庭照护能力，</w:t>
      </w:r>
      <w:r>
        <w:rPr>
          <w:rFonts w:hint="eastAsia" w:ascii="Times New Roman" w:hAnsi="Times New Roman" w:eastAsia="仿宋_GB2312" w:cs="仿宋"/>
          <w:sz w:val="32"/>
          <w:szCs w:val="32"/>
        </w:rPr>
        <w:t>研发家务劳动便利化产品。督促用人单位落实探亲假、职工带薪休假、配偶陪产假等制度，鼓励用人单位实施灵活休假</w:t>
      </w:r>
      <w:r>
        <w:rPr>
          <w:rFonts w:hint="eastAsia" w:ascii="Times New Roman" w:hAnsi="Times New Roman" w:eastAsia="仿宋_GB2312" w:cs="仿宋_GB2312"/>
          <w:sz w:val="32"/>
          <w:szCs w:val="32"/>
          <w:shd w:val="clear" w:color="auto" w:fill="FFFFFF"/>
        </w:rPr>
        <w:t>和弹性工作</w:t>
      </w:r>
      <w:r>
        <w:rPr>
          <w:rFonts w:hint="eastAsia" w:ascii="Times New Roman" w:hAnsi="Times New Roman" w:eastAsia="仿宋_GB2312" w:cs="仿宋"/>
          <w:sz w:val="32"/>
          <w:szCs w:val="32"/>
        </w:rPr>
        <w:t>制度，创造生育友好的工作环境，支持男女职工共同履行家庭责任。</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9）增强父母共同承担家庭教育责任的意识和能力。宣传贯彻《中华人民共和国家庭教育促进法》，促进父母共同落实家庭教育主体责任，创造有利于未成年子女健康成长和发展的家庭环境。开展宣传培训，帮助父母树立科学家庭教育理念，</w:t>
      </w:r>
      <w:r>
        <w:rPr>
          <w:rFonts w:hint="eastAsia" w:ascii="Times New Roman" w:hAnsi="Times New Roman" w:eastAsia="仿宋_GB2312" w:cs="仿宋_GB2312"/>
          <w:sz w:val="32"/>
          <w:szCs w:val="32"/>
          <w:shd w:val="clear" w:color="auto" w:fill="FFFFFF"/>
        </w:rPr>
        <w:t>摒弃“重智轻德”等观念，</w:t>
      </w:r>
      <w:r>
        <w:rPr>
          <w:rFonts w:hint="eastAsia" w:ascii="Times New Roman" w:hAnsi="Times New Roman" w:eastAsia="仿宋_GB2312" w:cs="仿宋"/>
          <w:sz w:val="32"/>
          <w:szCs w:val="32"/>
        </w:rPr>
        <w:t>掌握科学知识方法，</w:t>
      </w:r>
      <w:r>
        <w:rPr>
          <w:rFonts w:hint="eastAsia" w:ascii="Times New Roman" w:hAnsi="Times New Roman" w:eastAsia="仿宋_GB2312" w:cs="仿宋_GB2312"/>
          <w:sz w:val="32"/>
          <w:szCs w:val="32"/>
          <w:shd w:val="clear" w:color="auto" w:fill="FFFFFF"/>
        </w:rPr>
        <w:t>注重言传身教，关注未成年子女身心健康，提高家庭科学育儿能力</w:t>
      </w:r>
      <w:r>
        <w:rPr>
          <w:rFonts w:hint="eastAsia" w:ascii="Times New Roman" w:hAnsi="Times New Roman" w:eastAsia="仿宋_GB2312" w:cs="仿宋"/>
          <w:sz w:val="32"/>
          <w:szCs w:val="32"/>
        </w:rPr>
        <w:t>。鼓励父母加强亲子交流，共同陪伴未成年子女成长。</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（10）提高老年妇女的家庭生活质量。倡导养老、孝老、敬老的家庭美德，支持家庭履行赡养老人的主体责任。鼓励子女与老年人共同生活或就近居住，督促用人单位保障赡养义务人的探亲休假权利，</w:t>
      </w:r>
      <w:r>
        <w:rPr>
          <w:rFonts w:hint="eastAsia" w:ascii="Times New Roman" w:hAnsi="Times New Roman" w:eastAsia="仿宋_GB2312" w:cs="仿宋_GB2312"/>
          <w:sz w:val="32"/>
          <w:szCs w:val="32"/>
          <w:shd w:val="clear" w:color="auto" w:fill="FFFFFF"/>
        </w:rPr>
        <w:t>推动建立子女护理假制度</w:t>
      </w:r>
      <w:r>
        <w:rPr>
          <w:rFonts w:hint="eastAsia" w:ascii="Times New Roman" w:hAnsi="Times New Roman" w:eastAsia="仿宋_GB2312" w:cs="仿宋"/>
          <w:sz w:val="32"/>
          <w:szCs w:val="32"/>
        </w:rPr>
        <w:t>。建立完善社区老年人关爱服务机制，依托社区为长期照护老年人的家庭成员提供喘息服务，建设长者食堂，发展银发经济，推进智慧健康养老，满足老年妇女生活需要。依法保障老年妇女婚姻自由和家庭财产权利。</w:t>
      </w:r>
    </w:p>
    <w:p>
      <w:pPr>
        <w:pStyle w:val="5"/>
        <w:spacing w:line="560" w:lineRule="exact"/>
        <w:ind w:firstLine="640"/>
        <w:rPr>
          <w:rFonts w:ascii="Times New Roman" w:hAnsi="Times New Roman"/>
          <w:b w:val="0"/>
          <w:bCs/>
          <w:lang w:eastAsia="zh-CN"/>
        </w:rPr>
      </w:pPr>
      <w:bookmarkStart w:id="356" w:name="_Toc9724"/>
      <w:r>
        <w:rPr>
          <w:rFonts w:hint="eastAsia" w:ascii="Times New Roman" w:hAnsi="Times New Roman"/>
          <w:b w:val="0"/>
          <w:bCs/>
          <w:lang w:eastAsia="zh-CN"/>
        </w:rPr>
        <w:t>（八）妇女与环境</w:t>
      </w:r>
      <w:bookmarkEnd w:id="356"/>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1.主要目标</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（1）提高妇女的思想政治意识，促进妇女积极践行社会主义核心价值观。（牵头单位：区妇联。责任单位：区委宣传部）</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妇女共建共享精神文明创建成果。（牵头单位：区委宣传部。责任单位：区发展改革局、区财政局、区住房城乡建设局、市自然资源和规划局张店分局、区农业农村局、区教体局、区卫生健康局、区民政局、区交通运输局、区市场监管局、区残联、区总工会、区妇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3）提升全社会的性别平等意识，推进男女平等基本国策宣传教育进机关、进学校、进企业、进社区、进家庭。（牵头单位：区妇儿工委办公室。责任单位：区委宣传部、区委党校、区直机关工委、区教体局、区司法局、区国资局、区总工会、区民政局、区妇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（4）</w:t>
      </w:r>
      <w:r>
        <w:rPr>
          <w:rFonts w:hint="eastAsia" w:ascii="Times New Roman" w:hAnsi="Times New Roman" w:eastAsia="仿宋_GB2312" w:cs="仿宋_GB2312"/>
          <w:sz w:val="32"/>
          <w:szCs w:val="32"/>
          <w:shd w:val="clear" w:color="auto" w:fill="FFFFFF"/>
        </w:rPr>
        <w:t>健全文化与传媒领域的性别平等评估和监管机制</w:t>
      </w:r>
      <w:r>
        <w:rPr>
          <w:rFonts w:hint="eastAsia" w:ascii="Times New Roman" w:hAnsi="Times New Roman" w:eastAsia="仿宋_GB2312" w:cs="仿宋"/>
          <w:sz w:val="32"/>
          <w:szCs w:val="32"/>
        </w:rPr>
        <w:t>。（牵头单位：区委宣传部。责任单位：区妇儿工委办公室、区委网信办、区教体局、区文化和旅游局、区妇联等区妇儿工委有关成员单位）</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（5）全面提升妇女的媒介素养，提高妇女利用信息技术参与新时代经济社会高质量发展的能力。（责任单位：区委宣传部、区委网信办、区大数据中心、区教体局、区农业农村局、区妇联、区残联）</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6）提高妇女的生态文明意识，促进妇女践行绿色发展理念，做生态文明建设的推动者和践行者。（牵头单位：市生态环境局张店分局。责任单位：区妇联、区委宣传部、区农业农村局、区文化和旅游局等区妇儿工委有关成员单位）</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（7）</w:t>
      </w:r>
      <w:r>
        <w:rPr>
          <w:rFonts w:hint="eastAsia" w:ascii="Times New Roman" w:hAnsi="Times New Roman" w:eastAsia="仿宋_GB2312" w:cs="仿宋_GB2312"/>
          <w:sz w:val="32"/>
          <w:szCs w:val="32"/>
          <w:shd w:val="clear" w:color="auto" w:fill="FFFFFF"/>
        </w:rPr>
        <w:t>减少环境污染对妇女健康的危害。</w:t>
      </w:r>
      <w:r>
        <w:rPr>
          <w:rFonts w:hint="eastAsia" w:ascii="Times New Roman" w:hAnsi="Times New Roman" w:eastAsia="仿宋_GB2312" w:cs="仿宋"/>
          <w:sz w:val="32"/>
          <w:szCs w:val="32"/>
        </w:rPr>
        <w:t>农村自来水普及率稳定在95%以上，城市集中式饮用水水质达标率为100%。（牵头单位：市生态环境局张店分局、区水利局。责任单位：区农业农村局、区住房城乡建设局、区卫生健康局）</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8）推进农村厕所改造后续长效管护工作，城镇公共厕所男女厕位比例标准化建设与实际需求相适应。（牵头单位：区农业农村局、区住房城乡建设局。责任单位：区卫生健康局、区委宣传部、区文化和旅游局、区交通运输局、区商务局、区教体局、区总工会）</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（9）妇女应对突发事件的能力不断提高，作用得到发挥，特殊需求得到满足。（牵头单位：区应急管理局。责任单位：区发展改革局、区民政局、区工业和信息化局、区卫生健康局）</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2.策略措施</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加强对妇女的思想政治引领。坚持用习近平新时代中国特色社会主义思想引领妇女，持续开展中国特色社会主义和中国梦宣传教育，发挥新时代文明实践中心（站点）、主流媒体、妇女之家、妇女微家等阵地作用，推动理想信念教育常态化制度化，弘扬党和人民在各个历史时期奋斗中形成的伟大精神，激发妇女的历史责任感和主人翁精神，引导妇女听党话、跟党走，增强“四个意识”、坚定“四个自信”、做到“两个维护”。通过引领服务联系，凝聚青年女性、知识女性、新兴产业从业女性和活跃在网络空间中的女性。通过培养、宣传妇女先进集体和个人，激励妇女崇尚先进、学习先进、争当先进。</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促进妇女共建共享精神文明创建和城乡人居环境改善成果。丰富优质文化产品和公共文化服务供给，满足妇女精神文化需求。鼓励妇女积极参与城市文明建设，引导妇女在文明单位创建中爱岗敬业。促进妇女参与文明村镇创建，积极参与农村人居环境整治提升、乡村美学教育、农村文化发展、文明乡风培育和乡村社会治理。推进城乡公共文化服务体系一体建设，创新实施文化惠民工程，惠及城乡妇女。</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（3）开展以男女平等为核心的先进性别文化宣传教育。将构建先进性别文化纳入繁荣社会主义先进文化制度体系。</w:t>
      </w:r>
      <w:r>
        <w:rPr>
          <w:rFonts w:hint="eastAsia" w:ascii="Times New Roman" w:hAnsi="Times New Roman" w:eastAsia="仿宋_GB2312" w:cs="仿宋_GB2312"/>
          <w:sz w:val="32"/>
          <w:szCs w:val="32"/>
          <w:shd w:val="clear" w:color="auto" w:fill="FFFFFF"/>
        </w:rPr>
        <w:t>大力宣传新时代妇女在社会生活和家庭生活中的独特作用，宣传优秀妇女典型和性别平等优秀案例</w:t>
      </w:r>
      <w:r>
        <w:rPr>
          <w:rFonts w:hint="eastAsia" w:ascii="Times New Roman" w:hAnsi="Times New Roman" w:eastAsia="仿宋_GB2312" w:cs="仿宋"/>
          <w:sz w:val="32"/>
          <w:szCs w:val="32"/>
        </w:rPr>
        <w:t>。将习近平总书记关于妇女和妇女工作重要论述、马克思主义妇女观、男女平等基本国策纳入全区各级党校干部教育培训主体班次教学内容，推动性别平等意识纳入决策主流。在机关、学校、企业、社区、家庭以多形式开展男女平等基本国策宣传教育，让性别平等成为全社会共同遵循的行为规范和价值标准。</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4）加强文化与传媒领域性别平等培训、评估和监管。开展文化传媒工作者和传媒相关专业学生的性别平等培训，提升文化与传媒领域性别平等传播能力。加强对公共文化产品和传媒涉及性别平等内容的监测和监管，吸纳性别平等专家参与相关评估，消除网络媒体、影视产品、公共出版物等中出现的歧视贬抑妇女、侮辱妇女人格尊严、物化妇女形象等不良现象，规范网络名人和公众账号传播行为。加强妇女舆情尤其是网络舆情监测，优化有利于妇女全面发展的社会舆论环境。完善违规行为警示记录系统，优化线上舆情预警和线下评估处置机制。</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5）引导妇女提高媒介素养。利用妇女之家、图书馆、网络课堂等开展面向妇女的媒介素养培训和指导，重点帮助老年妇女、困难妇女和残疾妇女群体掌握网络基本知识技能。加强妇女网络素养教育，提升妇女对媒介信息选择、判断和有效利用的能力，提升妇女网络安全意识和能力。加强学生网络素养教育，引导女学生合理安全使用网络，提升自我保护能力，防止网络沉迷。开展争做“巾帼好网民”活动，引导妇女弘扬网上正能量。</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6）充分发挥妇女在生态文明建设中的重要作用。广泛开展生态文化宣传教育和实践活动，引导妇女树立生态文明意识，提高环境科学素养，掌握环境科学知识，提升妇女生态环境保护意识和能力。鼓励妇女引领绿色生产生活，养成节约适度、绿色低碳、文明健康的生活方式和消费模式，杜绝餐饮浪费。支持妇女参与生态环境治理。</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（7）</w:t>
      </w:r>
      <w:r>
        <w:rPr>
          <w:rFonts w:hint="eastAsia" w:ascii="Times New Roman" w:hAnsi="Times New Roman" w:eastAsia="仿宋_GB2312" w:cs="仿宋_GB2312"/>
          <w:sz w:val="32"/>
          <w:szCs w:val="32"/>
          <w:shd w:val="clear" w:color="auto" w:fill="FFFFFF"/>
        </w:rPr>
        <w:t>持续改善妇女生活的环境质量</w:t>
      </w:r>
      <w:r>
        <w:rPr>
          <w:rFonts w:hint="eastAsia" w:ascii="Times New Roman" w:hAnsi="Times New Roman" w:eastAsia="仿宋_GB2312" w:cs="仿宋"/>
          <w:sz w:val="32"/>
          <w:szCs w:val="32"/>
        </w:rPr>
        <w:t>。加强生态环境监测和健康监测，深化环境污染因素影响研究，监测分析评估环境政策、基础设施项目、生产生活学习环境等对妇女健康的影响。推进城乡生活环境治理，推进城乡污水管网全覆盖，开发利用清洁能源，基本建成生活垃圾分类处理系统，推进生活垃圾的减量化、资源化、无害化，推广使用节能环保产品。</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8）为城乡妇女享有安全饮水提供保障。落实国家《生活饮用水卫生标准》，推进城市集中式供水规范化建设，提高城市供水系统硬件设施和运行管理水平，加强水质监测、水利基础设施建设和农村供水工程提升改造，提升水资源优化配置能力，为妇女取水、用水提供便利。</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9）加强符合妇女需求的卫生厕所建设。分类有序推进农村厕所革命，提高卫生厕所普及率，加强粪污无害化处理与资源化利用。推进城镇公共厕所改造，完善落实城镇公共厕所设计标准，推动将男女厕位比例规范化建设和达标率纳入</w:t>
      </w:r>
      <w:r>
        <w:rPr>
          <w:rFonts w:hint="eastAsia" w:ascii="Times New Roman" w:hAnsi="Times New Roman" w:eastAsia="仿宋_GB2312" w:cs="仿宋_GB2312"/>
          <w:sz w:val="32"/>
          <w:szCs w:val="32"/>
          <w:shd w:val="clear" w:color="auto" w:fill="FFFFFF"/>
        </w:rPr>
        <w:t>文明社区、文明村镇、</w:t>
      </w:r>
      <w:r>
        <w:rPr>
          <w:rFonts w:hint="eastAsia" w:ascii="Times New Roman" w:hAnsi="Times New Roman" w:eastAsia="仿宋_GB2312" w:cs="仿宋"/>
          <w:sz w:val="32"/>
          <w:szCs w:val="32"/>
        </w:rPr>
        <w:t>文明单位、文明校园建设。充分考虑妇女生理特点，在超市、场馆、商场等公共场所的建设规划，女性厕位与男性厕位的比例至少为3：2，人流量较大地区提高到2：1。推动旅游景区、商场、客运枢纽和服务区等公共场所建设第三卫生间，增设婴儿护理折叠台位。</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10）在突发事件应对中关切妇女特别是困难妇女群体的特殊需求。在突发事件应急体系、预防和应急处置机制、相关应急预案和规划中充分考虑妇女特殊需求，优先保证女性卫生用品、孕产妇用品、女性内衣等基本生活用品和重要医用物资供给。面向妇女开展突发事件预防应对知识和自救互救技能指导培训，提高妇女的防灾减灾意识和自救互救能力。在应对突发事件中加强对有需求的妇女群体的救助服务和心理疏导。引导妇女积极参与防灾减灾工作。</w:t>
      </w:r>
    </w:p>
    <w:p>
      <w:pPr>
        <w:pStyle w:val="3"/>
        <w:spacing w:before="0" w:beforeLines="0" w:line="560" w:lineRule="exact"/>
        <w:ind w:firstLine="640"/>
        <w:jc w:val="left"/>
        <w:rPr>
          <w:rFonts w:ascii="Times New Roman" w:hAnsi="Times New Roman"/>
          <w:lang w:eastAsia="zh-CN"/>
        </w:rPr>
      </w:pPr>
      <w:bookmarkStart w:id="357" w:name="_Toc9993"/>
      <w:r>
        <w:rPr>
          <w:rFonts w:hint="eastAsia" w:ascii="Times New Roman" w:hAnsi="Times New Roman"/>
          <w:lang w:eastAsia="zh-CN"/>
        </w:rPr>
        <w:t>四、组织实施</w:t>
      </w:r>
      <w:bookmarkEnd w:id="357"/>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楷体_GB2312" w:cs="仿宋"/>
          <w:sz w:val="32"/>
          <w:szCs w:val="32"/>
        </w:rPr>
        <w:t>（一）坚持党的全面领导。</w:t>
      </w:r>
      <w:r>
        <w:rPr>
          <w:rFonts w:hint="eastAsia" w:ascii="Times New Roman" w:hAnsi="Times New Roman" w:eastAsia="仿宋_GB2312" w:cs="仿宋"/>
          <w:sz w:val="32"/>
          <w:szCs w:val="32"/>
        </w:rPr>
        <w:t>坚持以习近平新时代中国特色社会主义思想为指导，坚持以人民为中心的发展思想，坚持走中国特色社会主义妇女发展道路，把党的领导贯穿于规划组织实施的全过程。贯彻党中央、国务院关于妇女事业发展的决策部署和省委、省政府工作要求，坚持和完善促进男女平等、妇女全面发展的制度机制，在统筹推进</w:t>
      </w:r>
      <w:r>
        <w:rPr>
          <w:rFonts w:hint="eastAsia" w:ascii="Times New Roman" w:hAnsi="Times New Roman" w:eastAsia="仿宋_GB2312" w:cs="仿宋_GB2312"/>
          <w:sz w:val="32"/>
          <w:szCs w:val="32"/>
          <w:shd w:val="clear" w:color="auto" w:fill="FFFFFF"/>
        </w:rPr>
        <w:t>“五位一体”</w:t>
      </w:r>
      <w:r>
        <w:rPr>
          <w:rFonts w:hint="eastAsia" w:ascii="Times New Roman" w:hAnsi="Times New Roman" w:eastAsia="仿宋_GB2312" w:cs="仿宋"/>
          <w:sz w:val="32"/>
          <w:szCs w:val="32"/>
        </w:rPr>
        <w:t>总体布局、协调推进</w:t>
      </w:r>
      <w:r>
        <w:rPr>
          <w:rFonts w:hint="eastAsia" w:ascii="Times New Roman" w:hAnsi="Times New Roman" w:eastAsia="仿宋_GB2312" w:cs="仿宋_GB2312"/>
          <w:sz w:val="32"/>
          <w:szCs w:val="32"/>
          <w:shd w:val="clear" w:color="auto" w:fill="FFFFFF"/>
        </w:rPr>
        <w:t>“四个全面”</w:t>
      </w:r>
      <w:r>
        <w:rPr>
          <w:rFonts w:hint="eastAsia" w:ascii="Times New Roman" w:hAnsi="Times New Roman" w:eastAsia="仿宋_GB2312" w:cs="仿宋"/>
          <w:sz w:val="32"/>
          <w:szCs w:val="32"/>
        </w:rPr>
        <w:t>战略布局中推进规划实施。</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楷体_GB2312" w:cs="仿宋"/>
          <w:sz w:val="32"/>
          <w:szCs w:val="32"/>
        </w:rPr>
        <w:t>（二）落实规划实施责任。</w:t>
      </w:r>
      <w:r>
        <w:rPr>
          <w:rFonts w:hint="eastAsia" w:ascii="Times New Roman" w:hAnsi="Times New Roman" w:eastAsia="仿宋_GB2312" w:cs="仿宋"/>
          <w:sz w:val="32"/>
          <w:szCs w:val="32"/>
        </w:rPr>
        <w:t>完善落实党委领导、政府主责、妇儿工委协调、多部门合作、全社会参与的规划实施工作机制。各级人民政府负责规划实施工作，纳入议事日程。区妇儿工委负责组织、协调、指导、督促工作，区妇儿工委办公室负责具体工作。有关部门、相关机构和人民团体结合职责，承担规划相关目标任务落实工作。在出台规范性文件、编制规划、配置资源、工作部署时贯彻落实男女平等基本国策，切实保障妇女合法权益、促进妇女全面发展。</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楷体_GB2312" w:cs="仿宋"/>
          <w:sz w:val="32"/>
          <w:szCs w:val="32"/>
        </w:rPr>
        <w:t>（三）加强规划与国民经济和社会发展规划的衔接。</w:t>
      </w:r>
      <w:r>
        <w:rPr>
          <w:rFonts w:hint="eastAsia" w:ascii="Times New Roman" w:hAnsi="Times New Roman" w:eastAsia="仿宋_GB2312" w:cs="仿宋"/>
          <w:sz w:val="32"/>
          <w:szCs w:val="32"/>
        </w:rPr>
        <w:t>在经济社会发展总体规划及相关专项规划中贯彻落实男女平等基本国策，将规划实施以及妇女发展纳入经济社会发展总体规划及相关专项规划，结合经济社会发展总体规划部署要求推进规划实施工作，实现妇女发展与经济社会发展同步规划、同步部署、同步实施、同步落实。</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楷体_GB2312" w:cs="仿宋"/>
          <w:sz w:val="32"/>
          <w:szCs w:val="32"/>
        </w:rPr>
        <w:t>（四）制定妇女发展规划和部门实施方案。</w:t>
      </w:r>
      <w:r>
        <w:rPr>
          <w:rFonts w:hint="eastAsia" w:ascii="Times New Roman" w:hAnsi="Times New Roman" w:eastAsia="仿宋_GB2312" w:cs="宋体"/>
          <w:sz w:val="32"/>
          <w:szCs w:val="32"/>
        </w:rPr>
        <w:t>承担规划目标任务的有关部门、相关机构、人民团体和</w:t>
      </w:r>
      <w:r>
        <w:rPr>
          <w:rFonts w:hint="eastAsia" w:ascii="Times New Roman" w:hAnsi="Times New Roman" w:eastAsia="仿宋_GB2312" w:cs="仿宋"/>
          <w:sz w:val="32"/>
          <w:szCs w:val="32"/>
        </w:rPr>
        <w:t>镇（街道）妇儿工委</w:t>
      </w:r>
      <w:r>
        <w:rPr>
          <w:rFonts w:hint="eastAsia" w:ascii="Times New Roman" w:hAnsi="Times New Roman" w:eastAsia="仿宋_GB2312" w:cs="宋体"/>
          <w:sz w:val="32"/>
          <w:szCs w:val="32"/>
        </w:rPr>
        <w:t>结合职责，</w:t>
      </w:r>
      <w:r>
        <w:rPr>
          <w:rFonts w:hint="eastAsia" w:ascii="Times New Roman" w:hAnsi="Times New Roman" w:eastAsia="仿宋_GB2312" w:cs="仿宋"/>
          <w:sz w:val="32"/>
          <w:szCs w:val="32"/>
        </w:rPr>
        <w:t>制定实施方案并报送区妇儿工委办公室。</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楷体_GB2312" w:cs="仿宋"/>
          <w:sz w:val="32"/>
          <w:szCs w:val="32"/>
        </w:rPr>
        <w:t>（五）完善实施规划的工作制度机制。</w:t>
      </w:r>
      <w:r>
        <w:rPr>
          <w:rFonts w:hint="eastAsia" w:ascii="Times New Roman" w:hAnsi="Times New Roman" w:eastAsia="仿宋_GB2312" w:cs="仿宋"/>
          <w:sz w:val="32"/>
          <w:szCs w:val="32"/>
        </w:rPr>
        <w:t>健全目标管理责任制，将规划目标分解到责任单位并纳入目标管理。健全督导检查制度，定期对规划落实情况开展督查。健全报告制度，责任单位每年向区妇儿工委报告规划落实情况和下一年工作安排，镇（街道）妇女儿童工作委员会每年向区妇女儿童工作委员会报告实施规划工作情况。区妇儿工委每年向上级妇儿工委报告本地区规划实施情况和下一年工作安排。健全议事协调制度，定期召开妇女儿童工作会议、妇儿工委全体会议、联络员会议等，总结交流情况，研究解决问题，部署工作任务。健全规划实施试点制度，确定试点单位，围绕妇女发展重点难点目标实施试点项目，充分发挥以点带面、引领带动作用。</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楷体_GB2312" w:cs="仿宋"/>
          <w:sz w:val="32"/>
          <w:szCs w:val="32"/>
        </w:rPr>
        <w:t>（六）保障妇女发展经费投入。</w:t>
      </w:r>
      <w:r>
        <w:rPr>
          <w:rFonts w:hint="eastAsia" w:ascii="Times New Roman" w:hAnsi="Times New Roman" w:eastAsia="仿宋_GB2312" w:cs="仿宋"/>
          <w:sz w:val="32"/>
          <w:szCs w:val="32"/>
        </w:rPr>
        <w:t>要将实施规划所需经费纳入财政预算，实现妇女事业和经济社会同步发展。各级财政应加大对妇女发展重点领域投入力度，为妇女办实事。重点支持特殊困难妇女群体发展。动员社会力量，多渠道筹集资源，共同发展妇女事业。</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楷体_GB2312" w:cs="仿宋"/>
          <w:sz w:val="32"/>
          <w:szCs w:val="32"/>
        </w:rPr>
        <w:t>（七）坚持和创新实施规划的有效做法。</w:t>
      </w:r>
      <w:r>
        <w:rPr>
          <w:rFonts w:hint="eastAsia" w:ascii="Times New Roman" w:hAnsi="Times New Roman" w:eastAsia="仿宋_GB2312" w:cs="仿宋"/>
          <w:sz w:val="32"/>
          <w:szCs w:val="32"/>
        </w:rPr>
        <w:t>贯彻新发展理念，坚持问题导向、目标导向，构建促进妇</w:t>
      </w:r>
      <w:r>
        <w:rPr>
          <w:rFonts w:hint="eastAsia" w:ascii="Times New Roman" w:hAnsi="Times New Roman" w:eastAsia="仿宋_GB2312" w:cs="仿宋"/>
          <w:color w:val="000000"/>
          <w:sz w:val="32"/>
          <w:szCs w:val="32"/>
        </w:rPr>
        <w:t>女发展的政策体系，</w:t>
      </w:r>
      <w:r>
        <w:rPr>
          <w:rFonts w:hint="eastAsia" w:ascii="Times New Roman" w:hAnsi="Times New Roman" w:eastAsia="仿宋_GB2312" w:cs="仿宋"/>
          <w:sz w:val="32"/>
          <w:szCs w:val="32"/>
        </w:rPr>
        <w:t>完善妇女合法权益保障机制，实施促进妇女发展的民生实事项目。通过分类指导、示范先行，总结推广好做法好经验。通过政府购买服务等方式，发挥社会力量推进规划实施的作用。</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楷体_GB2312" w:cs="仿宋"/>
          <w:sz w:val="32"/>
          <w:szCs w:val="32"/>
        </w:rPr>
        <w:t>（八）加强实施规划能力建设。</w:t>
      </w:r>
      <w:r>
        <w:rPr>
          <w:rFonts w:hint="eastAsia" w:ascii="Times New Roman" w:hAnsi="Times New Roman" w:eastAsia="仿宋_GB2312" w:cs="仿宋"/>
          <w:sz w:val="32"/>
          <w:szCs w:val="32"/>
        </w:rPr>
        <w:t>将实施规划所需知识纳入各级妇儿工委及其办公室、各级妇儿工委成员单位培训计划，举办多层次、多形式培训，增强政府有关部门、相关机构和人员实施规划的责任意识和能力。以政治建设为统领，加强各级妇儿工委及其办公室建设，强化行政职能，为更好履职尽责提供必要的人力物力财力支持，为规划实施提供组织保障。</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楷体_GB2312" w:cs="仿宋"/>
          <w:sz w:val="32"/>
          <w:szCs w:val="32"/>
        </w:rPr>
        <w:t>（九）加大实施规划宣传力度。</w:t>
      </w:r>
      <w:r>
        <w:rPr>
          <w:rFonts w:hint="eastAsia" w:ascii="Times New Roman" w:hAnsi="Times New Roman" w:eastAsia="仿宋_GB2312" w:cs="仿宋"/>
          <w:sz w:val="32"/>
          <w:szCs w:val="32"/>
        </w:rPr>
        <w:t>大力宣传习近平总书记关于妇女和妇女工作的重要论述，宣传党中央对妇女事业发展的重要决策，宣传省委、市委、区委有关要求，宣传在党的坚强领导下妇女事业发展的成就，宣传男女平等基本国策和保障妇女合法权益、促进妇女发展的法律法规政策，宣传规划内容及规划实施中的经验和成效，努力营造有利于妇女发展的社会氛围。</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楷体_GB2312" w:cs="仿宋"/>
          <w:sz w:val="32"/>
          <w:szCs w:val="32"/>
        </w:rPr>
        <w:t>（十）加强妇女发展调查研究。</w:t>
      </w:r>
      <w:r>
        <w:rPr>
          <w:rFonts w:hint="eastAsia" w:ascii="Times New Roman" w:hAnsi="Times New Roman" w:eastAsia="仿宋_GB2312" w:cs="仿宋"/>
          <w:sz w:val="32"/>
          <w:szCs w:val="32"/>
        </w:rPr>
        <w:t>加强妇女工作智库建设，依托党校、研究机构、社会组织等建设妇女发展研究基地，培育专业研究力量，通过课题招标、组织专业力量、进行实地调研等方式开展理论及实践研究，为制定和完善相关法规政策提供参考。</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楷体_GB2312" w:cs="仿宋"/>
          <w:sz w:val="32"/>
          <w:szCs w:val="32"/>
        </w:rPr>
        <w:t>（十一）鼓励社会各界广泛参与规划实施。</w:t>
      </w:r>
      <w:r>
        <w:rPr>
          <w:rFonts w:hint="eastAsia" w:ascii="Times New Roman" w:hAnsi="Times New Roman" w:eastAsia="仿宋_GB2312" w:cs="仿宋"/>
          <w:sz w:val="32"/>
          <w:szCs w:val="32"/>
        </w:rPr>
        <w:t>鼓励企事业单位、社会组织、慈善机构和公益人士参与保障妇女合法权益、促进妇女发展等工作。鼓励妇女参与规划实施，提高妇女在参与规划实施中实现自身全面发展的意识和能力。</w:t>
      </w:r>
    </w:p>
    <w:p>
      <w:pPr>
        <w:pStyle w:val="3"/>
        <w:spacing w:before="0" w:beforeLines="0" w:line="560" w:lineRule="exact"/>
        <w:ind w:firstLine="640"/>
        <w:jc w:val="left"/>
        <w:rPr>
          <w:rFonts w:ascii="Times New Roman" w:hAnsi="Times New Roman"/>
          <w:lang w:eastAsia="zh-CN"/>
        </w:rPr>
      </w:pPr>
      <w:bookmarkStart w:id="358" w:name="_Toc8758"/>
      <w:r>
        <w:rPr>
          <w:rFonts w:hint="eastAsia" w:ascii="Times New Roman" w:hAnsi="Times New Roman"/>
          <w:lang w:eastAsia="zh-CN"/>
        </w:rPr>
        <w:t>五、监测评估</w:t>
      </w:r>
      <w:bookmarkEnd w:id="358"/>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楷体_GB2312" w:cs="仿宋"/>
          <w:sz w:val="32"/>
          <w:szCs w:val="32"/>
        </w:rPr>
        <w:t>（一）加强监测评估制度建设。</w:t>
      </w:r>
      <w:r>
        <w:rPr>
          <w:rFonts w:hint="eastAsia" w:ascii="Times New Roman" w:hAnsi="Times New Roman" w:eastAsia="仿宋_GB2312" w:cs="仿宋"/>
          <w:sz w:val="32"/>
          <w:szCs w:val="32"/>
        </w:rPr>
        <w:t>对规划实施实行年度监测、中期评估、终期评估。落实并逐步完善性别统计监测方案。区统计部门牵头组织开展年度监测，区妇儿工委成员单位及有关部门向统计部门报送年度监测数据，及时收集、分析反映妇女发展状况的相关数据和信息。区妇儿工委组织开展中期和终期评估，区妇儿工委成员单位及有关部门向妇儿工委提交中期和终期评估报告。通过评估，了解掌握规划实施进程和妇女发展状况，系统分析评价规划目标达标情况，评判规划策略措施的实施效果，总结有益经验，找出突出问题，预测发展趋势，提出对策建议。监测评估工作所需经费纳入财政预算。</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楷体_GB2312" w:cs="仿宋"/>
          <w:sz w:val="32"/>
          <w:szCs w:val="32"/>
        </w:rPr>
        <w:t>（二）加强监测评估工作组织领导。</w:t>
      </w:r>
      <w:r>
        <w:rPr>
          <w:rFonts w:hint="eastAsia" w:ascii="Times New Roman" w:hAnsi="Times New Roman" w:eastAsia="仿宋_GB2312" w:cs="仿宋"/>
          <w:sz w:val="32"/>
          <w:szCs w:val="32"/>
        </w:rPr>
        <w:t>各级妇儿工委设立监测评估协调组，由同级妇儿工委及相关部门负责人组成，负责组织协调监测评估工作，审批监测评估方案，审核监测评估报告等。协调组下设监测组和评估组。</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监测组由各级统计部门牵头，由负责规划统计监测的相关部门组成，负责规划监测工作的组织、指导和培训，制定监测方案、监测指标体系，收集、分析数据和信息，向同级妇儿工委提交年度、中期和终期监测报告，编辑出版年度妇女儿童统计资料等。监测组成员单位负责统筹协调本部门规划实施监测、分析、数据上报、分性别分年龄指标完善等工作。</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评估组由各级妇儿工委办公室牵头，由负责规划实施的相关部门组成，负责制定评估方案，开展评估工作，向同级妇儿工委提交中期和终期评估报告。评估组成员单位负责统筹协调本部门规划实施自我评估工作，参加妇儿工委组织的评估工作。支持评估组相关部门结合工作，就妇女保护与发展中的突出问题开展专项调查、评估，结果可作为规划中期和终期评估参考。</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楷体_GB2312" w:cs="仿宋"/>
          <w:sz w:val="32"/>
          <w:szCs w:val="32"/>
        </w:rPr>
        <w:t>（三）加强分性别统计监测。</w:t>
      </w:r>
      <w:r>
        <w:rPr>
          <w:rFonts w:hint="eastAsia" w:ascii="Times New Roman" w:hAnsi="Times New Roman" w:eastAsia="仿宋_GB2312" w:cs="仿宋"/>
          <w:sz w:val="32"/>
          <w:szCs w:val="32"/>
        </w:rPr>
        <w:t>规范完善分性别统计监测指标体系，根据需要扩充调整妇女发展统计指标，纳入政府和部门常规统计以及统计调查制度，加强部门分性别、分年龄统计工作。建立完善妇女发展统计监测数据库，逐步实现数据互联互通。鼓励支持相关部门对妇女发展缺项数据开展专项统计调查。</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楷体_GB2312" w:cs="仿宋"/>
          <w:sz w:val="32"/>
          <w:szCs w:val="32"/>
        </w:rPr>
        <w:t>（四）提升监测评估工作能力和水平。</w:t>
      </w:r>
      <w:r>
        <w:rPr>
          <w:rFonts w:hint="eastAsia" w:ascii="Times New Roman" w:hAnsi="Times New Roman" w:eastAsia="仿宋_GB2312" w:cs="仿宋"/>
          <w:sz w:val="32"/>
          <w:szCs w:val="32"/>
        </w:rPr>
        <w:t>加强监测评估工作培训和部门协作，规范监测数据收集渠道、报送方式，提高数据质量。运用互联网和大数据等技术，丰富妇女发展和分性别统计信息。科学设计评估方案和评估方法，探索第三方评估。提升监测评估工作科学化、标准化、专业化水平。</w:t>
      </w:r>
    </w:p>
    <w:p>
      <w:pPr>
        <w:spacing w:line="560" w:lineRule="exact"/>
        <w:ind w:firstLine="632" w:firstLineChars="200"/>
        <w:rPr>
          <w:rFonts w:ascii="Times New Roman" w:hAnsi="Times New Roman" w:eastAsia="仿宋_GB2312"/>
          <w:sz w:val="32"/>
          <w:szCs w:val="32"/>
        </w:rPr>
      </w:pPr>
      <w:r>
        <w:rPr>
          <w:rFonts w:hint="eastAsia" w:ascii="Times New Roman" w:hAnsi="Times New Roman" w:eastAsia="楷体_GB2312"/>
          <w:sz w:val="32"/>
          <w:szCs w:val="32"/>
        </w:rPr>
        <w:t>（五）有效利用监测评估成果。</w:t>
      </w:r>
      <w:r>
        <w:rPr>
          <w:rFonts w:hint="eastAsia" w:ascii="Times New Roman" w:hAnsi="Times New Roman" w:eastAsia="仿宋_GB2312"/>
          <w:sz w:val="32"/>
          <w:szCs w:val="32"/>
        </w:rPr>
        <w:t>发挥监测评估结果服务决策的作用，定期向同级政府及相关部门报送规划目标落实情况，为决策提供依据。建立监测评估报告交流、反馈和发布机制。加强监测评估结果的研判和运用。每年对预计达标困难、波动较大的监测指标进行预警，对发现的突出问题和短板弱项及时提出对策建议，对好做法、好经验及时总结推广。运用监测、评估结果指导下一阶段规划实施工作，实现规划实施的年度监测、阶段评估、动态预警、精准干预、整改落实、高质量推进。</w:t>
      </w:r>
    </w:p>
    <w:p>
      <w:pPr>
        <w:spacing w:line="560" w:lineRule="exact"/>
        <w:ind w:firstLine="632" w:firstLineChars="200"/>
        <w:rPr>
          <w:rFonts w:ascii="Times New Roman" w:hAnsi="Times New Roman"/>
        </w:rPr>
      </w:pPr>
      <w:r>
        <w:rPr>
          <w:rFonts w:hint="eastAsia" w:ascii="Times New Roman" w:hAnsi="Times New Roman" w:eastAsia="仿宋_GB2312"/>
          <w:sz w:val="32"/>
          <w:szCs w:val="32"/>
        </w:rPr>
        <w:t>本规划由张店区妇女儿童工作委员会负责解释。</w:t>
      </w:r>
    </w:p>
    <w:p>
      <w:pPr>
        <w:spacing w:line="560" w:lineRule="exact"/>
        <w:rPr>
          <w:rFonts w:ascii="Times New Roman" w:hAnsi="Times New Roman" w:eastAsia="仿宋_GB2312" w:cs="仿宋_GB2312"/>
          <w:sz w:val="32"/>
          <w:szCs w:val="32"/>
        </w:rPr>
      </w:pPr>
    </w:p>
    <w:p>
      <w:pPr>
        <w:spacing w:line="560" w:lineRule="exact"/>
        <w:rPr>
          <w:rFonts w:ascii="Times New Roman" w:hAnsi="Times New Roman" w:eastAsia="仿宋_GB2312" w:cs="仿宋_GB2312"/>
          <w:sz w:val="32"/>
          <w:szCs w:val="32"/>
        </w:rPr>
      </w:pPr>
    </w:p>
    <w:p>
      <w:pPr>
        <w:spacing w:line="560" w:lineRule="exact"/>
        <w:rPr>
          <w:rFonts w:hint="eastAsia" w:ascii="Times New Roman" w:hAnsi="Times New Roman" w:eastAsia="仿宋_GB2312" w:cs="仿宋_GB2312"/>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autoSpaceDE w:val="0"/>
        <w:autoSpaceDN w:val="0"/>
        <w:adjustRightInd w:val="0"/>
        <w:spacing w:line="560" w:lineRule="exact"/>
        <w:jc w:val="center"/>
        <w:rPr>
          <w:rFonts w:ascii="Times New Roman" w:hAnsi="Times New Roman" w:eastAsia="方正小标宋简体" w:cs="MicrosoftYaHei"/>
          <w:sz w:val="44"/>
          <w:szCs w:val="44"/>
        </w:rPr>
      </w:pPr>
      <w:r>
        <w:rPr>
          <w:rFonts w:hint="eastAsia" w:ascii="Times New Roman" w:hAnsi="Times New Roman" w:eastAsia="方正小标宋简体" w:cs="MicrosoftYaHei"/>
          <w:sz w:val="44"/>
          <w:szCs w:val="44"/>
        </w:rPr>
        <w:t>张店区“十四五”儿童发展规划</w:t>
      </w:r>
    </w:p>
    <w:p>
      <w:pPr>
        <w:spacing w:line="560" w:lineRule="exact"/>
        <w:ind w:firstLine="632" w:firstLineChars="200"/>
        <w:rPr>
          <w:rFonts w:ascii="Times New Roman" w:hAnsi="Times New Roman" w:eastAsia="仿宋_GB2312" w:cs="宋体"/>
          <w:sz w:val="32"/>
          <w:szCs w:val="32"/>
        </w:rPr>
      </w:pP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少年儿童是祖国的未来，民族的希望。当代少年儿童既是实现第一个百年奋斗目标的经历者、见证者，更是实现第二个百年奋斗目标、全面建设社会主义现代化国家的生力军。促进儿童健康成长，</w:t>
      </w:r>
      <w:r>
        <w:rPr>
          <w:rFonts w:hint="eastAsia" w:ascii="Times New Roman" w:hAnsi="Times New Roman" w:eastAsia="仿宋_GB2312" w:cs="仿宋_GB2312"/>
          <w:sz w:val="32"/>
          <w:szCs w:val="32"/>
          <w:shd w:val="clear" w:color="auto" w:fill="FFFFFF"/>
        </w:rPr>
        <w:t>能够为国家可持续发展提供宝贵资源和不竭动力，是建设社会主义现代化强国、实现中华民族伟大复兴中国梦的必然要求</w:t>
      </w:r>
      <w:r>
        <w:rPr>
          <w:rFonts w:hint="eastAsia" w:ascii="Times New Roman" w:hAnsi="Times New Roman" w:eastAsia="仿宋_GB2312" w:cs="宋体"/>
          <w:sz w:val="32"/>
          <w:szCs w:val="32"/>
        </w:rPr>
        <w:t>。</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党和国家始终高度重视儿童事业和儿童发展。党的十八大以来，以习近平同志为核心的党中央把培养好少年儿童作为一项</w:t>
      </w:r>
      <w:r>
        <w:rPr>
          <w:rFonts w:hint="eastAsia" w:ascii="Times New Roman" w:hAnsi="Times New Roman" w:eastAsia="仿宋_GB2312" w:cs="仿宋_GB2312"/>
          <w:sz w:val="32"/>
          <w:szCs w:val="32"/>
          <w:shd w:val="clear" w:color="auto" w:fill="FFFFFF"/>
        </w:rPr>
        <w:t>战略性、基础性工作，坚持儿童优先原则，</w:t>
      </w:r>
      <w:r>
        <w:rPr>
          <w:rFonts w:hint="eastAsia" w:ascii="Times New Roman" w:hAnsi="Times New Roman" w:eastAsia="仿宋_GB2312" w:cs="宋体"/>
          <w:sz w:val="32"/>
          <w:szCs w:val="32"/>
        </w:rPr>
        <w:t>儿童发展和儿童事业取得了历史性新成就。我区已制定实施了五个周期儿童发展纲要、规划，为儿童生存、发展、受保护和参与权利的实现提供了重要保障。“十三五”期间，我区保障儿童权利的政策体系进一步完善，儿童健康核心指标达到发达国家水平，儿童教育普及程度进一步提高，儿童安全得到进一步保障，儿童福利保障水平进一步提升，农村留守儿童、困境儿童等弱势群体得到更多关爱和保护，儿童法律保护不断加强，儿童生存发展环境进一步优化，儿童工作的法制化和科学化水平显著提高。</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受经济社会发展水平制约，我区儿童发展和权利保护仍面临一些问题和挑战，儿童事业发展仍然存在不平衡不充分问题，不能适应推动张店高质量发展的新要求和儿童及其家庭的新期盼。贯彻儿童优先原则的力度需要进一步加大，儿童思想引领的时代性和实效性有待加强，保障儿童权利的法治建设需要持续推进，儿童发展的城乡、区域和群体差距依然存在，基层儿童保护服务网底尚待编密织牢，科技进步和生活方式变革给儿童发展带来新挑战，儿童事业发展使命艰巨、任重道远。</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十四五”时期，我区将扛实中心城区核心区发展责任，不断提升中心城区首位度、贡献度，各种积极因素加速集聚，为儿童全面发展和儿童事业发展提供了前所未有的重大战略机遇。坚持以人民为中心的发展思想，为增进儿童福祉注入了强大动力。完善和发展中国特色社会主义制度，推进国家治理体系和治理能力现代化为儿童工作创新发展提供了重要保证。站在新的历史起点上，需要进一步落实儿童优先原则，全面提高儿童综合素质，培养造就德智体美劳全面发展的社会主义建设者和接班人。</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依据《中华人民共和国宪法》《中华人民共和国民法典》《中华人民共和国未成年人保护法》等法律法规，按照《中国儿童发展纲要（</w:t>
      </w:r>
      <w:r>
        <w:rPr>
          <w:rFonts w:ascii="Times New Roman" w:hAnsi="Times New Roman" w:eastAsia="仿宋_GB2312" w:cs="宋体"/>
          <w:sz w:val="32"/>
          <w:szCs w:val="32"/>
        </w:rPr>
        <w:t>2021-2030</w:t>
      </w:r>
      <w:r>
        <w:rPr>
          <w:rFonts w:hint="eastAsia" w:ascii="Times New Roman" w:hAnsi="Times New Roman" w:eastAsia="仿宋_GB2312" w:cs="宋体"/>
          <w:sz w:val="32"/>
          <w:szCs w:val="32"/>
        </w:rPr>
        <w:t>年）》</w:t>
      </w:r>
      <w:r>
        <w:rPr>
          <w:rFonts w:hint="eastAsia" w:ascii="Times New Roman" w:hAnsi="Times New Roman" w:eastAsia="仿宋_GB2312" w:cs="仿宋"/>
          <w:sz w:val="32"/>
          <w:szCs w:val="32"/>
        </w:rPr>
        <w:t>《山东省“十四五”儿童发展规划》《淄博市“十四五”儿童发展规划》《张店区国民经济和社会发展第十四个五年规划和2035年远景目标纲要》</w:t>
      </w:r>
      <w:r>
        <w:rPr>
          <w:rFonts w:hint="eastAsia" w:ascii="Times New Roman" w:hAnsi="Times New Roman" w:eastAsia="仿宋_GB2312" w:cs="宋体"/>
          <w:sz w:val="32"/>
          <w:szCs w:val="32"/>
        </w:rPr>
        <w:t>的总体要求，结合我区儿童发展实际，制定本规划。</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本规划所称儿童是指未满</w:t>
      </w:r>
      <w:r>
        <w:rPr>
          <w:rFonts w:ascii="Times New Roman" w:hAnsi="Times New Roman" w:eastAsia="仿宋_GB2312" w:cs="宋体"/>
          <w:sz w:val="32"/>
          <w:szCs w:val="32"/>
        </w:rPr>
        <w:t>18</w:t>
      </w:r>
      <w:r>
        <w:rPr>
          <w:rFonts w:hint="eastAsia" w:ascii="Times New Roman" w:hAnsi="Times New Roman" w:eastAsia="仿宋_GB2312" w:cs="宋体"/>
          <w:sz w:val="32"/>
          <w:szCs w:val="32"/>
        </w:rPr>
        <w:t>周岁的自然人。</w:t>
      </w:r>
    </w:p>
    <w:p>
      <w:pPr>
        <w:pStyle w:val="3"/>
        <w:spacing w:before="0" w:beforeLines="0" w:line="560" w:lineRule="exact"/>
        <w:ind w:firstLine="640"/>
        <w:jc w:val="left"/>
        <w:rPr>
          <w:rFonts w:ascii="Times New Roman" w:hAnsi="Times New Roman"/>
          <w:bCs/>
          <w:lang w:eastAsia="zh-CN"/>
        </w:rPr>
      </w:pPr>
      <w:bookmarkStart w:id="359" w:name="_Toc11461"/>
      <w:r>
        <w:rPr>
          <w:rFonts w:hint="eastAsia" w:ascii="Times New Roman" w:hAnsi="Times New Roman"/>
          <w:bCs/>
          <w:lang w:eastAsia="zh-CN"/>
        </w:rPr>
        <w:t>一、指导思想和基本原则</w:t>
      </w:r>
      <w:bookmarkEnd w:id="359"/>
    </w:p>
    <w:p>
      <w:pPr>
        <w:pStyle w:val="5"/>
        <w:spacing w:line="560" w:lineRule="exact"/>
        <w:ind w:firstLine="640"/>
        <w:rPr>
          <w:rFonts w:ascii="Times New Roman" w:hAnsi="Times New Roman"/>
          <w:b w:val="0"/>
          <w:bCs/>
          <w:lang w:eastAsia="zh-CN"/>
        </w:rPr>
      </w:pPr>
      <w:bookmarkStart w:id="360" w:name="_Toc20646"/>
      <w:r>
        <w:rPr>
          <w:rFonts w:hint="eastAsia" w:ascii="Times New Roman" w:hAnsi="Times New Roman"/>
          <w:b w:val="0"/>
          <w:bCs/>
          <w:lang w:eastAsia="zh-CN"/>
        </w:rPr>
        <w:t>（一）指导思想</w:t>
      </w:r>
      <w:bookmarkEnd w:id="360"/>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坚持以习近平新时代中国特色社会主义思想为指导，深入贯彻党的十九大和十九届二中、三中、四中、五中、六中全会精神，坚持走中国特色社会主义儿童发展道路，坚持以人民为中心的发展思想，在把握新发展阶段，贯彻新发展理念，融入新发展格局中，认真贯彻落实习近平总书记对山东工作和儿童工作的重要指示要求，坚持和完善最有利于儿童、促进儿童全面发展的制度机制，落实立德树人根本任务，优化儿童发展环境，保障儿童生存、发展、受保护和参与权利，全面提升儿童整体素质，促进儿童和儿童事业全面发展。</w:t>
      </w:r>
    </w:p>
    <w:p>
      <w:pPr>
        <w:pStyle w:val="5"/>
        <w:spacing w:line="560" w:lineRule="exact"/>
        <w:ind w:firstLine="640"/>
        <w:rPr>
          <w:rFonts w:ascii="Times New Roman" w:hAnsi="Times New Roman"/>
          <w:b w:val="0"/>
          <w:bCs/>
          <w:lang w:eastAsia="zh-CN"/>
        </w:rPr>
      </w:pPr>
      <w:bookmarkStart w:id="361" w:name="_Toc26035"/>
      <w:r>
        <w:rPr>
          <w:rFonts w:hint="eastAsia" w:ascii="Times New Roman" w:hAnsi="Times New Roman"/>
          <w:b w:val="0"/>
          <w:bCs/>
          <w:lang w:eastAsia="zh-CN"/>
        </w:rPr>
        <w:t>（二）基本原则</w:t>
      </w:r>
      <w:bookmarkEnd w:id="361"/>
    </w:p>
    <w:p>
      <w:pPr>
        <w:spacing w:line="560" w:lineRule="exact"/>
        <w:ind w:firstLine="632" w:firstLineChars="200"/>
        <w:rPr>
          <w:rFonts w:ascii="Times New Roman" w:hAnsi="Times New Roman" w:eastAsia="仿宋_GB2312" w:cs="宋体"/>
          <w:sz w:val="32"/>
          <w:szCs w:val="32"/>
        </w:rPr>
      </w:pPr>
      <w:r>
        <w:rPr>
          <w:rFonts w:ascii="Times New Roman" w:hAnsi="Times New Roman" w:eastAsia="仿宋_GB2312" w:cs="宋体"/>
          <w:sz w:val="32"/>
          <w:szCs w:val="32"/>
        </w:rPr>
        <w:t>1.</w:t>
      </w:r>
      <w:r>
        <w:rPr>
          <w:rFonts w:hint="eastAsia" w:ascii="Times New Roman" w:hAnsi="Times New Roman" w:eastAsia="仿宋_GB2312" w:cs="宋体"/>
          <w:sz w:val="32"/>
          <w:szCs w:val="32"/>
        </w:rPr>
        <w:t>坚持党的全面领导。把握儿童事业发展的政治方向，贯彻落实党中央关于儿童事业发展的重要决策部署和省委、市委工作要求，区委工作安排，切实把党的领导贯彻到儿童事业发展全过程和各方面。</w:t>
      </w:r>
    </w:p>
    <w:p>
      <w:pPr>
        <w:spacing w:line="560" w:lineRule="exact"/>
        <w:ind w:firstLine="632" w:firstLineChars="200"/>
        <w:rPr>
          <w:rFonts w:ascii="Times New Roman" w:hAnsi="Times New Roman" w:eastAsia="仿宋_GB2312" w:cs="宋体"/>
          <w:sz w:val="32"/>
          <w:szCs w:val="32"/>
        </w:rPr>
      </w:pPr>
      <w:r>
        <w:rPr>
          <w:rFonts w:ascii="Times New Roman" w:hAnsi="Times New Roman" w:eastAsia="仿宋_GB2312" w:cs="宋体"/>
          <w:sz w:val="32"/>
          <w:szCs w:val="32"/>
        </w:rPr>
        <w:t>2.</w:t>
      </w:r>
      <w:r>
        <w:rPr>
          <w:rFonts w:hint="eastAsia" w:ascii="Times New Roman" w:hAnsi="Times New Roman" w:eastAsia="仿宋_GB2312" w:cs="宋体"/>
          <w:sz w:val="32"/>
          <w:szCs w:val="32"/>
        </w:rPr>
        <w:t>坚持对儿童</w:t>
      </w:r>
      <w:r>
        <w:rPr>
          <w:rFonts w:hint="eastAsia" w:ascii="Times New Roman" w:hAnsi="Times New Roman" w:eastAsia="仿宋_GB2312" w:cs="仿宋_GB2312"/>
          <w:sz w:val="32"/>
          <w:szCs w:val="32"/>
          <w:shd w:val="clear" w:color="auto" w:fill="FFFFFF"/>
        </w:rPr>
        <w:t>发展的优先保障</w:t>
      </w:r>
      <w:r>
        <w:rPr>
          <w:rFonts w:hint="eastAsia" w:ascii="Times New Roman" w:hAnsi="Times New Roman" w:eastAsia="仿宋_GB2312" w:cs="宋体"/>
          <w:sz w:val="32"/>
          <w:szCs w:val="32"/>
        </w:rPr>
        <w:t>。在出台规范性文件、编制规划、配置资源、部署工作时优先考虑儿童的最大利益和发展需求。</w:t>
      </w:r>
    </w:p>
    <w:p>
      <w:pPr>
        <w:spacing w:line="560" w:lineRule="exact"/>
        <w:ind w:firstLine="632" w:firstLineChars="200"/>
        <w:rPr>
          <w:rFonts w:ascii="Times New Roman" w:hAnsi="Times New Roman" w:eastAsia="仿宋_GB2312" w:cs="宋体"/>
          <w:sz w:val="32"/>
          <w:szCs w:val="32"/>
        </w:rPr>
      </w:pPr>
      <w:r>
        <w:rPr>
          <w:rFonts w:ascii="Times New Roman" w:hAnsi="Times New Roman" w:eastAsia="仿宋_GB2312" w:cs="宋体"/>
          <w:sz w:val="32"/>
          <w:szCs w:val="32"/>
        </w:rPr>
        <w:t>3.</w:t>
      </w:r>
      <w:r>
        <w:rPr>
          <w:rFonts w:hint="eastAsia" w:ascii="Times New Roman" w:hAnsi="Times New Roman" w:eastAsia="仿宋_GB2312" w:cs="宋体"/>
          <w:sz w:val="32"/>
          <w:szCs w:val="32"/>
        </w:rPr>
        <w:t>坚持促进儿童全面发展。尊重儿童的人格尊严，遵循儿童身心发展特点和规律，保障儿童身心健康，促进儿童在德智体美劳各方面实现全面发展。</w:t>
      </w:r>
    </w:p>
    <w:p>
      <w:pPr>
        <w:spacing w:line="560" w:lineRule="exact"/>
        <w:ind w:firstLine="632" w:firstLineChars="200"/>
        <w:rPr>
          <w:rFonts w:ascii="Times New Roman" w:hAnsi="Times New Roman" w:eastAsia="仿宋_GB2312" w:cs="宋体"/>
          <w:sz w:val="32"/>
          <w:szCs w:val="32"/>
        </w:rPr>
      </w:pPr>
      <w:r>
        <w:rPr>
          <w:rFonts w:ascii="Times New Roman" w:hAnsi="Times New Roman" w:eastAsia="仿宋_GB2312" w:cs="宋体"/>
          <w:sz w:val="32"/>
          <w:szCs w:val="32"/>
        </w:rPr>
        <w:t>4.</w:t>
      </w:r>
      <w:r>
        <w:rPr>
          <w:rFonts w:hint="eastAsia" w:ascii="Times New Roman" w:hAnsi="Times New Roman" w:eastAsia="仿宋_GB2312" w:cs="宋体"/>
          <w:sz w:val="32"/>
          <w:szCs w:val="32"/>
        </w:rPr>
        <w:t>坚持保障儿童平等发展。</w:t>
      </w:r>
      <w:r>
        <w:rPr>
          <w:rFonts w:hint="eastAsia" w:ascii="Times New Roman" w:hAnsi="Times New Roman" w:eastAsia="仿宋_GB2312" w:cs="仿宋_GB2312"/>
          <w:sz w:val="32"/>
          <w:szCs w:val="32"/>
          <w:shd w:val="clear" w:color="auto" w:fill="FFFFFF"/>
        </w:rPr>
        <w:t>创造公平社会环境，</w:t>
      </w:r>
      <w:r>
        <w:rPr>
          <w:rFonts w:hint="eastAsia" w:ascii="Times New Roman" w:hAnsi="Times New Roman" w:eastAsia="仿宋_GB2312" w:cs="宋体"/>
          <w:sz w:val="32"/>
          <w:szCs w:val="32"/>
        </w:rPr>
        <w:t>消除对儿童一切形式的歧视，保障所有儿童平等享有发展权利和机会。</w:t>
      </w:r>
    </w:p>
    <w:p>
      <w:pPr>
        <w:spacing w:line="560" w:lineRule="exact"/>
        <w:ind w:firstLine="632" w:firstLineChars="200"/>
        <w:rPr>
          <w:rFonts w:ascii="Times New Roman" w:hAnsi="Times New Roman" w:eastAsia="仿宋_GB2312" w:cs="宋体"/>
          <w:sz w:val="32"/>
          <w:szCs w:val="32"/>
        </w:rPr>
      </w:pPr>
      <w:r>
        <w:rPr>
          <w:rFonts w:ascii="Times New Roman" w:hAnsi="Times New Roman" w:eastAsia="仿宋_GB2312" w:cs="宋体"/>
          <w:sz w:val="32"/>
          <w:szCs w:val="32"/>
        </w:rPr>
        <w:t>5.</w:t>
      </w:r>
      <w:r>
        <w:rPr>
          <w:rFonts w:hint="eastAsia" w:ascii="Times New Roman" w:hAnsi="Times New Roman" w:eastAsia="仿宋_GB2312" w:cs="仿宋_GB2312"/>
          <w:sz w:val="32"/>
          <w:szCs w:val="32"/>
          <w:shd w:val="clear" w:color="auto" w:fill="FFFFFF"/>
        </w:rPr>
        <w:t>坚持鼓励</w:t>
      </w:r>
      <w:r>
        <w:rPr>
          <w:rFonts w:hint="eastAsia" w:ascii="Times New Roman" w:hAnsi="Times New Roman" w:eastAsia="仿宋_GB2312" w:cs="宋体"/>
          <w:sz w:val="32"/>
          <w:szCs w:val="32"/>
        </w:rPr>
        <w:t>儿童参与。尊重儿童主体地位，鼓励和支持儿童参与家庭、社会和文化生活，创造有利于儿童参与的社会环境。</w:t>
      </w:r>
    </w:p>
    <w:p>
      <w:pPr>
        <w:pStyle w:val="3"/>
        <w:spacing w:before="0" w:beforeLines="0" w:line="560" w:lineRule="exact"/>
        <w:ind w:firstLine="640"/>
        <w:jc w:val="left"/>
        <w:rPr>
          <w:rFonts w:ascii="Times New Roman" w:hAnsi="Times New Roman"/>
          <w:bCs/>
          <w:lang w:eastAsia="zh-CN"/>
        </w:rPr>
      </w:pPr>
      <w:bookmarkStart w:id="362" w:name="_Toc6319"/>
      <w:r>
        <w:rPr>
          <w:rFonts w:hint="eastAsia" w:ascii="Times New Roman" w:hAnsi="Times New Roman"/>
          <w:bCs/>
          <w:lang w:eastAsia="zh-CN"/>
        </w:rPr>
        <w:t>二、总体目标</w:t>
      </w:r>
      <w:bookmarkEnd w:id="362"/>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建设儿童友好城市，儿童友好理念深入人心，在公共服务、权利保障、成长空间、发展环境、社会政策等方面落实儿童友好要求。保障儿童权利的政策体系更加健全，促进儿童发展的工作机制更加完善，儿童优先的社会风尚普遍形成，城乡、区域、群体之间儿童发展差距显著缩小。儿童享有更加均等、可及和优质的基本公共服务，享有更加普惠和优越的福利保障，享有更加和谐友好的家庭和社会环境。儿童在健康、安全、教育、福利、法律保护、家庭、环境领域的权利进一步实现，思想道德素养和全面发展水平显著提升，获得感、幸福感、安全感明显增强。</w:t>
      </w:r>
    </w:p>
    <w:p>
      <w:pPr>
        <w:pStyle w:val="3"/>
        <w:spacing w:before="0" w:beforeLines="0" w:line="560" w:lineRule="exact"/>
        <w:ind w:firstLine="640"/>
        <w:jc w:val="left"/>
        <w:rPr>
          <w:rFonts w:ascii="Times New Roman" w:hAnsi="Times New Roman"/>
          <w:bCs/>
          <w:lang w:eastAsia="zh-CN"/>
        </w:rPr>
      </w:pPr>
      <w:bookmarkStart w:id="363" w:name="_Toc3267"/>
      <w:r>
        <w:rPr>
          <w:rFonts w:hint="eastAsia" w:ascii="Times New Roman" w:hAnsi="Times New Roman"/>
          <w:bCs/>
          <w:lang w:eastAsia="zh-CN"/>
        </w:rPr>
        <w:t>三、发展领域、主要目标和策略措施</w:t>
      </w:r>
      <w:bookmarkEnd w:id="363"/>
    </w:p>
    <w:p>
      <w:pPr>
        <w:pStyle w:val="5"/>
        <w:spacing w:line="560" w:lineRule="exact"/>
        <w:ind w:firstLine="640"/>
        <w:rPr>
          <w:rFonts w:ascii="Times New Roman" w:hAnsi="Times New Roman"/>
          <w:b w:val="0"/>
          <w:bCs/>
          <w:lang w:eastAsia="zh-CN"/>
        </w:rPr>
      </w:pPr>
      <w:bookmarkStart w:id="364" w:name="_Toc7962"/>
      <w:r>
        <w:rPr>
          <w:rFonts w:hint="eastAsia" w:ascii="Times New Roman" w:hAnsi="Times New Roman"/>
          <w:b w:val="0"/>
          <w:bCs/>
          <w:lang w:eastAsia="zh-CN"/>
        </w:rPr>
        <w:t>（一）儿童与健康</w:t>
      </w:r>
      <w:bookmarkEnd w:id="364"/>
    </w:p>
    <w:p>
      <w:pPr>
        <w:spacing w:line="560" w:lineRule="exact"/>
        <w:ind w:firstLine="632" w:firstLineChars="200"/>
        <w:rPr>
          <w:rFonts w:ascii="Times New Roman" w:hAnsi="Times New Roman" w:eastAsia="仿宋_GB2312" w:cs="宋体"/>
          <w:sz w:val="32"/>
          <w:szCs w:val="32"/>
        </w:rPr>
      </w:pPr>
      <w:r>
        <w:rPr>
          <w:rFonts w:ascii="Times New Roman" w:hAnsi="Times New Roman" w:eastAsia="仿宋_GB2312" w:cs="宋体"/>
          <w:sz w:val="32"/>
          <w:szCs w:val="32"/>
        </w:rPr>
        <w:t>1.</w:t>
      </w:r>
      <w:r>
        <w:rPr>
          <w:rFonts w:hint="eastAsia" w:ascii="Times New Roman" w:hAnsi="Times New Roman" w:eastAsia="仿宋_GB2312" w:cs="宋体"/>
          <w:sz w:val="32"/>
          <w:szCs w:val="32"/>
        </w:rPr>
        <w:t>主要目标</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w:t>
      </w:r>
      <w:r>
        <w:rPr>
          <w:rFonts w:hint="eastAsia" w:ascii="Times New Roman" w:hAnsi="Times New Roman" w:eastAsia="仿宋_GB2312" w:cs="宋体"/>
          <w:sz w:val="32"/>
          <w:szCs w:val="32"/>
        </w:rPr>
        <w:t>）覆盖城乡的儿童健康服务体系更加完善，儿童医疗保健服务能力显著增强，儿童健康水平不断提高。（牵头单位：区卫生健康局。责任单位：区发展改革局、市医保局张店分局）</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2</w:t>
      </w:r>
      <w:r>
        <w:rPr>
          <w:rFonts w:hint="eastAsia" w:ascii="Times New Roman" w:hAnsi="Times New Roman" w:eastAsia="仿宋_GB2312" w:cs="宋体"/>
          <w:sz w:val="32"/>
          <w:szCs w:val="32"/>
        </w:rPr>
        <w:t>）普及儿童健康生活方式，提高儿童及其照护人健康素养。（牵头单位：区卫生健康局。责任单位：区委宣传部、区教体局、区民政局、区妇联、区残联、区科协、团区委、区融媒体中心）</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3</w:t>
      </w:r>
      <w:r>
        <w:rPr>
          <w:rFonts w:hint="eastAsia" w:ascii="Times New Roman" w:hAnsi="Times New Roman" w:eastAsia="仿宋_GB2312" w:cs="宋体"/>
          <w:sz w:val="32"/>
          <w:szCs w:val="32"/>
        </w:rPr>
        <w:t>）新生儿、婴儿和</w:t>
      </w:r>
      <w:r>
        <w:rPr>
          <w:rFonts w:ascii="Times New Roman" w:hAnsi="Times New Roman" w:eastAsia="仿宋_GB2312" w:cs="宋体"/>
          <w:sz w:val="32"/>
          <w:szCs w:val="32"/>
        </w:rPr>
        <w:t>5</w:t>
      </w:r>
      <w:r>
        <w:rPr>
          <w:rFonts w:hint="eastAsia" w:ascii="Times New Roman" w:hAnsi="Times New Roman" w:eastAsia="仿宋_GB2312" w:cs="宋体"/>
          <w:sz w:val="32"/>
          <w:szCs w:val="32"/>
        </w:rPr>
        <w:t>岁以下儿童死亡率分别控制在</w:t>
      </w:r>
      <w:r>
        <w:rPr>
          <w:rFonts w:ascii="Times New Roman" w:hAnsi="Times New Roman" w:eastAsia="仿宋_GB2312" w:cs="宋体"/>
          <w:sz w:val="32"/>
          <w:szCs w:val="32"/>
        </w:rPr>
        <w:t>3</w:t>
      </w:r>
      <w:r>
        <w:rPr>
          <w:rFonts w:hint="eastAsia" w:ascii="Times New Roman" w:hAnsi="Times New Roman" w:eastAsia="仿宋_GB2312" w:cs="宋体"/>
          <w:sz w:val="32"/>
          <w:szCs w:val="32"/>
        </w:rPr>
        <w:t>‰、</w:t>
      </w:r>
      <w:r>
        <w:rPr>
          <w:rFonts w:ascii="Times New Roman" w:hAnsi="Times New Roman" w:eastAsia="仿宋_GB2312" w:cs="宋体"/>
          <w:sz w:val="32"/>
          <w:szCs w:val="32"/>
        </w:rPr>
        <w:t>3.3</w:t>
      </w:r>
      <w:r>
        <w:rPr>
          <w:rFonts w:hint="eastAsia" w:ascii="Times New Roman" w:hAnsi="Times New Roman" w:eastAsia="仿宋_GB2312" w:cs="宋体"/>
          <w:sz w:val="32"/>
          <w:szCs w:val="32"/>
        </w:rPr>
        <w:t>‰和</w:t>
      </w:r>
      <w:r>
        <w:rPr>
          <w:rFonts w:ascii="Times New Roman" w:hAnsi="Times New Roman" w:eastAsia="仿宋_GB2312" w:cs="宋体"/>
          <w:sz w:val="32"/>
          <w:szCs w:val="32"/>
        </w:rPr>
        <w:t>4</w:t>
      </w:r>
      <w:r>
        <w:rPr>
          <w:rFonts w:hint="eastAsia" w:ascii="Times New Roman" w:hAnsi="Times New Roman" w:eastAsia="仿宋_GB2312" w:cs="宋体"/>
          <w:sz w:val="32"/>
          <w:szCs w:val="32"/>
        </w:rPr>
        <w:t>‰以下，城乡差距逐步缩小。（牵头单位：区卫生健康局。责任单位：区发展改革局）</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4</w:t>
      </w:r>
      <w:r>
        <w:rPr>
          <w:rFonts w:hint="eastAsia" w:ascii="Times New Roman" w:hAnsi="Times New Roman" w:eastAsia="仿宋_GB2312" w:cs="宋体"/>
          <w:sz w:val="32"/>
          <w:szCs w:val="32"/>
        </w:rPr>
        <w:t>）构建完善覆盖婚前、孕前、孕期、新生儿和儿童各阶段的出生缺陷防治体系，预防和控制出生缺陷。（牵头单位：区卫生健康局。责任单位：区民政局、区总工会、区科技局、区残联、市生态环境局张店分局）</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5</w:t>
      </w:r>
      <w:r>
        <w:rPr>
          <w:rFonts w:hint="eastAsia" w:ascii="Times New Roman" w:hAnsi="Times New Roman" w:eastAsia="仿宋_GB2312" w:cs="宋体"/>
          <w:sz w:val="32"/>
          <w:szCs w:val="32"/>
        </w:rPr>
        <w:t>）儿童常见疾病和恶性肿瘤等严重危害儿童健康的疾病得到有效防治。（牵头单位：区卫生健康局。责任单位：区教体局、市医保局张店分局、市生态环境局张店分局）</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6</w:t>
      </w:r>
      <w:r>
        <w:rPr>
          <w:rFonts w:hint="eastAsia" w:ascii="Times New Roman" w:hAnsi="Times New Roman" w:eastAsia="仿宋_GB2312" w:cs="宋体"/>
          <w:sz w:val="32"/>
          <w:szCs w:val="32"/>
        </w:rPr>
        <w:t>）适龄儿童国家免疫规划疫苗接种率以镇（街道）为单位保持在</w:t>
      </w:r>
      <w:r>
        <w:rPr>
          <w:rFonts w:ascii="Times New Roman" w:hAnsi="Times New Roman" w:eastAsia="仿宋_GB2312" w:cs="宋体"/>
          <w:sz w:val="32"/>
          <w:szCs w:val="32"/>
        </w:rPr>
        <w:t>90%</w:t>
      </w:r>
      <w:r>
        <w:rPr>
          <w:rFonts w:hint="eastAsia" w:ascii="Times New Roman" w:hAnsi="Times New Roman" w:eastAsia="仿宋_GB2312" w:cs="宋体"/>
          <w:sz w:val="32"/>
          <w:szCs w:val="32"/>
        </w:rPr>
        <w:t>以上（牵头单位：区卫生健康局。责任单位：区市场监管局）</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7</w:t>
      </w:r>
      <w:r>
        <w:rPr>
          <w:rFonts w:hint="eastAsia" w:ascii="Times New Roman" w:hAnsi="Times New Roman" w:eastAsia="仿宋_GB2312" w:cs="宋体"/>
          <w:sz w:val="32"/>
          <w:szCs w:val="32"/>
        </w:rPr>
        <w:t>）</w:t>
      </w:r>
      <w:r>
        <w:rPr>
          <w:rFonts w:ascii="Times New Roman" w:hAnsi="Times New Roman" w:eastAsia="仿宋_GB2312" w:cs="宋体"/>
          <w:sz w:val="32"/>
          <w:szCs w:val="32"/>
        </w:rPr>
        <w:t>5</w:t>
      </w:r>
      <w:r>
        <w:rPr>
          <w:rFonts w:hint="eastAsia" w:ascii="Times New Roman" w:hAnsi="Times New Roman" w:eastAsia="仿宋_GB2312" w:cs="宋体"/>
          <w:sz w:val="32"/>
          <w:szCs w:val="32"/>
        </w:rPr>
        <w:t>岁以下儿童贫血率和生长迟缓率分别控制在</w:t>
      </w:r>
      <w:r>
        <w:rPr>
          <w:rFonts w:ascii="Times New Roman" w:hAnsi="Times New Roman" w:eastAsia="仿宋_GB2312" w:cs="宋体"/>
          <w:sz w:val="32"/>
          <w:szCs w:val="32"/>
        </w:rPr>
        <w:t>4%</w:t>
      </w:r>
      <w:r>
        <w:rPr>
          <w:rFonts w:hint="eastAsia" w:ascii="Times New Roman" w:hAnsi="Times New Roman" w:eastAsia="仿宋_GB2312" w:cs="宋体"/>
          <w:sz w:val="32"/>
          <w:szCs w:val="32"/>
        </w:rPr>
        <w:t>和</w:t>
      </w:r>
      <w:r>
        <w:rPr>
          <w:rFonts w:ascii="Times New Roman" w:hAnsi="Times New Roman" w:eastAsia="仿宋_GB2312" w:cs="宋体"/>
          <w:sz w:val="32"/>
          <w:szCs w:val="32"/>
        </w:rPr>
        <w:t>1.8%</w:t>
      </w:r>
      <w:r>
        <w:rPr>
          <w:rFonts w:hint="eastAsia" w:ascii="Times New Roman" w:hAnsi="Times New Roman" w:eastAsia="仿宋_GB2312" w:cs="宋体"/>
          <w:sz w:val="32"/>
          <w:szCs w:val="32"/>
        </w:rPr>
        <w:t>以下，儿童超重、肥胖上升趋势得到有效控制。（牵头单位：区卫生健康局。责任单位：区教体局、区关工委、区残联、区妇联）</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8</w:t>
      </w:r>
      <w:r>
        <w:rPr>
          <w:rFonts w:hint="eastAsia" w:ascii="Times New Roman" w:hAnsi="Times New Roman" w:eastAsia="仿宋_GB2312" w:cs="宋体"/>
          <w:sz w:val="32"/>
          <w:szCs w:val="32"/>
        </w:rPr>
        <w:t>）儿童新发近视率明显下降，儿童总体近视率平均每年降低1个百分点以上。</w:t>
      </w:r>
      <w:r>
        <w:rPr>
          <w:rFonts w:ascii="Times New Roman" w:hAnsi="Times New Roman" w:eastAsia="仿宋_GB2312" w:cs="宋体"/>
          <w:sz w:val="32"/>
          <w:szCs w:val="32"/>
        </w:rPr>
        <w:t>0-6</w:t>
      </w:r>
      <w:r>
        <w:rPr>
          <w:rFonts w:hint="eastAsia" w:ascii="Times New Roman" w:hAnsi="Times New Roman" w:eastAsia="仿宋_GB2312" w:cs="宋体"/>
          <w:sz w:val="32"/>
          <w:szCs w:val="32"/>
        </w:rPr>
        <w:t>岁儿童眼保健和视力检查覆盖率达到</w:t>
      </w:r>
      <w:r>
        <w:rPr>
          <w:rFonts w:ascii="Times New Roman" w:hAnsi="Times New Roman" w:eastAsia="仿宋_GB2312" w:cs="宋体"/>
          <w:sz w:val="32"/>
          <w:szCs w:val="32"/>
        </w:rPr>
        <w:t>98%</w:t>
      </w:r>
      <w:r>
        <w:rPr>
          <w:rFonts w:hint="eastAsia" w:ascii="Times New Roman" w:hAnsi="Times New Roman" w:eastAsia="仿宋_GB2312" w:cs="宋体"/>
          <w:sz w:val="32"/>
          <w:szCs w:val="32"/>
        </w:rPr>
        <w:t>以上。（牵头单位：区教体局、区卫生健康局。责任单位：团区委、区关工委）</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9</w:t>
      </w:r>
      <w:r>
        <w:rPr>
          <w:rFonts w:hint="eastAsia" w:ascii="Times New Roman" w:hAnsi="Times New Roman" w:eastAsia="仿宋_GB2312" w:cs="宋体"/>
          <w:sz w:val="32"/>
          <w:szCs w:val="32"/>
        </w:rPr>
        <w:t>）</w:t>
      </w:r>
      <w:r>
        <w:rPr>
          <w:rFonts w:ascii="Times New Roman" w:hAnsi="Times New Roman" w:eastAsia="仿宋_GB2312" w:cs="宋体"/>
          <w:sz w:val="32"/>
          <w:szCs w:val="32"/>
        </w:rPr>
        <w:t>12</w:t>
      </w:r>
      <w:r>
        <w:rPr>
          <w:rFonts w:hint="eastAsia" w:ascii="Times New Roman" w:hAnsi="Times New Roman" w:eastAsia="仿宋_GB2312" w:cs="宋体"/>
          <w:sz w:val="32"/>
          <w:szCs w:val="32"/>
        </w:rPr>
        <w:t>岁儿童龋患率控制在</w:t>
      </w:r>
      <w:r>
        <w:rPr>
          <w:rFonts w:ascii="Times New Roman" w:hAnsi="Times New Roman" w:eastAsia="仿宋_GB2312" w:cs="宋体"/>
          <w:sz w:val="32"/>
          <w:szCs w:val="32"/>
        </w:rPr>
        <w:t>30%</w:t>
      </w:r>
      <w:r>
        <w:rPr>
          <w:rFonts w:hint="eastAsia" w:ascii="Times New Roman" w:hAnsi="Times New Roman" w:eastAsia="仿宋_GB2312" w:cs="宋体"/>
          <w:sz w:val="32"/>
          <w:szCs w:val="32"/>
        </w:rPr>
        <w:t>以内。（牵头单位：区卫生健康局。责任单位：区发展改革局、区教体局）</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10</w:t>
      </w:r>
      <w:r>
        <w:rPr>
          <w:rFonts w:hint="eastAsia" w:ascii="Times New Roman" w:hAnsi="Times New Roman" w:eastAsia="仿宋_GB2312" w:cs="宋体"/>
          <w:sz w:val="32"/>
          <w:szCs w:val="32"/>
        </w:rPr>
        <w:t>）增强儿童体质，中小学生《国家学生体质健康标准》达标优良率达到</w:t>
      </w:r>
      <w:r>
        <w:rPr>
          <w:rFonts w:ascii="Times New Roman" w:hAnsi="Times New Roman" w:eastAsia="仿宋_GB2312" w:cs="宋体"/>
          <w:sz w:val="32"/>
          <w:szCs w:val="32"/>
        </w:rPr>
        <w:t>52%</w:t>
      </w:r>
      <w:r>
        <w:rPr>
          <w:rFonts w:hint="eastAsia" w:ascii="Times New Roman" w:hAnsi="Times New Roman" w:eastAsia="仿宋_GB2312" w:cs="宋体"/>
          <w:sz w:val="32"/>
          <w:szCs w:val="32"/>
        </w:rPr>
        <w:t>以上。（牵头单位：区教体局。责任单位：团区委、区卫生健康局）</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11</w:t>
      </w:r>
      <w:r>
        <w:rPr>
          <w:rFonts w:hint="eastAsia" w:ascii="Times New Roman" w:hAnsi="Times New Roman" w:eastAsia="仿宋_GB2312" w:cs="宋体"/>
          <w:sz w:val="32"/>
          <w:szCs w:val="32"/>
        </w:rPr>
        <w:t>）增强儿童心理健康服务能力，提升儿童心理健康素养水平。（牵头单位：区卫生健康局、区教体局。责任单位：区民政局、团区委、区关工委、区妇联、区残联、区委宣传部）</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12</w:t>
      </w:r>
      <w:r>
        <w:rPr>
          <w:rFonts w:hint="eastAsia" w:ascii="Times New Roman" w:hAnsi="Times New Roman" w:eastAsia="仿宋_GB2312" w:cs="宋体"/>
          <w:sz w:val="32"/>
          <w:szCs w:val="32"/>
        </w:rPr>
        <w:t>）适龄儿童普遍接受性教育，儿童性健康服务可及性明显提高。（牵头单位：区教体局。责任单位：区卫生健康局、区科协、区妇联、团区委）</w:t>
      </w:r>
    </w:p>
    <w:p>
      <w:pPr>
        <w:spacing w:line="560" w:lineRule="exact"/>
        <w:ind w:firstLine="632" w:firstLineChars="200"/>
        <w:rPr>
          <w:rFonts w:ascii="Times New Roman" w:hAnsi="Times New Roman" w:eastAsia="仿宋_GB2312" w:cs="宋体"/>
          <w:sz w:val="32"/>
          <w:szCs w:val="32"/>
        </w:rPr>
      </w:pPr>
      <w:r>
        <w:rPr>
          <w:rFonts w:ascii="Times New Roman" w:hAnsi="Times New Roman" w:eastAsia="仿宋_GB2312" w:cs="宋体"/>
          <w:sz w:val="32"/>
          <w:szCs w:val="32"/>
        </w:rPr>
        <w:t>2.</w:t>
      </w:r>
      <w:r>
        <w:rPr>
          <w:rFonts w:hint="eastAsia" w:ascii="Times New Roman" w:hAnsi="Times New Roman" w:eastAsia="仿宋_GB2312" w:cs="宋体"/>
          <w:sz w:val="32"/>
          <w:szCs w:val="32"/>
        </w:rPr>
        <w:t>策略措施</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w:t>
      </w:r>
      <w:r>
        <w:rPr>
          <w:rFonts w:hint="eastAsia" w:ascii="Times New Roman" w:hAnsi="Times New Roman" w:eastAsia="仿宋_GB2312" w:cs="宋体"/>
          <w:sz w:val="32"/>
          <w:szCs w:val="32"/>
        </w:rPr>
        <w:t>）完善儿童健康服务体系。健全涵盖儿童的基本医疗卫生制度。加大对儿童医疗卫生与健康事业的投入力度，建设</w:t>
      </w:r>
      <w:r>
        <w:rPr>
          <w:rFonts w:ascii="Times New Roman" w:hAnsi="Times New Roman" w:eastAsia="仿宋_GB2312" w:cs="宋体"/>
          <w:sz w:val="32"/>
          <w:szCs w:val="32"/>
        </w:rPr>
        <w:t>1</w:t>
      </w:r>
      <w:r>
        <w:rPr>
          <w:rFonts w:hint="eastAsia" w:ascii="Times New Roman" w:hAnsi="Times New Roman" w:eastAsia="仿宋_GB2312" w:cs="宋体"/>
          <w:sz w:val="32"/>
          <w:szCs w:val="32"/>
        </w:rPr>
        <w:t>所由政府举办、标准化妇幼保健机构。推进医联体、医共体建设，促进新生儿科、儿科与儿童保健科的优质资源共享，逐步实现妇幼健康服务均等化。完善儿童急救体系。建设一体化妇幼健康信息平台，加快建设全区妇幼健康管理信息系统，完善儿童健康统计制度，推进“互联网</w:t>
      </w:r>
      <w:r>
        <w:rPr>
          <w:rFonts w:ascii="Times New Roman" w:hAnsi="Times New Roman" w:eastAsia="仿宋_GB2312" w:cs="宋体"/>
          <w:sz w:val="32"/>
          <w:szCs w:val="32"/>
        </w:rPr>
        <w:t>+</w:t>
      </w:r>
      <w:r>
        <w:rPr>
          <w:rFonts w:hint="eastAsia" w:ascii="Times New Roman" w:hAnsi="Times New Roman" w:eastAsia="仿宋_GB2312" w:cs="宋体"/>
          <w:sz w:val="32"/>
          <w:szCs w:val="32"/>
        </w:rPr>
        <w:t>妇幼健康”服务模式，完善妇幼健康大数据，加强信息互联共享，实现儿童健康全周期全过程管理和服务的信息化、智能化。加快儿童医学人才培养，提高全科医生的儿科和儿童保健专业技能与薪酬待遇，增强岗位吸引力。每千名儿童拥有儿科执业（助理）医生</w:t>
      </w:r>
      <w:r>
        <w:rPr>
          <w:rFonts w:ascii="Times New Roman" w:hAnsi="Times New Roman" w:eastAsia="仿宋_GB2312" w:cs="宋体"/>
          <w:sz w:val="32"/>
          <w:szCs w:val="32"/>
        </w:rPr>
        <w:t>0.85</w:t>
      </w:r>
      <w:r>
        <w:rPr>
          <w:rFonts w:hint="eastAsia" w:ascii="Times New Roman" w:hAnsi="Times New Roman" w:eastAsia="仿宋_GB2312" w:cs="宋体"/>
          <w:sz w:val="32"/>
          <w:szCs w:val="32"/>
        </w:rPr>
        <w:t>名、床位增至</w:t>
      </w:r>
      <w:r>
        <w:rPr>
          <w:rFonts w:ascii="Times New Roman" w:hAnsi="Times New Roman" w:eastAsia="仿宋_GB2312" w:cs="宋体"/>
          <w:sz w:val="32"/>
          <w:szCs w:val="32"/>
        </w:rPr>
        <w:t>2.2</w:t>
      </w:r>
      <w:r>
        <w:rPr>
          <w:rFonts w:hint="eastAsia" w:ascii="Times New Roman" w:hAnsi="Times New Roman" w:eastAsia="仿宋_GB2312" w:cs="宋体"/>
          <w:sz w:val="32"/>
          <w:szCs w:val="32"/>
        </w:rPr>
        <w:t>张，每所乡镇卫生院、社区卫生服务中心至少配备</w:t>
      </w:r>
      <w:r>
        <w:rPr>
          <w:rFonts w:ascii="Times New Roman" w:hAnsi="Times New Roman" w:eastAsia="仿宋_GB2312" w:cs="宋体"/>
          <w:sz w:val="32"/>
          <w:szCs w:val="32"/>
        </w:rPr>
        <w:t>1</w:t>
      </w:r>
      <w:r>
        <w:rPr>
          <w:rFonts w:hint="eastAsia" w:ascii="Times New Roman" w:hAnsi="Times New Roman" w:eastAsia="仿宋_GB2312" w:cs="宋体"/>
          <w:sz w:val="32"/>
          <w:szCs w:val="32"/>
        </w:rPr>
        <w:t>名提供规范儿童基本医疗服务的全科医生和儿童保健的医生。</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2</w:t>
      </w:r>
      <w:r>
        <w:rPr>
          <w:rFonts w:hint="eastAsia" w:ascii="Times New Roman" w:hAnsi="Times New Roman" w:eastAsia="仿宋_GB2312" w:cs="宋体"/>
          <w:sz w:val="32"/>
          <w:szCs w:val="32"/>
        </w:rPr>
        <w:t>）加强儿童保健服务和管理。加强儿童保健门诊标准化、规范化建设。扎实开展</w:t>
      </w:r>
      <w:r>
        <w:rPr>
          <w:rFonts w:ascii="Times New Roman" w:hAnsi="Times New Roman" w:eastAsia="仿宋_GB2312" w:cs="宋体"/>
          <w:sz w:val="32"/>
          <w:szCs w:val="32"/>
        </w:rPr>
        <w:t>0-6</w:t>
      </w:r>
      <w:r>
        <w:rPr>
          <w:rFonts w:hint="eastAsia" w:ascii="Times New Roman" w:hAnsi="Times New Roman" w:eastAsia="仿宋_GB2312" w:cs="宋体"/>
          <w:sz w:val="32"/>
          <w:szCs w:val="32"/>
        </w:rPr>
        <w:t>岁儿童健康管理工作，</w:t>
      </w:r>
      <w:r>
        <w:rPr>
          <w:rFonts w:ascii="Times New Roman" w:hAnsi="Times New Roman" w:eastAsia="仿宋_GB2312" w:cs="宋体"/>
          <w:sz w:val="32"/>
          <w:szCs w:val="32"/>
        </w:rPr>
        <w:t>3</w:t>
      </w:r>
      <w:r>
        <w:rPr>
          <w:rFonts w:hint="eastAsia" w:ascii="Times New Roman" w:hAnsi="Times New Roman" w:eastAsia="仿宋_GB2312" w:cs="宋体"/>
          <w:sz w:val="32"/>
          <w:szCs w:val="32"/>
        </w:rPr>
        <w:t>岁以下儿童系统管理率和</w:t>
      </w:r>
      <w:r>
        <w:rPr>
          <w:rFonts w:ascii="Times New Roman" w:hAnsi="Times New Roman" w:eastAsia="仿宋_GB2312" w:cs="宋体"/>
          <w:sz w:val="32"/>
          <w:szCs w:val="32"/>
        </w:rPr>
        <w:t>7</w:t>
      </w:r>
      <w:r>
        <w:rPr>
          <w:rFonts w:hint="eastAsia" w:ascii="Times New Roman" w:hAnsi="Times New Roman" w:eastAsia="仿宋_GB2312" w:cs="宋体"/>
          <w:sz w:val="32"/>
          <w:szCs w:val="32"/>
        </w:rPr>
        <w:t>岁以下儿童健康管理率保持在</w:t>
      </w:r>
      <w:r>
        <w:rPr>
          <w:rFonts w:ascii="Times New Roman" w:hAnsi="Times New Roman" w:eastAsia="仿宋_GB2312" w:cs="宋体"/>
          <w:sz w:val="32"/>
          <w:szCs w:val="32"/>
        </w:rPr>
        <w:t>90%</w:t>
      </w:r>
      <w:r>
        <w:rPr>
          <w:rFonts w:hint="eastAsia" w:ascii="Times New Roman" w:hAnsi="Times New Roman" w:eastAsia="仿宋_GB2312" w:cs="宋体"/>
          <w:sz w:val="32"/>
          <w:szCs w:val="32"/>
        </w:rPr>
        <w:t>以上。推动开展0-6岁视力、听力、言语、肢体、智力残疾儿童和孤独症儿童残疾筛查，完善筛查、诊断、康复、救助相衔接的工作机制。加强学校、幼儿园、托育机构的常见病预防保健能力，按标准配备校医、托幼托育机构卫生保健人员和必要保健设备。加强对孤儿、流动、留守以及困境儿童等重点群体的健康管理。</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3</w:t>
      </w:r>
      <w:r>
        <w:rPr>
          <w:rFonts w:hint="eastAsia" w:ascii="Times New Roman" w:hAnsi="Times New Roman" w:eastAsia="仿宋_GB2312" w:cs="宋体"/>
          <w:sz w:val="32"/>
          <w:szCs w:val="32"/>
        </w:rPr>
        <w:t>）加大儿童健康知识宣传普及力度。强化父母或其他监护人是儿童健康第一责任人的理念，依托家庭、社区、学校、幼儿园、托育机构，加大科学育儿、预防疾病、及时就医、合理用药、合理膳食、应急避险、心理健康等健康知识和技能宣传普及力度，促进儿童养成健康行为习惯，提高父母或其他监护人健康素养。构建全媒体健康知识传播机制。发挥健康科普专家库和资源库作用。推进医疗机构规范设置“孕妇学校”和家长课堂，鼓励医疗机构、医务人员、相关社会组织等开展健康科普活动。预防和制止儿童吸烟（含电子烟）、酗酒，保护儿童远离毒品。</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4</w:t>
      </w:r>
      <w:r>
        <w:rPr>
          <w:rFonts w:hint="eastAsia" w:ascii="Times New Roman" w:hAnsi="Times New Roman" w:eastAsia="仿宋_GB2312" w:cs="宋体"/>
          <w:sz w:val="32"/>
          <w:szCs w:val="32"/>
        </w:rPr>
        <w:t>）保障新生儿安全与健康。深入实施危重新生儿筛查与评估、高危新生儿专案管理、危急重症救治、新生儿安全管理等制度。加强新生儿规范化访视，新生儿访视率保持在</w:t>
      </w:r>
      <w:r>
        <w:rPr>
          <w:rFonts w:ascii="Times New Roman" w:hAnsi="Times New Roman" w:eastAsia="仿宋_GB2312" w:cs="宋体"/>
          <w:sz w:val="32"/>
          <w:szCs w:val="32"/>
        </w:rPr>
        <w:t>90%</w:t>
      </w:r>
      <w:r>
        <w:rPr>
          <w:rFonts w:hint="eastAsia" w:ascii="Times New Roman" w:hAnsi="Times New Roman" w:eastAsia="仿宋_GB2312" w:cs="宋体"/>
          <w:sz w:val="32"/>
          <w:szCs w:val="32"/>
        </w:rPr>
        <w:t>以上。完善医疗机构产科、新生儿科质量规范化管理体系，加强新生儿保健专科建设，强化危重新生儿救治保障，完善新生儿危重症救治、转诊网络，提高救治水平。</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5</w:t>
      </w:r>
      <w:r>
        <w:rPr>
          <w:rFonts w:hint="eastAsia" w:ascii="Times New Roman" w:hAnsi="Times New Roman" w:eastAsia="仿宋_GB2312" w:cs="宋体"/>
          <w:sz w:val="32"/>
          <w:szCs w:val="32"/>
        </w:rPr>
        <w:t>）加强出生缺陷综合防治。建立多部门联动防治出生缺陷的工作机制，落实出生缺陷三级防治措施，推广婚前医学检查、婚姻登记、生育指导“一站式”服务。强化婚前孕前保健，加强产前筛查和诊断，强化规范服务与质量监管。扩大新生儿疾病筛查病种范围，建立筛查、阳性病例召回、诊断、治疗和随访一体化服务模式，促进早诊早治。按照国家、省相关医疗保障政策做好出生缺陷患儿基本医疗保障工作，降低重大出生缺陷疾病医疗费用负担。加强出生缺陷监测，促进出生缺陷防治领域科技创新和成果转化。加强儿童残疾早期干预工作，实现早诊早治。</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6</w:t>
      </w:r>
      <w:r>
        <w:rPr>
          <w:rFonts w:hint="eastAsia" w:ascii="Times New Roman" w:hAnsi="Times New Roman" w:eastAsia="仿宋_GB2312" w:cs="宋体"/>
          <w:sz w:val="32"/>
          <w:szCs w:val="32"/>
        </w:rPr>
        <w:t>）强化儿童疾病防治。以早产、低出生体重、贫血、肥胖、肺炎、腹泻、哮喘、视力不良、龋齿、心理行为发育异常等儿童健康问题为重点，推广儿童疾病防治适宜技术，建立早期筛查、诊断和干预服务机制。加强儿童重大传染病、新发传染病管理以及艾滋病、梅毒、乙肝母婴阻断工作。完善儿童血液病、恶性肿瘤等重病诊疗体系、药品供应制度、综合保障制度。按照国家制定的罕见病目录，加强罕见病管理。推广应用中医儿科适宜技术。</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7</w:t>
      </w:r>
      <w:r>
        <w:rPr>
          <w:rFonts w:hint="eastAsia" w:ascii="Times New Roman" w:hAnsi="Times New Roman" w:eastAsia="仿宋_GB2312" w:cs="宋体"/>
          <w:sz w:val="32"/>
          <w:szCs w:val="32"/>
        </w:rPr>
        <w:t>）加强儿童免疫规划疫苗管理和预防接种。及时跟进国家免疫规划疫苗种类动态调整，维持较高水平的国家免疫规划疫苗接种率。强化对疫苗流通和预防接种管理，完善预防接种异常反应补偿相关政策。</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8</w:t>
      </w:r>
      <w:r>
        <w:rPr>
          <w:rFonts w:hint="eastAsia" w:ascii="Times New Roman" w:hAnsi="Times New Roman" w:eastAsia="仿宋_GB2312" w:cs="宋体"/>
          <w:sz w:val="32"/>
          <w:szCs w:val="32"/>
        </w:rPr>
        <w:t>）改善儿童营养状况。关注儿童生命早期</w:t>
      </w:r>
      <w:r>
        <w:rPr>
          <w:rFonts w:ascii="Times New Roman" w:hAnsi="Times New Roman" w:eastAsia="仿宋_GB2312" w:cs="宋体"/>
          <w:sz w:val="32"/>
          <w:szCs w:val="32"/>
        </w:rPr>
        <w:t>1000</w:t>
      </w:r>
      <w:r>
        <w:rPr>
          <w:rFonts w:hint="eastAsia" w:ascii="Times New Roman" w:hAnsi="Times New Roman" w:eastAsia="仿宋_GB2312" w:cs="宋体"/>
          <w:sz w:val="32"/>
          <w:szCs w:val="32"/>
        </w:rPr>
        <w:t>天营养，开展孕前、孕产期营养与膳食评价指导。强化爱婴医院管理，0-6个月婴儿纯母乳喂养率达到50%以上，普及</w:t>
      </w:r>
      <w:r>
        <w:rPr>
          <w:rFonts w:ascii="Times New Roman" w:hAnsi="Times New Roman" w:eastAsia="仿宋_GB2312" w:cs="宋体"/>
          <w:sz w:val="32"/>
          <w:szCs w:val="32"/>
        </w:rPr>
        <w:t>6</w:t>
      </w:r>
      <w:r>
        <w:rPr>
          <w:rFonts w:hint="eastAsia" w:ascii="Times New Roman" w:hAnsi="Times New Roman" w:eastAsia="仿宋_GB2312" w:cs="宋体"/>
          <w:sz w:val="32"/>
          <w:szCs w:val="32"/>
        </w:rPr>
        <w:t>月龄以上儿童合理添加辅食的知识技能。加强公共场所和工作场所母婴设施建设。开展儿童生长发育监测和评价，加强个性化营养指导，保障儿童充足营养。加强食育教育，引导科学均衡饮食、吃动平衡，预防控制儿童超重和肥胖。加强学校、幼儿园、托育机构的营养健康教育和膳食指导。完善落实食品标签体系。</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9</w:t>
      </w:r>
      <w:r>
        <w:rPr>
          <w:rFonts w:hint="eastAsia" w:ascii="Times New Roman" w:hAnsi="Times New Roman" w:eastAsia="仿宋_GB2312" w:cs="宋体"/>
          <w:sz w:val="32"/>
          <w:szCs w:val="32"/>
        </w:rPr>
        <w:t>）有效控制儿童近视。加强视力健康教育，引导学生自觉爱眼护眼。督促学校、引导家庭减轻孩子学业负担，监督学生做好眼保健操，纠正不良读写姿势。保障学校、幼儿园、托育机构室内采光、照明、课桌椅、黑板等达到规定标准。指导儿童掌握科学用眼护眼等健康知识，养成健康习惯。教育儿童按需科学规范合理使用手机等电子产品，指导家长加强对儿童使用手机的督促管理，确保手机有限带入校园、禁止带入课堂。儿童每天接触户外自然光不少于</w:t>
      </w:r>
      <w:r>
        <w:rPr>
          <w:rFonts w:ascii="Times New Roman" w:hAnsi="Times New Roman" w:eastAsia="仿宋_GB2312" w:cs="宋体"/>
          <w:sz w:val="32"/>
          <w:szCs w:val="32"/>
        </w:rPr>
        <w:t>1</w:t>
      </w:r>
      <w:r>
        <w:rPr>
          <w:rFonts w:hint="eastAsia" w:ascii="Times New Roman" w:hAnsi="Times New Roman" w:eastAsia="仿宋_GB2312" w:cs="宋体"/>
          <w:sz w:val="32"/>
          <w:szCs w:val="32"/>
        </w:rPr>
        <w:t>小时。提高眼健康服务能力，加强防治近视科研成果与技术的应用。建设儿童眼健康监测系统，开展儿童视力年度监测。加强</w:t>
      </w:r>
      <w:r>
        <w:rPr>
          <w:rFonts w:ascii="Times New Roman" w:hAnsi="Times New Roman" w:eastAsia="仿宋_GB2312" w:cs="宋体"/>
          <w:sz w:val="32"/>
          <w:szCs w:val="32"/>
        </w:rPr>
        <w:t>0-6</w:t>
      </w:r>
      <w:r>
        <w:rPr>
          <w:rFonts w:hint="eastAsia" w:ascii="Times New Roman" w:hAnsi="Times New Roman" w:eastAsia="仿宋_GB2312" w:cs="宋体"/>
          <w:sz w:val="32"/>
          <w:szCs w:val="32"/>
        </w:rPr>
        <w:t>岁儿童眼保健和视力检查，推动建立儿童视力电子档案。减少新发近视率，减缓近视进展，降低重度近视率。</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10</w:t>
      </w:r>
      <w:r>
        <w:rPr>
          <w:rFonts w:hint="eastAsia" w:ascii="Times New Roman" w:hAnsi="Times New Roman" w:eastAsia="仿宋_GB2312" w:cs="宋体"/>
          <w:sz w:val="32"/>
          <w:szCs w:val="32"/>
        </w:rPr>
        <w:t>）加强儿童口腔保健。开展口腔健康教育，提高口腔健康教育的可及性，培养儿童勤刷牙、勤漱口等卫生习惯，形成自主自律的健康生活方式。开展减糖专项行动，减少儿童含糖饮料和高糖食品摄入。推广实施儿童口腔健康检查、窝沟封闭、局部用氟等口腔疾病干预模式。推动政府将儿童口腔疾病综合干预作为民生工程，实现适龄儿童全覆盖。</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11</w:t>
      </w:r>
      <w:r>
        <w:rPr>
          <w:rFonts w:hint="eastAsia" w:ascii="Times New Roman" w:hAnsi="Times New Roman" w:eastAsia="仿宋_GB2312" w:cs="宋体"/>
          <w:sz w:val="32"/>
          <w:szCs w:val="32"/>
        </w:rPr>
        <w:t>）增强儿童身体素质。全面实施国家学生体质健康标准，完善学生健康体检和体质监测制度。实施校园健身行动计划，推进阳光体育运动，开足开齐体育与健康课，支持儿童参加各类全民健身活动赛事，培养儿童良好运动习惯，保障儿童每天累计运动至少</w:t>
      </w:r>
      <w:r>
        <w:rPr>
          <w:rFonts w:ascii="Times New Roman" w:hAnsi="Times New Roman" w:eastAsia="仿宋_GB2312" w:cs="宋体"/>
          <w:sz w:val="32"/>
          <w:szCs w:val="32"/>
        </w:rPr>
        <w:t>1</w:t>
      </w:r>
      <w:r>
        <w:rPr>
          <w:rFonts w:hint="eastAsia" w:ascii="Times New Roman" w:hAnsi="Times New Roman" w:eastAsia="仿宋_GB2312" w:cs="宋体"/>
          <w:sz w:val="32"/>
          <w:szCs w:val="32"/>
        </w:rPr>
        <w:t>小时，熟练掌握</w:t>
      </w:r>
      <w:r>
        <w:rPr>
          <w:rFonts w:ascii="Times New Roman" w:hAnsi="Times New Roman" w:eastAsia="仿宋_GB2312" w:cs="宋体"/>
          <w:sz w:val="32"/>
          <w:szCs w:val="32"/>
        </w:rPr>
        <w:t>1</w:t>
      </w:r>
      <w:r>
        <w:rPr>
          <w:rFonts w:hint="eastAsia" w:ascii="Times New Roman" w:hAnsi="Times New Roman" w:eastAsia="仿宋_GB2312" w:cs="宋体"/>
          <w:sz w:val="32"/>
          <w:szCs w:val="32"/>
        </w:rPr>
        <w:t>项以上受益终身的运动技能。鼓励公共体育场馆设施免费或优惠向周边学校和儿童开放，落实学校体育场馆设施在课余和节假日向学生开放政策，支持学校向体育类社会组织购买课后体育服务。指导家庭合理安排儿童作息，保证每天小学生</w:t>
      </w:r>
      <w:r>
        <w:rPr>
          <w:rFonts w:ascii="Times New Roman" w:hAnsi="Times New Roman" w:eastAsia="仿宋_GB2312" w:cs="宋体"/>
          <w:sz w:val="32"/>
          <w:szCs w:val="32"/>
        </w:rPr>
        <w:t>10</w:t>
      </w:r>
      <w:r>
        <w:rPr>
          <w:rFonts w:hint="eastAsia" w:ascii="Times New Roman" w:hAnsi="Times New Roman" w:eastAsia="仿宋_GB2312" w:cs="宋体"/>
          <w:sz w:val="32"/>
          <w:szCs w:val="32"/>
        </w:rPr>
        <w:t>小时、初中生</w:t>
      </w:r>
      <w:r>
        <w:rPr>
          <w:rFonts w:ascii="Times New Roman" w:hAnsi="Times New Roman" w:eastAsia="仿宋_GB2312" w:cs="宋体"/>
          <w:sz w:val="32"/>
          <w:szCs w:val="32"/>
        </w:rPr>
        <w:t>9</w:t>
      </w:r>
      <w:r>
        <w:rPr>
          <w:rFonts w:hint="eastAsia" w:ascii="Times New Roman" w:hAnsi="Times New Roman" w:eastAsia="仿宋_GB2312" w:cs="宋体"/>
          <w:sz w:val="32"/>
          <w:szCs w:val="32"/>
        </w:rPr>
        <w:t>小时、高中生</w:t>
      </w:r>
      <w:r>
        <w:rPr>
          <w:rFonts w:ascii="Times New Roman" w:hAnsi="Times New Roman" w:eastAsia="仿宋_GB2312" w:cs="宋体"/>
          <w:sz w:val="32"/>
          <w:szCs w:val="32"/>
        </w:rPr>
        <w:t>8</w:t>
      </w:r>
      <w:r>
        <w:rPr>
          <w:rFonts w:hint="eastAsia" w:ascii="Times New Roman" w:hAnsi="Times New Roman" w:eastAsia="仿宋_GB2312" w:cs="宋体"/>
          <w:sz w:val="32"/>
          <w:szCs w:val="32"/>
        </w:rPr>
        <w:t>小时睡眠时间。</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12</w:t>
      </w:r>
      <w:r>
        <w:rPr>
          <w:rFonts w:hint="eastAsia" w:ascii="Times New Roman" w:hAnsi="Times New Roman" w:eastAsia="仿宋_GB2312" w:cs="宋体"/>
          <w:sz w:val="32"/>
          <w:szCs w:val="32"/>
        </w:rPr>
        <w:t>）加强儿童心理健康服务。推动构建儿童心理健康教育、咨询服务、评估治疗、危机干预和心理援助公共服务网络，增强儿童心理健康服务可及性。加强精神专科医院、儿童医院和妇幼保健机构儿童心理咨询及专科门诊建设，中小学普遍建设心理辅导室，配备专兼职心理健康教育教师，实现心理健康咨询服务全覆盖。大力培养儿童心理健康服务人才，鼓励专业社会工作者面向学校、家庭提供心理健康服务，提高教师、家长预防和识别儿童心理行为问题的能力。面向儿童开展生命教育和挫折教育，培养儿童珍爱生命的意识和自我情绪调适能力。关注和满足孤儿、事实无人抚养儿童、农村留守儿童和其他困境儿童的心理发展需要。</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13</w:t>
      </w:r>
      <w:r>
        <w:rPr>
          <w:rFonts w:hint="eastAsia" w:ascii="Times New Roman" w:hAnsi="Times New Roman" w:eastAsia="仿宋_GB2312" w:cs="宋体"/>
          <w:sz w:val="32"/>
          <w:szCs w:val="32"/>
        </w:rPr>
        <w:t>）为儿童提供性教育和性健康服务。引导和支持父母或其他监护人根据儿童年龄特点开展性教育，引导儿童树立正确的性别观念和法治观念，正确认识两性关系。将性教育纳入义务教育质量监测，加强防范性侵害和性骚扰教育，提高儿童自我保护的意识和能力。促进学校与医疗机构密切合作，提供适宜儿童的性健康服务，保护就诊儿童隐私。探索设立儿童性健康保护热线。</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14</w:t>
      </w:r>
      <w:r>
        <w:rPr>
          <w:rFonts w:hint="eastAsia" w:ascii="Times New Roman" w:hAnsi="Times New Roman" w:eastAsia="仿宋_GB2312" w:cs="宋体"/>
          <w:sz w:val="32"/>
          <w:szCs w:val="32"/>
        </w:rPr>
        <w:t>）加强儿童健康领域的科研创新。围绕儿童早期发展和重大疾病的预防、诊断、治疗、康复和健康管理开展基础和应用研究。加强儿科科技创新基地平台建设。</w:t>
      </w:r>
    </w:p>
    <w:p>
      <w:pPr>
        <w:pStyle w:val="5"/>
        <w:spacing w:line="560" w:lineRule="exact"/>
        <w:ind w:firstLine="640"/>
        <w:rPr>
          <w:rFonts w:ascii="Times New Roman" w:hAnsi="Times New Roman"/>
          <w:b w:val="0"/>
          <w:bCs/>
          <w:lang w:eastAsia="zh-CN"/>
        </w:rPr>
      </w:pPr>
      <w:bookmarkStart w:id="365" w:name="_Toc6990"/>
      <w:r>
        <w:rPr>
          <w:rFonts w:hint="eastAsia" w:ascii="Times New Roman" w:hAnsi="Times New Roman"/>
          <w:b w:val="0"/>
          <w:bCs/>
          <w:lang w:eastAsia="zh-CN"/>
        </w:rPr>
        <w:t>（二）儿童与安全</w:t>
      </w:r>
      <w:bookmarkEnd w:id="365"/>
    </w:p>
    <w:p>
      <w:pPr>
        <w:spacing w:line="560" w:lineRule="exact"/>
        <w:ind w:firstLine="632" w:firstLineChars="200"/>
        <w:rPr>
          <w:rFonts w:ascii="Times New Roman" w:hAnsi="Times New Roman" w:eastAsia="仿宋_GB2312" w:cs="宋体"/>
          <w:sz w:val="32"/>
          <w:szCs w:val="32"/>
        </w:rPr>
      </w:pPr>
      <w:r>
        <w:rPr>
          <w:rFonts w:ascii="Times New Roman" w:hAnsi="Times New Roman" w:eastAsia="仿宋_GB2312" w:cs="宋体"/>
          <w:sz w:val="32"/>
          <w:szCs w:val="32"/>
        </w:rPr>
        <w:t>1.</w:t>
      </w:r>
      <w:r>
        <w:rPr>
          <w:rFonts w:hint="eastAsia" w:ascii="Times New Roman" w:hAnsi="Times New Roman" w:eastAsia="仿宋_GB2312" w:cs="宋体"/>
          <w:sz w:val="32"/>
          <w:szCs w:val="32"/>
        </w:rPr>
        <w:t>主要目标</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w:t>
      </w:r>
      <w:r>
        <w:rPr>
          <w:rFonts w:hint="eastAsia" w:ascii="Times New Roman" w:hAnsi="Times New Roman" w:eastAsia="仿宋_GB2312" w:cs="宋体"/>
          <w:sz w:val="32"/>
          <w:szCs w:val="32"/>
        </w:rPr>
        <w:t>）减少儿童伤害所致死亡和残疾。儿童意外伤害死亡率以</w:t>
      </w:r>
      <w:r>
        <w:rPr>
          <w:rFonts w:ascii="Times New Roman" w:hAnsi="Times New Roman" w:eastAsia="仿宋_GB2312" w:cs="宋体"/>
          <w:sz w:val="32"/>
          <w:szCs w:val="32"/>
        </w:rPr>
        <w:t>2020</w:t>
      </w:r>
      <w:r>
        <w:rPr>
          <w:rFonts w:hint="eastAsia" w:ascii="Times New Roman" w:hAnsi="Times New Roman" w:eastAsia="仿宋_GB2312" w:cs="宋体"/>
          <w:sz w:val="32"/>
          <w:szCs w:val="32"/>
        </w:rPr>
        <w:t>年为基数下降</w:t>
      </w:r>
      <w:r>
        <w:rPr>
          <w:rFonts w:ascii="Times New Roman" w:hAnsi="Times New Roman" w:eastAsia="仿宋_GB2312" w:cs="宋体"/>
          <w:sz w:val="32"/>
          <w:szCs w:val="32"/>
        </w:rPr>
        <w:t>20%</w:t>
      </w:r>
      <w:r>
        <w:rPr>
          <w:rFonts w:hint="eastAsia" w:ascii="Times New Roman" w:hAnsi="Times New Roman" w:eastAsia="仿宋_GB2312" w:cs="宋体"/>
          <w:sz w:val="32"/>
          <w:szCs w:val="32"/>
        </w:rPr>
        <w:t>。（牵头单位：区卫生健康局、区教体局、团区委。责任单位：区市场监管局、张店公安分局、区交通运输局、区妇联、区关工委、区融媒体中心）</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2</w:t>
      </w:r>
      <w:r>
        <w:rPr>
          <w:rFonts w:hint="eastAsia" w:ascii="Times New Roman" w:hAnsi="Times New Roman" w:eastAsia="仿宋_GB2312" w:cs="宋体"/>
          <w:sz w:val="32"/>
          <w:szCs w:val="32"/>
        </w:rPr>
        <w:t>）减少溺水隐患，儿童溺水死亡率持续下降。（牵头单位：区教体局。责任单位：区应急管理局、市自然资源和规划局张店分局、区农业农村局、团区委、区关工委、区妇联、张店公安分局、区水利局、区融媒体中心）</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3</w:t>
      </w:r>
      <w:r>
        <w:rPr>
          <w:rFonts w:hint="eastAsia" w:ascii="Times New Roman" w:hAnsi="Times New Roman" w:eastAsia="仿宋_GB2312" w:cs="宋体"/>
          <w:sz w:val="32"/>
          <w:szCs w:val="32"/>
        </w:rPr>
        <w:t>）推广使用儿童安全座椅、安全头盔，儿童道路交通伤害死亡率持续下降。（牵头单位：张店交警大队。责任单位：区教体局、区交通运输局、区市场监管局）</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4</w:t>
      </w:r>
      <w:r>
        <w:rPr>
          <w:rFonts w:hint="eastAsia" w:ascii="Times New Roman" w:hAnsi="Times New Roman" w:eastAsia="仿宋_GB2312" w:cs="宋体"/>
          <w:sz w:val="32"/>
          <w:szCs w:val="32"/>
        </w:rPr>
        <w:t>）儿童食品、日用品、玩具、大型游乐设施及用药安全得到有效保障。（牵头单位：区市场监管局。责任单位：区卫生健康局）</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5</w:t>
      </w:r>
      <w:r>
        <w:rPr>
          <w:rFonts w:hint="eastAsia" w:ascii="Times New Roman" w:hAnsi="Times New Roman" w:eastAsia="仿宋_GB2312" w:cs="宋体"/>
          <w:sz w:val="32"/>
          <w:szCs w:val="32"/>
        </w:rPr>
        <w:t>）学生欺凌事件显著减少。（牵头单位：区教体局。责任单位：区委政法委、区法院、区检察院、张店公安分局、区司法局、区民政局、团区委、区妇联、区残联等区妇儿工委有关成员单位）</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6</w:t>
      </w:r>
      <w:r>
        <w:rPr>
          <w:rFonts w:hint="eastAsia" w:ascii="Times New Roman" w:hAnsi="Times New Roman" w:eastAsia="仿宋_GB2312" w:cs="宋体"/>
          <w:sz w:val="32"/>
          <w:szCs w:val="32"/>
        </w:rPr>
        <w:t>）儿童网络安全得到有效保护。（牵头单位：张店公安分局。责任单位：区教体局、区委网信办、区文化和旅游局）</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7</w:t>
      </w:r>
      <w:r>
        <w:rPr>
          <w:rFonts w:hint="eastAsia" w:ascii="Times New Roman" w:hAnsi="Times New Roman" w:eastAsia="仿宋_GB2312" w:cs="宋体"/>
          <w:sz w:val="32"/>
          <w:szCs w:val="32"/>
        </w:rPr>
        <w:t>）将灾害事故对儿童的伤害降到最低程度。（牵头单位：区应急管理局。责任单位：区民政局、区教体局、区卫生健康局、区农业农村局、区科技局、区科协、区妇联、团区委）</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8</w:t>
      </w:r>
      <w:r>
        <w:rPr>
          <w:rFonts w:hint="eastAsia" w:ascii="Times New Roman" w:hAnsi="Times New Roman" w:eastAsia="仿宋_GB2312" w:cs="宋体"/>
          <w:sz w:val="32"/>
          <w:szCs w:val="32"/>
        </w:rPr>
        <w:t>）儿童</w:t>
      </w:r>
      <w:r>
        <w:rPr>
          <w:rFonts w:hint="eastAsia" w:ascii="Times New Roman" w:hAnsi="Times New Roman" w:eastAsia="仿宋_GB2312" w:cs="仿宋_GB2312"/>
          <w:sz w:val="32"/>
          <w:szCs w:val="32"/>
          <w:shd w:val="clear" w:color="auto" w:fill="FFFFFF"/>
        </w:rPr>
        <w:t>遭受意外和暴力</w:t>
      </w:r>
      <w:r>
        <w:rPr>
          <w:rFonts w:hint="eastAsia" w:ascii="Times New Roman" w:hAnsi="Times New Roman" w:eastAsia="仿宋_GB2312" w:cs="宋体"/>
          <w:sz w:val="32"/>
          <w:szCs w:val="32"/>
        </w:rPr>
        <w:t>伤害</w:t>
      </w:r>
      <w:r>
        <w:rPr>
          <w:rFonts w:hint="eastAsia" w:ascii="Times New Roman" w:hAnsi="Times New Roman" w:eastAsia="仿宋_GB2312" w:cs="仿宋_GB2312"/>
          <w:sz w:val="32"/>
          <w:szCs w:val="32"/>
          <w:shd w:val="clear" w:color="auto" w:fill="FFFFFF"/>
        </w:rPr>
        <w:t>的</w:t>
      </w:r>
      <w:r>
        <w:rPr>
          <w:rFonts w:hint="eastAsia" w:ascii="Times New Roman" w:hAnsi="Times New Roman" w:eastAsia="仿宋_GB2312" w:cs="宋体"/>
          <w:sz w:val="32"/>
          <w:szCs w:val="32"/>
        </w:rPr>
        <w:t>监测报告系统进一步完善。（牵头单位：区卫生健康局。责任单位：区民政局、张店公安分局、区检察院、区委政法委、区教体局、区司法局、区法院、区大数据中心、团区委、区妇联等区妇儿工委有关成员单位）</w:t>
      </w:r>
    </w:p>
    <w:p>
      <w:pPr>
        <w:spacing w:line="560" w:lineRule="exact"/>
        <w:ind w:firstLine="632" w:firstLineChars="200"/>
        <w:rPr>
          <w:rFonts w:ascii="Times New Roman" w:hAnsi="Times New Roman" w:eastAsia="仿宋_GB2312" w:cs="宋体"/>
          <w:sz w:val="32"/>
          <w:szCs w:val="32"/>
        </w:rPr>
      </w:pPr>
      <w:r>
        <w:rPr>
          <w:rFonts w:ascii="Times New Roman" w:hAnsi="Times New Roman" w:eastAsia="仿宋_GB2312" w:cs="宋体"/>
          <w:sz w:val="32"/>
          <w:szCs w:val="32"/>
        </w:rPr>
        <w:t>2.</w:t>
      </w:r>
      <w:r>
        <w:rPr>
          <w:rFonts w:hint="eastAsia" w:ascii="Times New Roman" w:hAnsi="Times New Roman" w:eastAsia="仿宋_GB2312" w:cs="宋体"/>
          <w:sz w:val="32"/>
          <w:szCs w:val="32"/>
        </w:rPr>
        <w:t>策略措施</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w:t>
      </w:r>
      <w:r>
        <w:rPr>
          <w:rFonts w:hint="eastAsia" w:ascii="Times New Roman" w:hAnsi="Times New Roman" w:eastAsia="仿宋_GB2312" w:cs="宋体"/>
          <w:sz w:val="32"/>
          <w:szCs w:val="32"/>
        </w:rPr>
        <w:t>）建立健全儿童意外伤害防控工作体系。构建完善多部门合作的儿童意外伤害防控工作机制，鼓励社会力量参与儿童意外伤害防控。加大儿童意外伤害防控执法力度。制定实施儿童意外伤害防控行动计划，探索创新并大力推广儿童意外伤害防控适宜技术，优先制定实施针对农村留守儿童、流动儿童、孤残儿童、困境儿童的意外伤害防控措施。</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2</w:t>
      </w:r>
      <w:r>
        <w:rPr>
          <w:rFonts w:hint="eastAsia" w:ascii="Times New Roman" w:hAnsi="Times New Roman" w:eastAsia="仿宋_GB2312" w:cs="宋体"/>
          <w:sz w:val="32"/>
          <w:szCs w:val="32"/>
        </w:rPr>
        <w:t>）建设儿童安全环境。树立儿童意外伤害可防可控意识，运用宣传教育、改善环境、加强执法、使用安全产品、开展评估等措施，建设有利于儿童成长的家庭、学校、社会安全环境。开展儿童防伤害、防暴力、避灾险、会自救等教育活动，帮助儿童及其监护人、看护人提高安全意识、掌握安全知识技能，培养儿童安全行为习惯。落实学校、幼儿园、托育机构、儿童校外活动阵地等安全管理主体责任，排除安全隐患。大型商场、超市、医院、图书馆、博物馆、科技馆、游乐场、车站、旅游景区景点等场所运营单位应当设置搜寻走失儿童的安全警报系统。</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3</w:t>
      </w:r>
      <w:r>
        <w:rPr>
          <w:rFonts w:hint="eastAsia" w:ascii="Times New Roman" w:hAnsi="Times New Roman" w:eastAsia="仿宋_GB2312" w:cs="宋体"/>
          <w:sz w:val="32"/>
          <w:szCs w:val="32"/>
        </w:rPr>
        <w:t>）预防和控制儿童跌倒</w:t>
      </w:r>
      <w:r>
        <w:rPr>
          <w:rFonts w:ascii="Times New Roman" w:hAnsi="Times New Roman" w:eastAsia="仿宋_GB2312" w:cs="宋体"/>
          <w:sz w:val="32"/>
          <w:szCs w:val="32"/>
        </w:rPr>
        <w:t>/</w:t>
      </w:r>
      <w:r>
        <w:rPr>
          <w:rFonts w:hint="eastAsia" w:ascii="Times New Roman" w:hAnsi="Times New Roman" w:eastAsia="仿宋_GB2312" w:cs="宋体"/>
          <w:sz w:val="32"/>
          <w:szCs w:val="32"/>
        </w:rPr>
        <w:t>跌落、烧烫伤、中毒等伤害。提高父母及看护人的安全监护意识，不得让未满</w:t>
      </w:r>
      <w:r>
        <w:rPr>
          <w:rFonts w:ascii="Times New Roman" w:hAnsi="Times New Roman" w:eastAsia="仿宋_GB2312" w:cs="宋体"/>
          <w:sz w:val="32"/>
          <w:szCs w:val="32"/>
        </w:rPr>
        <w:t>8</w:t>
      </w:r>
      <w:r>
        <w:rPr>
          <w:rFonts w:hint="eastAsia" w:ascii="Times New Roman" w:hAnsi="Times New Roman" w:eastAsia="仿宋_GB2312" w:cs="宋体"/>
          <w:sz w:val="32"/>
          <w:szCs w:val="32"/>
        </w:rPr>
        <w:t>周岁儿童单独留在家中、车内及其他可能造成危害的场所。引导儿童安全使用电动扶梯、旋转门等设施设备。清除环境危险因素，推广应用窗户护栏、窗口限位器等防护产品，减少儿童跌倒</w:t>
      </w:r>
      <w:r>
        <w:rPr>
          <w:rFonts w:ascii="Times New Roman" w:hAnsi="Times New Roman" w:eastAsia="仿宋_GB2312" w:cs="宋体"/>
          <w:sz w:val="32"/>
          <w:szCs w:val="32"/>
        </w:rPr>
        <w:t>/</w:t>
      </w:r>
      <w:r>
        <w:rPr>
          <w:rFonts w:hint="eastAsia" w:ascii="Times New Roman" w:hAnsi="Times New Roman" w:eastAsia="仿宋_GB2312" w:cs="宋体"/>
          <w:sz w:val="32"/>
          <w:szCs w:val="32"/>
        </w:rPr>
        <w:t>跌落。教育儿童远离火源，引导家庭分隔热源，安全使用家用电器，推广使用具有儿童保护功能的家用电器，预防儿童烧烫伤。推广使用儿童安全包装，提升儿童看护人对农药、药物、日用化学品等的识别及保管能力，避免儿童中毒。预防婴幼儿窒息，提升婴幼儿有效照护能力。规范犬类管理及宠物饲养，预防动物咬伤。加强防灾减灾教育，提高儿童及其看护人针对地震、火灾、踩踏等灾害性事件的防灾避险技能。</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4</w:t>
      </w:r>
      <w:r>
        <w:rPr>
          <w:rFonts w:hint="eastAsia" w:ascii="Times New Roman" w:hAnsi="Times New Roman" w:eastAsia="仿宋_GB2312" w:cs="宋体"/>
          <w:sz w:val="32"/>
          <w:szCs w:val="32"/>
        </w:rPr>
        <w:t>）预防和减少儿童溺水。加强儿童暑期安全教育，普及儿童游泳及水上安全技能，引导儿童使用安全游泳场所。加强看护，保证儿童远离危险水体。隔离、消除家庭及校园环境的溺水隐患，加强农村地区相关水体的防护隔离和安全巡查，加强开放性水域、水上游乐场所、船只等安全管理并配置适用于儿童的应急救援装备。</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5</w:t>
      </w:r>
      <w:r>
        <w:rPr>
          <w:rFonts w:hint="eastAsia" w:ascii="Times New Roman" w:hAnsi="Times New Roman" w:eastAsia="仿宋_GB2312" w:cs="宋体"/>
          <w:sz w:val="32"/>
          <w:szCs w:val="32"/>
        </w:rPr>
        <w:t>）预防和减少儿童道路交通伤害。提高儿童看护人的看护能力，培养儿童养成良好交通行为习惯。推广使用儿童安全座椅、安全头盔和儿童步行及骑乘非机动车反光标识。加强生产和销售监管，完善落实儿童道路安全防护用品标准。道路规划建设充分考虑儿童年龄特点，完善校园周边安全设施，严查严处交通违法行为。落实《校车安全管理条例》，已配备的校车全部达到安全标准。</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6</w:t>
      </w:r>
      <w:r>
        <w:rPr>
          <w:rFonts w:hint="eastAsia" w:ascii="Times New Roman" w:hAnsi="Times New Roman" w:eastAsia="仿宋_GB2312" w:cs="宋体"/>
          <w:sz w:val="32"/>
          <w:szCs w:val="32"/>
        </w:rPr>
        <w:t>）加强对儿童食品、日用品、玩具、大型游乐设施、用药的安全监管。完善落实儿童食品安全标准体系和质量安全追溯体系。强化婴幼儿配方乳粉和婴幼儿辅助食品安全监管，建立婴幼儿配方食品生产企业自查和报告制度，婴幼儿配方食品在产企业体系检查覆盖率达到100%，加大婴幼儿配方乳粉产品抽检监测及不合格食品处罚力度，将婴幼儿配方食品质量安全的风险隐患降至最低。落实学校、幼儿园、托育机构食品安全管理主体责任，消除儿童集中用餐各环节食品安全隐患，加强校园及周边食品安全监管。加大农村食品、药品安全治理力度。完善对网络销售食品药品的监管。加强食品药品进口监管。严厉打击制售假冒伪劣食品、儿童日用品、玩具等违法犯罪行为。鼓励消费者依法投诉举报产品安全问题。杜绝“毒跑道”“毒校服”等，保障游戏游艺设备及大型游乐设施安全。加强儿童合理用药监管。</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7</w:t>
      </w:r>
      <w:r>
        <w:rPr>
          <w:rFonts w:hint="eastAsia" w:ascii="Times New Roman" w:hAnsi="Times New Roman" w:eastAsia="仿宋_GB2312" w:cs="宋体"/>
          <w:sz w:val="32"/>
          <w:szCs w:val="32"/>
        </w:rPr>
        <w:t>）提高对学生欺凌的综合治理能力。完善落实学生欺凌综合治理多部门合作工作机制，预防、减少、妥善处置学生欺凌。营造文明安全校园环境，加强思想道德教育、法治教育和心理健康教育，培养学生的健全人格和社会交往能力。严格学校日常安全管理，健全学生欺凌早期预警、事中处理、事后干预等工作机制，提高教职员工、家长、学生对学生欺凌的预防和处置能力，及时发现学生的异常行为，疏导化解学生欺凌不良苗头。依法依规调查和处置欺凌事件，发挥教育惩戒作用。强化校园周边综合治理，将学生欺凌专项治理纳入社会治安综合治理工作。</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8</w:t>
      </w:r>
      <w:r>
        <w:rPr>
          <w:rFonts w:hint="eastAsia" w:ascii="Times New Roman" w:hAnsi="Times New Roman" w:eastAsia="仿宋_GB2312" w:cs="宋体"/>
          <w:sz w:val="32"/>
          <w:szCs w:val="32"/>
        </w:rPr>
        <w:t>）加强未成年人网络保护。落实政府、企业、学校、家庭、社会保护责任，为儿童提供安全、健康的网络环境，保障儿童在网络空间的合法权益。加强网络监管和治理，加大对封建迷信、淫秽、色情、赌博、暴力、凶杀、恐怖，教唆犯罪的违法信息整治力度，开展净网行动，完善和落实网络信息监测、识别、举报、处置制度，依法惩处利用网络散布价值导向不良信息、从事危害未成年人身心健康的行为，治理网络欺凌。网络游戏、网络直播、网络音视频、网络社交等网络服务提供者应针对未成年人使用其服务设置相应的时间、权限、消费等管理功能。落实国家统一的未成年人网络游戏电子身份认证系统，加强游戏产品分类、内容审核、时长限制等监管。加强儿童个人信息和隐私权的安全保护。</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9</w:t>
      </w:r>
      <w:r>
        <w:rPr>
          <w:rFonts w:hint="eastAsia" w:ascii="Times New Roman" w:hAnsi="Times New Roman" w:eastAsia="仿宋_GB2312" w:cs="宋体"/>
          <w:sz w:val="32"/>
          <w:szCs w:val="32"/>
        </w:rPr>
        <w:t>）预防和应对突发事件优先考虑儿童。在制定突发事件应急预案时统筹考虑儿童的特殊需求。按照儿童防护用品标准，在突发事件预防和应对中加强对儿童的保护，优先保证儿童食品、药品、用品供给。学校、幼儿园、托育机构、校外教育机构和社区开展形式多样的安全教育和应急演练活动，提高教职工、儿童及其监护人识别灾害风险和应对灾害的能力。公共场所发生突发事件时，应优先救护儿童。在灾后恢复与重建阶段，针对儿童特点采取优先救助和康复措施。</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10</w:t>
      </w:r>
      <w:r>
        <w:rPr>
          <w:rFonts w:hint="eastAsia" w:ascii="Times New Roman" w:hAnsi="Times New Roman" w:eastAsia="仿宋_GB2312" w:cs="宋体"/>
          <w:sz w:val="32"/>
          <w:szCs w:val="32"/>
        </w:rPr>
        <w:t>）提高儿童遭受意外伤害和暴力伤害的紧急救援、医疗救治、康复服务水平。广泛宣传儿童紧急救援知识，提升看护人、教师紧急救援技能。完善公共场所急救设施配备。加强各级紧急医学救援网络建设，加强儿童伤害院前急救设备设施配备，实现院前急救与院内急诊的有效衔接，加强康复机构能力建设，提高儿童医学救治以及康复服务的效率和水平。</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11</w:t>
      </w:r>
      <w:r>
        <w:rPr>
          <w:rFonts w:hint="eastAsia" w:ascii="Times New Roman" w:hAnsi="Times New Roman" w:eastAsia="仿宋_GB2312" w:cs="宋体"/>
          <w:sz w:val="32"/>
          <w:szCs w:val="32"/>
        </w:rPr>
        <w:t>）完善儿童安全监测机制。健全完善儿童安全监测系统，建立儿童安全统计大数据。通过医疗机构、学校、托育机构、社区、司法机关等多渠道收集儿童伤害数据，促进数据规范化。建立多部门、多专业参与的数据共享、分析、评估、利用工作机制。</w:t>
      </w:r>
    </w:p>
    <w:p>
      <w:pPr>
        <w:pStyle w:val="5"/>
        <w:spacing w:line="560" w:lineRule="exact"/>
        <w:ind w:firstLine="640"/>
        <w:rPr>
          <w:rFonts w:ascii="Times New Roman" w:hAnsi="Times New Roman"/>
          <w:b w:val="0"/>
          <w:bCs/>
          <w:lang w:eastAsia="zh-CN"/>
        </w:rPr>
      </w:pPr>
      <w:bookmarkStart w:id="366" w:name="_Toc20541"/>
      <w:r>
        <w:rPr>
          <w:rFonts w:hint="eastAsia" w:ascii="Times New Roman" w:hAnsi="Times New Roman"/>
          <w:b w:val="0"/>
          <w:bCs/>
          <w:lang w:eastAsia="zh-CN"/>
        </w:rPr>
        <w:t>（三）儿童与教育</w:t>
      </w:r>
      <w:bookmarkEnd w:id="366"/>
    </w:p>
    <w:p>
      <w:pPr>
        <w:spacing w:line="560" w:lineRule="exact"/>
        <w:ind w:firstLine="632" w:firstLineChars="200"/>
        <w:rPr>
          <w:rFonts w:ascii="Times New Roman" w:hAnsi="Times New Roman" w:eastAsia="仿宋_GB2312" w:cs="宋体"/>
          <w:sz w:val="32"/>
          <w:szCs w:val="32"/>
        </w:rPr>
      </w:pPr>
      <w:r>
        <w:rPr>
          <w:rFonts w:ascii="Times New Roman" w:hAnsi="Times New Roman" w:eastAsia="仿宋_GB2312" w:cs="宋体"/>
          <w:sz w:val="32"/>
          <w:szCs w:val="32"/>
        </w:rPr>
        <w:t>1.</w:t>
      </w:r>
      <w:r>
        <w:rPr>
          <w:rFonts w:hint="eastAsia" w:ascii="Times New Roman" w:hAnsi="Times New Roman" w:eastAsia="仿宋_GB2312" w:cs="宋体"/>
          <w:sz w:val="32"/>
          <w:szCs w:val="32"/>
        </w:rPr>
        <w:t>主要目标</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w:t>
      </w:r>
      <w:r>
        <w:rPr>
          <w:rFonts w:hint="eastAsia" w:ascii="Times New Roman" w:hAnsi="Times New Roman" w:eastAsia="仿宋_GB2312" w:cs="宋体"/>
          <w:sz w:val="32"/>
          <w:szCs w:val="32"/>
        </w:rPr>
        <w:t>）全面落实立德树人根本任务，培养德智体美劳全面发展的社会主义建设者和接班人。（牵头单位：区教体局。责任单位：团区委、区委宣传部、区关工委、区妇联、区融媒体中心）</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2</w:t>
      </w:r>
      <w:r>
        <w:rPr>
          <w:rFonts w:hint="eastAsia" w:ascii="Times New Roman" w:hAnsi="Times New Roman" w:eastAsia="仿宋_GB2312" w:cs="宋体"/>
          <w:sz w:val="32"/>
          <w:szCs w:val="32"/>
        </w:rPr>
        <w:t>）适龄儿童普遍接受安全优质的学前教育。学前教育毛入园率达到</w:t>
      </w:r>
      <w:r>
        <w:rPr>
          <w:rFonts w:ascii="Times New Roman" w:hAnsi="Times New Roman" w:eastAsia="仿宋_GB2312" w:cs="宋体"/>
          <w:sz w:val="32"/>
          <w:szCs w:val="32"/>
        </w:rPr>
        <w:t>9</w:t>
      </w:r>
      <w:r>
        <w:rPr>
          <w:rFonts w:hint="eastAsia" w:ascii="Times New Roman" w:hAnsi="Times New Roman" w:eastAsia="仿宋_GB2312" w:cs="宋体"/>
          <w:sz w:val="32"/>
          <w:szCs w:val="32"/>
        </w:rPr>
        <w:t>9</w:t>
      </w:r>
      <w:r>
        <w:rPr>
          <w:rFonts w:ascii="Times New Roman" w:hAnsi="Times New Roman" w:eastAsia="仿宋_GB2312" w:cs="宋体"/>
          <w:sz w:val="32"/>
          <w:szCs w:val="32"/>
        </w:rPr>
        <w:t>%</w:t>
      </w:r>
      <w:r>
        <w:rPr>
          <w:rFonts w:hint="eastAsia" w:ascii="Times New Roman" w:hAnsi="Times New Roman" w:eastAsia="仿宋_GB2312" w:cs="宋体"/>
          <w:sz w:val="32"/>
          <w:szCs w:val="32"/>
        </w:rPr>
        <w:t>以上，公办园和普惠性民办园在园幼儿占比达到</w:t>
      </w:r>
      <w:r>
        <w:rPr>
          <w:rFonts w:ascii="Times New Roman" w:hAnsi="Times New Roman" w:eastAsia="仿宋_GB2312" w:cs="宋体"/>
          <w:sz w:val="32"/>
          <w:szCs w:val="32"/>
        </w:rPr>
        <w:t>85%</w:t>
      </w:r>
      <w:r>
        <w:rPr>
          <w:rFonts w:hint="eastAsia" w:ascii="Times New Roman" w:hAnsi="Times New Roman" w:eastAsia="仿宋_GB2312" w:cs="宋体"/>
          <w:sz w:val="32"/>
          <w:szCs w:val="32"/>
        </w:rPr>
        <w:t>以上，公办幼儿园在园幼儿占比达到5</w:t>
      </w:r>
      <w:r>
        <w:rPr>
          <w:rFonts w:ascii="Times New Roman" w:hAnsi="Times New Roman" w:eastAsia="仿宋_GB2312" w:cs="宋体"/>
          <w:sz w:val="32"/>
          <w:szCs w:val="32"/>
        </w:rPr>
        <w:t>0%</w:t>
      </w:r>
      <w:r>
        <w:rPr>
          <w:rFonts w:hint="eastAsia" w:ascii="Times New Roman" w:hAnsi="Times New Roman" w:eastAsia="仿宋_GB2312" w:cs="宋体"/>
          <w:sz w:val="32"/>
          <w:szCs w:val="32"/>
        </w:rPr>
        <w:t>以上。（牵头单位：区教体局。责任单位：区发展改革局、区住房城乡建设局、市自然资源和规划局张店分局、区财政局、区残联）</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3</w:t>
      </w:r>
      <w:r>
        <w:rPr>
          <w:rFonts w:hint="eastAsia" w:ascii="Times New Roman" w:hAnsi="Times New Roman" w:eastAsia="仿宋_GB2312" w:cs="宋体"/>
          <w:sz w:val="32"/>
          <w:szCs w:val="32"/>
        </w:rPr>
        <w:t>）适龄儿童依法接受公平优质的义务教育，城乡义务教育均衡发展。九年义务教育巩固率保持在</w:t>
      </w:r>
      <w:r>
        <w:rPr>
          <w:rFonts w:ascii="Times New Roman" w:hAnsi="Times New Roman" w:eastAsia="仿宋_GB2312" w:cs="宋体"/>
          <w:sz w:val="32"/>
          <w:szCs w:val="32"/>
        </w:rPr>
        <w:t>98%</w:t>
      </w:r>
      <w:r>
        <w:rPr>
          <w:rFonts w:hint="eastAsia" w:ascii="Times New Roman" w:hAnsi="Times New Roman" w:eastAsia="仿宋_GB2312" w:cs="宋体"/>
          <w:sz w:val="32"/>
          <w:szCs w:val="32"/>
        </w:rPr>
        <w:t>。（牵头单位：区教体局。责任单位：区发展改革局、市自然资源和规划局张店分局、区住房城乡建设局、区财政局、区残联）</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4</w:t>
      </w:r>
      <w:r>
        <w:rPr>
          <w:rFonts w:hint="eastAsia" w:ascii="Times New Roman" w:hAnsi="Times New Roman" w:eastAsia="仿宋_GB2312" w:cs="宋体"/>
          <w:sz w:val="32"/>
          <w:szCs w:val="32"/>
        </w:rPr>
        <w:t>）适龄儿童普遍接受高质量的高中阶段教育，高中阶段毛入学率达到</w:t>
      </w:r>
      <w:r>
        <w:rPr>
          <w:rFonts w:ascii="Times New Roman" w:hAnsi="Times New Roman" w:eastAsia="仿宋_GB2312" w:cs="宋体"/>
          <w:sz w:val="32"/>
          <w:szCs w:val="32"/>
        </w:rPr>
        <w:t>98%</w:t>
      </w:r>
      <w:r>
        <w:rPr>
          <w:rFonts w:hint="eastAsia" w:ascii="Times New Roman" w:hAnsi="Times New Roman" w:eastAsia="仿宋_GB2312" w:cs="宋体"/>
          <w:sz w:val="32"/>
          <w:szCs w:val="32"/>
        </w:rPr>
        <w:t>。（牵头单位：区教体局。责任单位：区发展改革局、市自然资源和规划局张店分局、区财政局、区住房城乡建设局、区残联）</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5</w:t>
      </w:r>
      <w:r>
        <w:rPr>
          <w:rFonts w:hint="eastAsia" w:ascii="Times New Roman" w:hAnsi="Times New Roman" w:eastAsia="仿宋_GB2312" w:cs="宋体"/>
          <w:sz w:val="32"/>
          <w:szCs w:val="32"/>
        </w:rPr>
        <w:t>）孤儿、事实无人抚养儿童、残疾儿童、进城务工人员随迁子女、农村留守儿童、家庭经济困难儿童等特殊群体受教育权得到保障。残疾儿童接受从学前到高中阶段</w:t>
      </w:r>
      <w:r>
        <w:rPr>
          <w:rFonts w:ascii="Times New Roman" w:hAnsi="Times New Roman" w:eastAsia="仿宋_GB2312" w:cs="宋体"/>
          <w:sz w:val="32"/>
          <w:szCs w:val="32"/>
        </w:rPr>
        <w:t>15</w:t>
      </w:r>
      <w:r>
        <w:rPr>
          <w:rFonts w:hint="eastAsia" w:ascii="Times New Roman" w:hAnsi="Times New Roman" w:eastAsia="仿宋_GB2312" w:cs="宋体"/>
          <w:sz w:val="32"/>
          <w:szCs w:val="32"/>
        </w:rPr>
        <w:t>年免费教育。（牵头单位：区教体局。责任单位：区发展改革局、区财政局、区民政局、区残联）</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6</w:t>
      </w:r>
      <w:r>
        <w:rPr>
          <w:rFonts w:hint="eastAsia" w:ascii="Times New Roman" w:hAnsi="Times New Roman" w:eastAsia="仿宋_GB2312" w:cs="宋体"/>
          <w:sz w:val="32"/>
          <w:szCs w:val="32"/>
        </w:rPr>
        <w:t>）中小学性别平等教育全面推进，学生的性别平等意识明显增强。（牵头单位：区教体局。责任单位：区妇儿工委办公室、区妇联）</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7</w:t>
      </w:r>
      <w:r>
        <w:rPr>
          <w:rFonts w:hint="eastAsia" w:ascii="Times New Roman" w:hAnsi="Times New Roman" w:eastAsia="仿宋_GB2312" w:cs="宋体"/>
          <w:sz w:val="32"/>
          <w:szCs w:val="32"/>
        </w:rPr>
        <w:t>）儿童科学素质全面提升，科学兴趣、创新意识、实践能力不断提高。（牵头单位：区教体局、区科协。责任单位：区科技局、区关工委、团区委、区妇联）</w:t>
      </w:r>
    </w:p>
    <w:p>
      <w:pPr>
        <w:spacing w:line="560" w:lineRule="exact"/>
        <w:ind w:firstLine="632" w:firstLineChars="200"/>
        <w:rPr>
          <w:rFonts w:ascii="Times New Roman" w:hAnsi="Times New Roman" w:eastAsia="仿宋_GB2312" w:cs="宋体"/>
          <w:sz w:val="32"/>
          <w:szCs w:val="32"/>
        </w:rPr>
      </w:pPr>
      <w:r>
        <w:rPr>
          <w:rFonts w:ascii="Times New Roman" w:hAnsi="Times New Roman" w:eastAsia="仿宋_GB2312" w:cs="宋体"/>
          <w:sz w:val="32"/>
          <w:szCs w:val="32"/>
        </w:rPr>
        <w:t>2.</w:t>
      </w:r>
      <w:r>
        <w:rPr>
          <w:rFonts w:hint="eastAsia" w:ascii="Times New Roman" w:hAnsi="Times New Roman" w:eastAsia="仿宋_GB2312" w:cs="宋体"/>
          <w:sz w:val="32"/>
          <w:szCs w:val="32"/>
        </w:rPr>
        <w:t>策略措施</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w:t>
      </w:r>
      <w:r>
        <w:rPr>
          <w:rFonts w:hint="eastAsia" w:ascii="Times New Roman" w:hAnsi="Times New Roman" w:eastAsia="仿宋_GB2312" w:cs="宋体"/>
          <w:sz w:val="32"/>
          <w:szCs w:val="32"/>
        </w:rPr>
        <w:t>）全面贯彻党的教育方针。坚持社会主义办学方向，健全立德树人落实机制，实施素质教育，完善德智体美劳全面培养的教育体系，全面加强新时代少先队工作。提高思想道德素质，加强党史、新中国史、改革开放史、社会主义发展史教育，引领学生坚定理想信念，热爱祖国、热爱人民、热爱中国共产党、热爱社会主义，培育和践行社会主义核心价值观。完善德育工作体系，创新德育工作形式，增强德育工作吸引力。提升智育水平，发展学生终身学习能力，促进思维发展，激发创新意识。坚持健康第一，深化体教融合，帮助学生磨练坚强意志、锻炼强健体魄。改进美育教学，实施“美育浸润行动”，提升学生审美和人文素养。加强劳动教育，引导学生树立正确的劳动观，培养基本劳动能力，形成良好劳动习惯。完善以素质教育为导向的教育评价体系，坚决克服唯分数、唯升学倾向，提高教育治理能力和水平。</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2</w:t>
      </w:r>
      <w:r>
        <w:rPr>
          <w:rFonts w:hint="eastAsia" w:ascii="Times New Roman" w:hAnsi="Times New Roman" w:eastAsia="仿宋_GB2312" w:cs="宋体"/>
          <w:sz w:val="32"/>
          <w:szCs w:val="32"/>
        </w:rPr>
        <w:t>）全面落实教育优先发展战略。在经济社会发展规划上优先安排教育，财政资金投入上优先保障教育，公共资源配置上优先满足教育。健全保证财政教育投入持续稳定增长的长效机制。依法落实政府教育支出责任，完善各教育阶段生均预算拨款制度。支持和规范社会力量办学。</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3</w:t>
      </w:r>
      <w:r>
        <w:rPr>
          <w:rFonts w:hint="eastAsia" w:ascii="Times New Roman" w:hAnsi="Times New Roman" w:eastAsia="仿宋_GB2312" w:cs="宋体"/>
          <w:sz w:val="32"/>
          <w:szCs w:val="32"/>
        </w:rPr>
        <w:t>）全面推进教育理念、体系、制度、内容、方法创新。严格落实课程方案和课程标准，遵循教育规律和学生身心发展规律，尊重个体差异，因材施教，推行启发式、探究式、参与式、合作式教学，提高教学质量。落实《山东省普通中小学办学基本规范》。建立拔尖创新后备人才培养体系。提升校园智能化水平，提高信息化服务教育教学、管理的能力水平，加快发展适合不同学生的信息化自主学习方式，满足个性化发展需求。</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4</w:t>
      </w:r>
      <w:r>
        <w:rPr>
          <w:rFonts w:hint="eastAsia" w:ascii="Times New Roman" w:hAnsi="Times New Roman" w:eastAsia="仿宋_GB2312" w:cs="宋体"/>
          <w:sz w:val="32"/>
          <w:szCs w:val="32"/>
        </w:rPr>
        <w:t>）完善学校家庭社会协同育人机制。强化学校教育与家庭教育、社会教育有效衔接。中小学每学期至少组织</w:t>
      </w:r>
      <w:r>
        <w:rPr>
          <w:rFonts w:ascii="Times New Roman" w:hAnsi="Times New Roman" w:eastAsia="仿宋_GB2312" w:cs="宋体"/>
          <w:sz w:val="32"/>
          <w:szCs w:val="32"/>
        </w:rPr>
        <w:t>1</w:t>
      </w:r>
      <w:r>
        <w:rPr>
          <w:rFonts w:hint="eastAsia" w:ascii="Times New Roman" w:hAnsi="Times New Roman" w:eastAsia="仿宋_GB2312" w:cs="宋体"/>
          <w:sz w:val="32"/>
          <w:szCs w:val="32"/>
        </w:rPr>
        <w:t>次家庭教育指导和</w:t>
      </w:r>
      <w:r>
        <w:rPr>
          <w:rFonts w:ascii="Times New Roman" w:hAnsi="Times New Roman" w:eastAsia="仿宋_GB2312" w:cs="宋体"/>
          <w:sz w:val="32"/>
          <w:szCs w:val="32"/>
        </w:rPr>
        <w:t>1</w:t>
      </w:r>
      <w:r>
        <w:rPr>
          <w:rFonts w:hint="eastAsia" w:ascii="Times New Roman" w:hAnsi="Times New Roman" w:eastAsia="仿宋_GB2312" w:cs="宋体"/>
          <w:sz w:val="32"/>
          <w:szCs w:val="32"/>
        </w:rPr>
        <w:t>次家庭教育实践活动，幼儿园每学期至少组织</w:t>
      </w:r>
      <w:r>
        <w:rPr>
          <w:rFonts w:ascii="Times New Roman" w:hAnsi="Times New Roman" w:eastAsia="仿宋_GB2312" w:cs="宋体"/>
          <w:sz w:val="32"/>
          <w:szCs w:val="32"/>
        </w:rPr>
        <w:t>1</w:t>
      </w:r>
      <w:r>
        <w:rPr>
          <w:rFonts w:hint="eastAsia" w:ascii="Times New Roman" w:hAnsi="Times New Roman" w:eastAsia="仿宋_GB2312" w:cs="宋体"/>
          <w:sz w:val="32"/>
          <w:szCs w:val="32"/>
        </w:rPr>
        <w:t>次家庭教育指导和</w:t>
      </w:r>
      <w:r>
        <w:rPr>
          <w:rFonts w:ascii="Times New Roman" w:hAnsi="Times New Roman" w:eastAsia="仿宋_GB2312" w:cs="宋体"/>
          <w:sz w:val="32"/>
          <w:szCs w:val="32"/>
        </w:rPr>
        <w:t>2</w:t>
      </w:r>
      <w:r>
        <w:rPr>
          <w:rFonts w:hint="eastAsia" w:ascii="Times New Roman" w:hAnsi="Times New Roman" w:eastAsia="仿宋_GB2312" w:cs="宋体"/>
          <w:sz w:val="32"/>
          <w:szCs w:val="32"/>
        </w:rPr>
        <w:t>次亲子活动。推动教师家访制度化、常态化。</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5）加强教师队伍建设。完善师德师风建设长效机制，引领教师自觉践行社会主义核心价值观，提升职业道德修养，坚守教书育人职责。完善教师资格准入制度，着力解决教师结构性、阶段性、区域性短缺问题。加强教师培训，提高教师专业化水平和育人能力。培养造就一支有理想信念、有道德情操、有扎实学识、有仁爱之心的高素质专业化创新型教师队伍。弘扬尊师重教的社会风尚。</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6）开展民主、文明、和谐、平等的友好型学校建设。构建尊师爱生的师生关系和团结友爱的同学关系。推进校园无障碍环境建设和改造，为学生提供适合身高的课桌椅、安全饮用水和卫生厕所，改善学校用餐和学生寄宿条件。</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（7）促进学前教育普及普惠安全优质发展。实施第四期学前教育行动计划，合理配置学前教育资源，构建覆盖城乡、布局合理的学前教育公共服务体系。全面普及学前三年教育，新建、改扩建幼儿园30所以上，</w:t>
      </w:r>
      <w:r>
        <w:rPr>
          <w:rFonts w:hint="eastAsia" w:ascii="Times New Roman" w:hAnsi="Times New Roman" w:eastAsia="仿宋_GB2312" w:cs="仿宋"/>
          <w:sz w:val="32"/>
          <w:szCs w:val="32"/>
        </w:rPr>
        <w:t>推进国家学前教育普及普惠区建设工作</w:t>
      </w:r>
      <w:r>
        <w:rPr>
          <w:rFonts w:hint="eastAsia" w:ascii="Times New Roman" w:hAnsi="Times New Roman" w:eastAsia="仿宋_GB2312" w:cs="宋体"/>
          <w:sz w:val="32"/>
          <w:szCs w:val="32"/>
        </w:rPr>
        <w:t>。鼓励、支持儿童福利机构、残疾儿童康复机构、医疗康复机构设置幼儿园（部、班）。健全普惠性学前教育财政经费投入长效机制和成本分担机制，建立公办园收费动态调整机制，加强非营利民办园收费监管，遏制过度逐利行为。按照《山东省学前教育条例》规范城镇居住小区配套幼儿园建设使用。完善安全管理机制，强化治安防范、消防安全、交通安全、食品安全、卫生防疫等工作。注重科学保教，建立健全保教质量监测体系，建设以游戏为基本活动的幼儿园课程，加强幼儿园与小学的双向科学衔接，防止和纠正幼儿园“小学化”倾向。</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8）推动义务教育优质均衡发展。科学规划布局学校建设，实施家门口好学校建设行动，推动国家义务教育优质均衡发展区县建设，中小学办学条件全部达到优质均衡标准。建立义务教育学校标准化建设台账，落实新建居住区配套学校建设规定。充分发挥优质学校引领辐射作用，加强校际间协作，实现每一所薄弱学校都有学校结对帮扶，实现教育教学资源共建共享。合理有序扩大城镇学校学位供给，构建大班额防控长效机制，防止大班额问题反弹。进一步减轻义务教育阶段学生作业负担和校外培训负担。推动落实义务教育学校课后服务全覆盖，与正常下班时间相衔接，解决家长接学生困难问题。实施中小学智慧校园建设工程、优质教育资源共建共享工程，鼓励中小学建设以物联网为基础的创客实验室，进一步加强专递课堂、名师课堂、名校网络课堂应用，实现异地同步教学，创建为“基于教学改革、融合信息技术的新型教与学模式”国家级实验区，80%的中小学创建为智慧校园。健全精准控辍保学长效机制，提高义务教育巩固水平。保障女童平等接受义务教育。</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9）推动高中阶段学校多样化发展。实施高中强科培优行动，深化高中育人方式改革。加强普通高中学校课程规划和开发，通过市、区、校三级联创，建设一批依托国家规定课程，涵盖人文、社科、理工、艺体、科技等多个领域的特色高中。完善选课走班教学制度，推进课堂深度学习变革。全面推行全员育人导师制，做好学生发展指导。完善综合素质评价制度，促进学生全面发展和个性化发展。完善优质普通高中指标生分配办法，严格规范普通高中招生行为。完善职普互通、转换机制，探索发展综合高中，建立普通高中和中等职业学校合作机制，探索开展课程互选、学分互认、学籍互转、资源互通。推进中等职业学校特色专业建设，完善中等职业学校与高等职业院校合作办学机制，实施职业院校专业化、特色化建设工程及“张店工匠”培育工程、技工教育优质校建设工程，深化职业院校混合所有制改革，提升智能仿真公共实习实训基地建设管理水平，打造职业教育创新发展高地，建设省级高水平职业院校。继续实行中职教育免学费政策和国家助学金政策。加强对女学生学科选择和职业发展的引导，消除学科性别刻板观念对女学生专业选择的不利影响</w:t>
      </w:r>
      <w:r>
        <w:rPr>
          <w:rFonts w:hint="eastAsia" w:ascii="Times New Roman" w:hAnsi="Times New Roman" w:cs="宋体"/>
          <w:shd w:val="clear" w:color="auto" w:fill="FFFFFF"/>
        </w:rPr>
        <w:t>。</w:t>
      </w:r>
      <w:r>
        <w:rPr>
          <w:rFonts w:hint="eastAsia" w:ascii="Times New Roman" w:hAnsi="Times New Roman" w:eastAsia="仿宋_GB2312" w:cs="宋体"/>
          <w:sz w:val="32"/>
          <w:szCs w:val="32"/>
        </w:rPr>
        <w:t>城乡新增劳动力普遍接受高中阶段教育。</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10）保障特殊儿童群体受教育权利。以保育、教育、康复相结合的方式，提高残疾儿童接受学前教育的比例。坚持以普通学校随班就读为主体，特殊教育学校为骨干，送教上门和远程教育为补充，全面推进融合教育，提高适龄残疾儿童义务教育保障水平。普通高中、普通职业学校应当招收符合国家规定录取标准的残疾考生入学，不得因其残疾而拒绝招收。加快发展以职业教育为重点的残疾人高中阶段教育，提高就业能力。完善以居住证为主要依据的随迁子女入学政策，保障进城务工人员随迁子女平等享受基本公共教育服务。加强农村留守儿童和困境儿童的法治教育、安全教育、学业辅导、心理健康教育。</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w:t>
      </w:r>
      <w:r>
        <w:rPr>
          <w:rFonts w:hint="eastAsia" w:ascii="Times New Roman" w:hAnsi="Times New Roman" w:eastAsia="仿宋_GB2312" w:cs="宋体"/>
          <w:sz w:val="32"/>
          <w:szCs w:val="32"/>
        </w:rPr>
        <w:t>1）推动中小学普遍开展性别平等教育。促进性别平等教育融入学校教学内容、校园文化、社团活动和社会实践活动。加强师资培训，建设性别平等师资队伍。探索构建学校教育、家庭教育、社会教育相结合的性别平等教育模式。</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w:t>
      </w:r>
      <w:r>
        <w:rPr>
          <w:rFonts w:hint="eastAsia" w:ascii="Times New Roman" w:hAnsi="Times New Roman" w:eastAsia="仿宋_GB2312" w:cs="宋体"/>
          <w:sz w:val="32"/>
          <w:szCs w:val="32"/>
        </w:rPr>
        <w:t>2）全面提升儿童科学素质。实施未成年人科学素质提升行动。开展学前科学启蒙教育。提高学校科学教育质量，完善课程标准和课程体系，丰富课程资源，培养儿童创新精神和实践能力。加强社会协同，注重利用科技馆、儿童中心、青少年宫、博物馆等校外场所开展校外科学学习和实践活动，增强儿童对科学技术的兴趣爱好和探究能力。广泛开展社区科普活动。加强专兼职科学教师和科技辅导员队伍建设。建立完善科学教育质量和未成年人科学素质监测评估体系。</w:t>
      </w:r>
    </w:p>
    <w:p>
      <w:pPr>
        <w:pStyle w:val="5"/>
        <w:spacing w:line="560" w:lineRule="exact"/>
        <w:ind w:firstLine="640"/>
        <w:rPr>
          <w:rFonts w:ascii="Times New Roman" w:hAnsi="Times New Roman"/>
          <w:b w:val="0"/>
          <w:bCs/>
          <w:lang w:eastAsia="zh-CN"/>
        </w:rPr>
      </w:pPr>
      <w:bookmarkStart w:id="367" w:name="_Toc11070"/>
      <w:r>
        <w:rPr>
          <w:rFonts w:hint="eastAsia" w:ascii="Times New Roman" w:hAnsi="Times New Roman"/>
          <w:b w:val="0"/>
          <w:bCs/>
          <w:lang w:eastAsia="zh-CN"/>
        </w:rPr>
        <w:t>（四）儿童与福利</w:t>
      </w:r>
      <w:bookmarkEnd w:id="367"/>
    </w:p>
    <w:p>
      <w:pPr>
        <w:spacing w:line="560" w:lineRule="exact"/>
        <w:ind w:firstLine="632" w:firstLineChars="200"/>
        <w:rPr>
          <w:rFonts w:ascii="Times New Roman" w:hAnsi="Times New Roman" w:eastAsia="仿宋_GB2312" w:cs="宋体"/>
          <w:sz w:val="32"/>
          <w:szCs w:val="32"/>
        </w:rPr>
      </w:pPr>
      <w:r>
        <w:rPr>
          <w:rFonts w:ascii="Times New Roman" w:hAnsi="Times New Roman" w:eastAsia="仿宋_GB2312" w:cs="宋体"/>
          <w:sz w:val="32"/>
          <w:szCs w:val="32"/>
        </w:rPr>
        <w:t>1.</w:t>
      </w:r>
      <w:r>
        <w:rPr>
          <w:rFonts w:hint="eastAsia" w:ascii="Times New Roman" w:hAnsi="Times New Roman" w:eastAsia="仿宋_GB2312" w:cs="宋体"/>
          <w:sz w:val="32"/>
          <w:szCs w:val="32"/>
        </w:rPr>
        <w:t>主要目标</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w:t>
      </w:r>
      <w:r>
        <w:rPr>
          <w:rFonts w:hint="eastAsia" w:ascii="Times New Roman" w:hAnsi="Times New Roman" w:eastAsia="仿宋_GB2312" w:cs="宋体"/>
          <w:sz w:val="32"/>
          <w:szCs w:val="32"/>
        </w:rPr>
        <w:t>）提升儿童福利水平，基本建成与经济社会发展水平相适应的适度普惠型儿童福利制度体系。（牵头单位：区民政局。责任单位：区财政局、区发展改革局、区卫生健康局、区残联）</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2</w:t>
      </w:r>
      <w:r>
        <w:rPr>
          <w:rFonts w:hint="eastAsia" w:ascii="Times New Roman" w:hAnsi="Times New Roman" w:eastAsia="仿宋_GB2312" w:cs="宋体"/>
          <w:sz w:val="32"/>
          <w:szCs w:val="32"/>
        </w:rPr>
        <w:t>）扩大儿童基本公共服务供给，城乡、区域和群体间儿童公平享有基本公共服务。（牵头单位：区发展改革局、区财政局、区妇儿工委办公室。责任单位：区卫生健康局、区民政局、区市场监管局、区文化和旅游局、区交通运输局、区教体局）</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3</w:t>
      </w:r>
      <w:r>
        <w:rPr>
          <w:rFonts w:hint="eastAsia" w:ascii="Times New Roman" w:hAnsi="Times New Roman" w:eastAsia="仿宋_GB2312" w:cs="宋体"/>
          <w:sz w:val="32"/>
          <w:szCs w:val="32"/>
        </w:rPr>
        <w:t>）巩固提高基本医疗保障水平，保障儿童基本医疗权益。（牵头单位：市医保局张店分局。责任单位：区卫生健康局、区财政局、区民政局、区残联）</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4</w:t>
      </w:r>
      <w:r>
        <w:rPr>
          <w:rFonts w:hint="eastAsia" w:ascii="Times New Roman" w:hAnsi="Times New Roman" w:eastAsia="仿宋_GB2312" w:cs="宋体"/>
          <w:sz w:val="32"/>
          <w:szCs w:val="32"/>
        </w:rPr>
        <w:t>）婴幼儿照护政策、供给和监督管理体系基本健全，普惠托育服务机构和托位数量持续增加，每千人口3岁以下婴幼儿托位数达到4.5个，家庭婴幼儿照护服务不断规范。（牵头单位：区卫生健康局。责任单位：区发展改革局、区教体局、张店公安分局、区民政局、区财政局、区人力资源社会保障局、市自然资源和规划局张店分局、区应急管理局、区市场监管局、区总工会、团区委、区妇联）</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5</w:t>
      </w:r>
      <w:r>
        <w:rPr>
          <w:rFonts w:hint="eastAsia" w:ascii="Times New Roman" w:hAnsi="Times New Roman" w:eastAsia="仿宋_GB2312" w:cs="宋体"/>
          <w:sz w:val="32"/>
          <w:szCs w:val="32"/>
        </w:rPr>
        <w:t>）孤儿和事实无人抚养儿童、残疾儿童、流浪儿童的生存、发展和安全权益得到保障。有康复需求的残疾儿童基本康复服务全覆盖。孤儿、事实无人抚养儿童、重点困境儿童基本生活保障水平进一步提高。（牵头单位：区民政局、区残联。责任单位：区财政局、区卫生健康局、区关工委）</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6</w:t>
      </w:r>
      <w:r>
        <w:rPr>
          <w:rFonts w:hint="eastAsia" w:ascii="Times New Roman" w:hAnsi="Times New Roman" w:eastAsia="仿宋_GB2312" w:cs="宋体"/>
          <w:sz w:val="32"/>
          <w:szCs w:val="32"/>
        </w:rPr>
        <w:t>）农村留守儿童关爱服务体系不断完善，流动儿童服务机制更加健全。（牵头单位：区民政局、区教体局、区卫生健康局。责任单位：区发展改革局、区财政局、区人力资源社会保障局、区法院、区检察院、张店公安分局、区司法局、区委宣传部、区妇联、团区委、区关工委、区融媒体中心）</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7</w:t>
      </w:r>
      <w:r>
        <w:rPr>
          <w:rFonts w:hint="eastAsia" w:ascii="Times New Roman" w:hAnsi="Times New Roman" w:eastAsia="仿宋_GB2312" w:cs="宋体"/>
          <w:sz w:val="32"/>
          <w:szCs w:val="32"/>
        </w:rPr>
        <w:t>）基层儿童福利工作阵地和队伍建设进一步加强。镇（街道）配备儿童督导员，村（社区）配备儿童主任。（牵头单位：区民政局。责任单位：区发展改革局、区财政局、市自然资源和规划局张店分局、团区委、区妇联、区关工委）</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8</w:t>
      </w:r>
      <w:r>
        <w:rPr>
          <w:rFonts w:hint="eastAsia" w:ascii="Times New Roman" w:hAnsi="Times New Roman" w:eastAsia="仿宋_GB2312" w:cs="宋体"/>
          <w:sz w:val="32"/>
          <w:szCs w:val="32"/>
        </w:rPr>
        <w:t>）监测预防、强制报告、应急处置、评估帮扶、监护干预“五位一体”的基层儿童保护机制有效运行。（牵头单位：区民政局。责任单位：张店公安分局、区检察院、区法院、区教体局、区司法局、区卫生健康局、区财政局、团区委、区妇联、区关工委）</w:t>
      </w:r>
    </w:p>
    <w:p>
      <w:pPr>
        <w:spacing w:line="560" w:lineRule="exact"/>
        <w:ind w:firstLine="632" w:firstLineChars="200"/>
        <w:rPr>
          <w:rFonts w:ascii="Times New Roman" w:hAnsi="Times New Roman" w:eastAsia="仿宋_GB2312" w:cs="宋体"/>
          <w:sz w:val="32"/>
          <w:szCs w:val="32"/>
        </w:rPr>
      </w:pPr>
      <w:r>
        <w:rPr>
          <w:rFonts w:ascii="Times New Roman" w:hAnsi="Times New Roman" w:eastAsia="仿宋_GB2312" w:cs="宋体"/>
          <w:sz w:val="32"/>
          <w:szCs w:val="32"/>
        </w:rPr>
        <w:t>2.</w:t>
      </w:r>
      <w:r>
        <w:rPr>
          <w:rFonts w:hint="eastAsia" w:ascii="Times New Roman" w:hAnsi="Times New Roman" w:eastAsia="仿宋_GB2312" w:cs="宋体"/>
          <w:sz w:val="32"/>
          <w:szCs w:val="32"/>
        </w:rPr>
        <w:t>策略措施</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w:t>
      </w:r>
      <w:r>
        <w:rPr>
          <w:rFonts w:hint="eastAsia" w:ascii="Times New Roman" w:hAnsi="Times New Roman" w:eastAsia="仿宋_GB2312" w:cs="宋体"/>
          <w:sz w:val="32"/>
          <w:szCs w:val="32"/>
        </w:rPr>
        <w:t>）完善儿童福利制度体系。推动建成与我区经济社会发展状况相适应、与儿童需要相匹配、与相关福利制度相衔接的适度普惠型儿童福利制度体系。完善困境儿童分类保障政策，加大困境儿童保护力度。完善儿童福利政策，逐步提高儿童福利标准，加强儿童基本生活兜底保障。</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2</w:t>
      </w:r>
      <w:r>
        <w:rPr>
          <w:rFonts w:hint="eastAsia" w:ascii="Times New Roman" w:hAnsi="Times New Roman" w:eastAsia="仿宋_GB2312" w:cs="宋体"/>
          <w:sz w:val="32"/>
          <w:szCs w:val="32"/>
        </w:rPr>
        <w:t>）提高面向儿童的基本公共服务供给水平。提高基本公共服务可及性和均等化水平，将儿童教育、医疗卫生、福利保障事项优先纳入基本公共服务清单。加强儿童基本公共服务标准化建设，基本公共服务投入向薄弱环节、特殊儿童群体倾斜。扩大公共服务覆盖面，推行以年龄标准优先、身高标准补充的方式，全面落实儿童乘坐公共交通工具和游览参观票价优惠政策，</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3</w:t>
      </w:r>
      <w:r>
        <w:rPr>
          <w:rFonts w:hint="eastAsia" w:ascii="Times New Roman" w:hAnsi="Times New Roman" w:eastAsia="仿宋_GB2312" w:cs="宋体"/>
          <w:sz w:val="32"/>
          <w:szCs w:val="32"/>
        </w:rPr>
        <w:t>）做好儿童医疗保障工作。强化基本医疗保险、大病保险与医疗救助三重保障功能，巩固提高儿童参加城乡居民基本医疗保险覆盖率。完善儿童医疗服务价格动态调整机制。落实孤儿、困境儿童和残疾儿童医疗保障政策，努力实现应保尽保。加强对符合条件的儿童重大疾病的医疗救助。促进各类医疗保障互补衔接，支持商业保险机构开发推广适宜不同年龄阶段儿童的大病和意外伤害险产品，统筹调动慈善医疗救助力量，支持医疗互助有序发展，合力降低患儿家庭医疗费用负担。</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4</w:t>
      </w:r>
      <w:r>
        <w:rPr>
          <w:rFonts w:hint="eastAsia" w:ascii="Times New Roman" w:hAnsi="Times New Roman" w:eastAsia="仿宋_GB2312" w:cs="宋体"/>
          <w:sz w:val="32"/>
          <w:szCs w:val="32"/>
        </w:rPr>
        <w:t>）多元化促进</w:t>
      </w:r>
      <w:r>
        <w:rPr>
          <w:rFonts w:ascii="Times New Roman" w:hAnsi="Times New Roman" w:eastAsia="仿宋_GB2312" w:cs="宋体"/>
          <w:sz w:val="32"/>
          <w:szCs w:val="32"/>
        </w:rPr>
        <w:t>3</w:t>
      </w:r>
      <w:r>
        <w:rPr>
          <w:rFonts w:hint="eastAsia" w:ascii="Times New Roman" w:hAnsi="Times New Roman" w:eastAsia="仿宋_GB2312" w:cs="宋体"/>
          <w:sz w:val="32"/>
          <w:szCs w:val="32"/>
        </w:rPr>
        <w:t>岁以下婴幼儿照护服务。开展涵盖良好健康、充足营养、回应性照护、早期学习、安全保障等多维度的城乡儿童早期综合服务。发挥城乡社区公共服务设施功能，支持和引导社会力量依托社区提供普惠性婴幼儿照护服务，支持企事业单位和社会组织等社会力量提供普惠托育服务。做好婴幼儿照护服务机构核准登记工作，规划建设一批承担指导功能的综合性照护服务机构和社区照护服务设施，建成具有示范引领作用的托育服务机构。探索托幼一体化、社区托育点、家庭互助式托育等服务模式，提供全日托、半日托、计时托、临时托等多样化服务。鼓励有条件的幼儿园兴办托育机构或开设托班。鼓励用人单位在工作场所为职工提供福利性婴幼儿照护服务。加强对家庭婴幼儿早期发展的支持和指导，对确有照护困难的家庭或婴幼儿提供必要的服务。运用互联网等信息化手段对婴幼儿照护服务机构的服务过程加强监管，让家长放心。</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5</w:t>
      </w:r>
      <w:r>
        <w:rPr>
          <w:rFonts w:hint="eastAsia" w:ascii="Times New Roman" w:hAnsi="Times New Roman" w:eastAsia="仿宋_GB2312" w:cs="宋体"/>
          <w:sz w:val="32"/>
          <w:szCs w:val="32"/>
        </w:rPr>
        <w:t>）加强孤儿和事实无人抚养儿童、重点困境儿童保障。落实孤儿、事实无人抚养儿童、重点困境儿童保障政策，逐步提高基本生活保障水平。完善孤儿安置渠道，采取亲属抚养、家庭寄养、机构养育和依法收养等方式妥善安置。落实社会散居孤儿、事实无人抚养儿童监护责任。完善儿童收养有关政策。健全收养评估制度，建立收养状况回访监督制度。</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6</w:t>
      </w:r>
      <w:r>
        <w:rPr>
          <w:rFonts w:hint="eastAsia" w:ascii="Times New Roman" w:hAnsi="Times New Roman" w:eastAsia="仿宋_GB2312" w:cs="宋体"/>
          <w:sz w:val="32"/>
          <w:szCs w:val="32"/>
        </w:rPr>
        <w:t>）落实残疾儿童康复救助制度。完善残疾儿童筛查、诊断、治疗、康复一体化工作机制，建立残疾报告和信息共享制度。提高残疾儿童康复服务覆盖率，为有需求的残疾儿童提供康复医疗、辅助器具、康复训练等基本康复服务。完善残疾儿童康复服务标准，增强残疾儿童康复服务供给能力，规范残疾儿童康复机构管理。支持儿童福利机构面向社会残疾儿童开展替代照料、养育教育辅导、康复训练等服务。</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7</w:t>
      </w:r>
      <w:r>
        <w:rPr>
          <w:rFonts w:hint="eastAsia" w:ascii="Times New Roman" w:hAnsi="Times New Roman" w:eastAsia="仿宋_GB2312" w:cs="宋体"/>
          <w:sz w:val="32"/>
          <w:szCs w:val="32"/>
        </w:rPr>
        <w:t>）加强流浪儿童救助保护工作。落实流浪儿童街面巡查和转介处置职责，依法依规为流浪儿童提供生活照料、身份查询、接送返回等服务。流出地政府建立源头治理和回归稳固机制，落实流浪儿童相关社会保障和义务教育等政策，教育督促流浪儿童父母或其他监护人履行抚养义务。</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8</w:t>
      </w:r>
      <w:r>
        <w:rPr>
          <w:rFonts w:hint="eastAsia" w:ascii="Times New Roman" w:hAnsi="Times New Roman" w:eastAsia="仿宋_GB2312" w:cs="宋体"/>
          <w:sz w:val="32"/>
          <w:szCs w:val="32"/>
        </w:rPr>
        <w:t>）加强农村留守儿童关爱保护。进一步完善农村留守儿童关爱保护工作体系。强化家庭监护主体责任，提高监护能力。强化区、镇（街道）人民政府属地责任，做好农村留守儿童信息动态管理，落实关爱帮扶政策措施。充分发挥群团组织以及社会组织、专业社会工作者、志愿者等作用，实施“希望小屋”等儿童关爱项目，常态化开展寒暑假特别关爱行动，加强对农村留守儿童心理、情感、行为和安全自护指导服务。积极倡导企业履行社会责任，为务工人员加强与留守未成年子女的联系沟通提供支持。落实支持农民工返乡创业就业相关政策措施，从源头上减少留守儿童现象。</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9</w:t>
      </w:r>
      <w:r>
        <w:rPr>
          <w:rFonts w:hint="eastAsia" w:ascii="Times New Roman" w:hAnsi="Times New Roman" w:eastAsia="仿宋_GB2312" w:cs="宋体"/>
          <w:sz w:val="32"/>
          <w:szCs w:val="32"/>
        </w:rPr>
        <w:t>）完善流动儿童服务机制。推进城镇常住人口基本公共服务均等化，保障儿童平等享有公共教育、医疗卫生等基本公共服务。整合社区和社会资源，健全以社区为依托、面向流动儿童家庭的管理和服务网络，提升专业服务能力，促进流动儿童及其家庭的社区融入。</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10</w:t>
      </w:r>
      <w:r>
        <w:rPr>
          <w:rFonts w:hint="eastAsia" w:ascii="Times New Roman" w:hAnsi="Times New Roman" w:eastAsia="仿宋_GB2312" w:cs="宋体"/>
          <w:sz w:val="32"/>
          <w:szCs w:val="32"/>
        </w:rPr>
        <w:t>）提高基层儿童工作服务能力。加强区未成年人救助保护机构规范化专业化建设。镇（街道）配备儿童督导员，村（社区）配备儿童主任。儿童督导员负责指导、管理儿童主任工作。儿童主任由村（居）民委员会委员、专业社会工作者等人员担任，优先安排村（社区）妇联主席兼职。定期随访监护情况较差、失学辍学、无户籍以及患病、残疾等重点儿童，切实做好未成年人监护风险或受到监护侵害情况的发现、报告工作。加大儿童督导员、儿童主任等基层儿童工作者业务培训力度，每年轮训一次。支持引导社会力量参与儿童保护和服务工作，通过政府委托、项目合作、重点推介、孵化扶持等方式，积极培育儿童服务类社会组织，引入或孵化至少</w:t>
      </w:r>
      <w:r>
        <w:rPr>
          <w:rFonts w:ascii="Times New Roman" w:hAnsi="Times New Roman" w:eastAsia="仿宋_GB2312" w:cs="宋体"/>
          <w:sz w:val="32"/>
          <w:szCs w:val="32"/>
        </w:rPr>
        <w:t>1</w:t>
      </w:r>
      <w:r>
        <w:rPr>
          <w:rFonts w:hint="eastAsia" w:ascii="Times New Roman" w:hAnsi="Times New Roman" w:eastAsia="仿宋_GB2312" w:cs="宋体"/>
          <w:sz w:val="32"/>
          <w:szCs w:val="32"/>
        </w:rPr>
        <w:t>家儿童类社会组织。将更多符合条件的儿童保护和服务事项纳入政府购买服务指导性目录，面向城乡社区、家庭和学校提供服务。</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11</w:t>
      </w:r>
      <w:r>
        <w:rPr>
          <w:rFonts w:hint="eastAsia" w:ascii="Times New Roman" w:hAnsi="Times New Roman" w:eastAsia="仿宋_GB2312" w:cs="宋体"/>
          <w:sz w:val="32"/>
          <w:szCs w:val="32"/>
        </w:rPr>
        <w:t>）建立健全基层儿童保护机制。完善区、镇（街道）、村（社区）三级基层儿童保护机制。督促学校、幼儿园、医疗机构、儿童福利机构、未成年人救助保护机构、村（居）民委员会等主体强化主动报告意识，履行困境儿童和受暴力伤害儿童的强制报告义务。及时受理、转介侵犯儿童合法权益的投诉、举报，探索完善接报、评估、处置、帮扶等一体化工作流程，明确相关部门工作职责和协作程序，形成“一门受理、协同办理”的工作机制。</w:t>
      </w:r>
    </w:p>
    <w:p>
      <w:pPr>
        <w:pStyle w:val="5"/>
        <w:spacing w:line="560" w:lineRule="exact"/>
        <w:ind w:firstLine="640"/>
        <w:rPr>
          <w:rFonts w:ascii="Times New Roman" w:hAnsi="Times New Roman"/>
          <w:b w:val="0"/>
          <w:bCs/>
          <w:lang w:eastAsia="zh-CN"/>
        </w:rPr>
      </w:pPr>
      <w:bookmarkStart w:id="368" w:name="_Toc2429"/>
      <w:r>
        <w:rPr>
          <w:rFonts w:hint="eastAsia" w:ascii="Times New Roman" w:hAnsi="Times New Roman"/>
          <w:b w:val="0"/>
          <w:bCs/>
          <w:lang w:eastAsia="zh-CN"/>
        </w:rPr>
        <w:t>（五）儿童与法律保护</w:t>
      </w:r>
      <w:bookmarkEnd w:id="368"/>
    </w:p>
    <w:p>
      <w:pPr>
        <w:spacing w:line="560" w:lineRule="exact"/>
        <w:ind w:firstLine="632" w:firstLineChars="200"/>
        <w:rPr>
          <w:rFonts w:ascii="Times New Roman" w:hAnsi="Times New Roman" w:eastAsia="仿宋_GB2312" w:cs="宋体"/>
          <w:sz w:val="32"/>
          <w:szCs w:val="32"/>
        </w:rPr>
      </w:pPr>
      <w:r>
        <w:rPr>
          <w:rFonts w:ascii="Times New Roman" w:hAnsi="Times New Roman" w:eastAsia="仿宋_GB2312" w:cs="宋体"/>
          <w:sz w:val="32"/>
          <w:szCs w:val="32"/>
        </w:rPr>
        <w:t>1.</w:t>
      </w:r>
      <w:r>
        <w:rPr>
          <w:rFonts w:hint="eastAsia" w:ascii="Times New Roman" w:hAnsi="Times New Roman" w:eastAsia="仿宋_GB2312" w:cs="宋体"/>
          <w:sz w:val="32"/>
          <w:szCs w:val="32"/>
        </w:rPr>
        <w:t>主要目标</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w:t>
      </w:r>
      <w:r>
        <w:rPr>
          <w:rFonts w:hint="eastAsia" w:ascii="Times New Roman" w:hAnsi="Times New Roman" w:eastAsia="仿宋_GB2312" w:cs="宋体"/>
          <w:sz w:val="32"/>
          <w:szCs w:val="32"/>
        </w:rPr>
        <w:t>）未成年人保护的政策体系更加完善。（牵头单位：区司法局。责任单位：区民政局、团区委、区教体局、区关工委、区妇联）</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2</w:t>
      </w:r>
      <w:r>
        <w:rPr>
          <w:rFonts w:hint="eastAsia" w:ascii="Times New Roman" w:hAnsi="Times New Roman" w:eastAsia="仿宋_GB2312" w:cs="宋体"/>
          <w:sz w:val="32"/>
          <w:szCs w:val="32"/>
        </w:rPr>
        <w:t>）未成年人保护领域执法工作进一步加强。（责任单位：区司法局、区民政局、张店公安分局、区教体局、区检察院、区法院等区妇儿工委有关成员单位）</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3</w:t>
      </w:r>
      <w:r>
        <w:rPr>
          <w:rFonts w:hint="eastAsia" w:ascii="Times New Roman" w:hAnsi="Times New Roman" w:eastAsia="仿宋_GB2312" w:cs="宋体"/>
          <w:sz w:val="32"/>
          <w:szCs w:val="32"/>
        </w:rPr>
        <w:t>）未成年人司法保护制度进一步完善，司法工作体系满足未成年人身心发展特殊需要。（责任单位：区司法局、张店公安分局、区民政局、区教体局、团区委、区关工委、区妇联、区检察院、区法院等区妇儿工委有关成员单位）</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4</w:t>
      </w:r>
      <w:r>
        <w:rPr>
          <w:rFonts w:hint="eastAsia" w:ascii="Times New Roman" w:hAnsi="Times New Roman" w:eastAsia="仿宋_GB2312" w:cs="宋体"/>
          <w:sz w:val="32"/>
          <w:szCs w:val="32"/>
        </w:rPr>
        <w:t>）未成年人法治素养和自我保护意识进一步提升，社会公众保护未成年人的意识和能力进一步提高。（牵头单位：区司法局。责任单位：区教体局、张店公安分局、区民政局、团区委、区关工委、区检察院、区法院等区妇儿工委有关成员单位）</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5</w:t>
      </w:r>
      <w:r>
        <w:rPr>
          <w:rFonts w:hint="eastAsia" w:ascii="Times New Roman" w:hAnsi="Times New Roman" w:eastAsia="仿宋_GB2312" w:cs="宋体"/>
          <w:sz w:val="32"/>
          <w:szCs w:val="32"/>
        </w:rPr>
        <w:t>）未成年人民事权益保障得到进一步落实。（责任单位：区司法局、张店公安分局、区民政局、区市场监管局、区法院、区检察院等区妇儿工委有关成员单位）</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6</w:t>
      </w:r>
      <w:r>
        <w:rPr>
          <w:rFonts w:hint="eastAsia" w:ascii="Times New Roman" w:hAnsi="Times New Roman" w:eastAsia="仿宋_GB2312" w:cs="宋体"/>
          <w:sz w:val="32"/>
          <w:szCs w:val="32"/>
        </w:rPr>
        <w:t>）未成年人监护制度进一步落实，未成年人获得有效监护。（牵头单位：区民政局。责任单位：张店公安分局、区司法局、区妇联、区教体局、区关工委、区法院、区检察院等区妇儿工委有关成员单位）</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7</w:t>
      </w:r>
      <w:r>
        <w:rPr>
          <w:rFonts w:hint="eastAsia" w:ascii="Times New Roman" w:hAnsi="Times New Roman" w:eastAsia="仿宋_GB2312" w:cs="宋体"/>
          <w:sz w:val="32"/>
          <w:szCs w:val="32"/>
        </w:rPr>
        <w:t>）禁止使用童工，维护未成年工的合法权益。（牵头单位：区人力资源社会保障局。责任单位：区检察院、张店公安分局、区教体局、区总工会、团区委等区妇儿工委有关成员单位）</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8</w:t>
      </w:r>
      <w:r>
        <w:rPr>
          <w:rFonts w:hint="eastAsia" w:ascii="Times New Roman" w:hAnsi="Times New Roman" w:eastAsia="仿宋_GB2312" w:cs="宋体"/>
          <w:sz w:val="32"/>
          <w:szCs w:val="32"/>
        </w:rPr>
        <w:t>）禁止对未成年人实施家庭暴力。（牵头单位：区委政法委、张店公安分局。责任单位：区法院、区检察院、区司法局、区教体局、区民政局、区卫生健康局、区关工委、区妇联等区妇儿工委有关成员单位）</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9</w:t>
      </w:r>
      <w:r>
        <w:rPr>
          <w:rFonts w:hint="eastAsia" w:ascii="Times New Roman" w:hAnsi="Times New Roman" w:eastAsia="仿宋_GB2312" w:cs="宋体"/>
          <w:sz w:val="32"/>
          <w:szCs w:val="32"/>
        </w:rPr>
        <w:t>）禁止性侵害、拐卖、虐待、遗弃未成年人。（牵头单位：张店公安分局。责任单位：区检察院、区法院、区司法局、区教体局、区民政局、区卫生健康局、区关工委、区妇联等区妇儿工委有关成员单位）</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10</w:t>
      </w:r>
      <w:r>
        <w:rPr>
          <w:rFonts w:hint="eastAsia" w:ascii="Times New Roman" w:hAnsi="Times New Roman" w:eastAsia="仿宋_GB2312" w:cs="宋体"/>
          <w:sz w:val="32"/>
          <w:szCs w:val="32"/>
        </w:rPr>
        <w:t>）降低未成年犯罪人数占未成年人口数量的比重。（牵头单位：张店公安分局。责任单位：区检察院、区法院、区司法局、区民政局、区教体局、团区委等区妇儿工委有关成员单位）</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11</w:t>
      </w:r>
      <w:r>
        <w:rPr>
          <w:rFonts w:hint="eastAsia" w:ascii="Times New Roman" w:hAnsi="Times New Roman" w:eastAsia="仿宋_GB2312" w:cs="宋体"/>
          <w:sz w:val="32"/>
          <w:szCs w:val="32"/>
        </w:rPr>
        <w:t>）未成年人网络保护力度加强。（牵头单位：区委网信办。责任单位：区教体局、张店公安分局、区文化和旅游局、区司法局、团区委等区妇儿工委有关成员单位）</w:t>
      </w:r>
    </w:p>
    <w:p>
      <w:pPr>
        <w:spacing w:line="560" w:lineRule="exact"/>
        <w:ind w:firstLine="632" w:firstLineChars="200"/>
        <w:rPr>
          <w:rFonts w:ascii="Times New Roman" w:hAnsi="Times New Roman" w:eastAsia="仿宋_GB2312" w:cs="宋体"/>
          <w:sz w:val="32"/>
          <w:szCs w:val="32"/>
        </w:rPr>
      </w:pPr>
      <w:r>
        <w:rPr>
          <w:rFonts w:ascii="Times New Roman" w:hAnsi="Times New Roman" w:eastAsia="仿宋_GB2312" w:cs="宋体"/>
          <w:sz w:val="32"/>
          <w:szCs w:val="32"/>
        </w:rPr>
        <w:t>2.</w:t>
      </w:r>
      <w:r>
        <w:rPr>
          <w:rFonts w:hint="eastAsia" w:ascii="Times New Roman" w:hAnsi="Times New Roman" w:eastAsia="仿宋_GB2312" w:cs="宋体"/>
          <w:sz w:val="32"/>
          <w:szCs w:val="32"/>
        </w:rPr>
        <w:t>策略措施</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1）严格未成年人保护领域的执法。加大行政执法力度，及时发现和处置监护侵害、家庭暴力、校园及周边安全隐患、食品药品安全隐患等问题。建立健全未成年人保护多部门综合执法工作机制，强化部门信息沟通和工作衔接，落实未成年人救助协作制度，健全各级未成年人保护工作平台，形成执法、保护、服务合力。建立防控暴力伤害等侵害未成年人人身权益的多部门联动工作机制，及时发现、报告和干预。密切接触未成年人的机构和人员切实履行强制报告义务。鼓励支持公众依法制止、检举、控告针对未成年人的一切形式的暴力行为，严惩侵犯未成年人合法权益的违法犯罪行为。</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2）健全未成年人司法工作体系。坚持少年审判专业化发展方向，深化未成年人检察业务统一集中办理改革。探索设立少年警务机构，推进少年警务工作专业化。探索指定专人负责未成年人法律援助事务，加强未成年人案件办理人员专业培训。完善未成年人司法保护工作评价考核标准。加强专业化办案与社会化保护配合衔接，加强司法机关与政府部门、人民团体、社会组织和社会工作者等合作，共同做好未成年人心理干预、社会观护、教育矫治、社区矫正等工作。</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3）加强对未成年人的特殊司法保护。依法保障涉案未成年人的隐私权、名誉权以及知情权、参与权等诉讼权利。落实未成年人犯罪案件特别程序关于严格限制适用逮捕措施、法律援助、社会调查、心理评估、法定代理人或合适成年人到场、附条件不起诉、不公开审理、犯罪记录封存等规定。增强未成年人社区矫正实施效果。落实涉案未成年人与成年人分别关押、分别管理、分别教育制度。</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4）依法为未成年人提供法律援助和司法救助。依托公共法律服务平台，为未成年人保护提供法律援助服务，推进法律援助的标准化、规范化建设和专业化队伍建设。保障符合国家司法救助条件的未成年人获得有针对性的经济救助、身心康复、生活安置、复学就业等多元综合救助。</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6</w:t>
      </w:r>
      <w:r>
        <w:rPr>
          <w:rFonts w:hint="eastAsia" w:ascii="Times New Roman" w:hAnsi="Times New Roman" w:eastAsia="仿宋_GB2312" w:cs="宋体"/>
          <w:sz w:val="32"/>
          <w:szCs w:val="32"/>
        </w:rPr>
        <w:t>）加强未成年人保护的法治宣传教育。宣传倡导对侵害未成年人犯罪零容忍理念，引导媒体客观、审慎、适度采访和报道涉未成年人案件，提升公众法治意识和未成年人保护意识。完善政府、学校、家庭、社会共同参与的未成年人法治教育工作机制，推进青少年法治教育实践基地、法治资源教室和网络平台建设，运用法治副校长、以案释法、模拟法庭等多样化方式，深入开展法治教育和法治实践活动，提高未成年人法治素养、安全意识和自我保护能力。</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6）全面保障未成年人的民事权益。依法保障未成年人的人身权利、财产权利和其他合法权益。开展涉及未成年人权益纠纷调解工作，探索父母婚内分居期间未成年子女权益保护措施，依法保障父母离婚后未成年子女获得探望、抚养、教育、保护的权利。依法保障未成年人和胎儿的遗产继承和受遗赠权。依法保护未成年人名誉、隐私和个人信息等人格权。对食品药品安全、产品质量、烟酒销售、文化宣传、网络传播等方面侵害未成年人合法权益的行为，开展公益诉讼工作。</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7）落实未成年人监护制度。加强对家庭落实监护责任的支持、监督和干预。强化父母或其他监护人履行对未成年子女的抚养、教育和保护职责，依法规范父母或其他监护人委托他人照护未成年人子女的行为。加强监护的监督、指导和帮助，探索建立亲职教育制度。强化村（居）民委员会对父母或其他监护人监护和委托照护的监督责任。依法依规纠正和处理监护人侵害未成年人权益事件。落实政府监护制度，符合法定情形的未成年人由民政部门进行监护，确保突发事件情况下无人照料儿童及时获得临时有效监护。探索建立监护风险及异常状况评估制度。</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8）严厉查处使用童工等违法犯罪行为。加强对使用童工行为的监督检查。严格执行未成年工保护规定，禁止安排未成年工从事矿山井下、有毒有害、国家规定的第四级体力劳动和其他禁忌从事的劳动，督促用人单位定期对未成年工进行健康检查。规范和限制安排儿童参加商业性展演活动，加强对企业、其他经营组织或个人、网络平台等吸纳未成年人参与广告拍摄、商业代言、演出、赛事、节目制作、网络直播等的监督管理。</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9）预防和依法严惩对未成年人实施家庭暴力的违法犯罪行为。加强反家庭暴力宣传，杜绝针对未成年人家庭暴力，以及严重忽视等不利于未成年人身心健康的行为。禁止溺婴、虐待、遗弃未成年人，不得歧视女性未成年人或有残疾的未成年人。落实强制报告制度，及时受理、调查、立案和转处未成年人遭受家庭暴力的案件。充分运用告诫书、人身安全保护令、督促监护令、撤销监护人资格等措施，加强对施暴人教育和惩戒，对构成犯罪的施暴人依法追究刑事责任，依法严惩重大恶性案件。保护未成年被害人的隐私和安全，及时提供心理疏导、医疗救治和临时庇护。</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w:t>
      </w:r>
      <w:r>
        <w:rPr>
          <w:rFonts w:hint="eastAsia" w:ascii="Times New Roman" w:hAnsi="Times New Roman" w:eastAsia="仿宋_GB2312" w:cs="宋体"/>
          <w:sz w:val="32"/>
          <w:szCs w:val="32"/>
        </w:rPr>
        <w:t>0）严厉打击拐卖儿童和引诱胁迫未成年人涉毒涉黑涉恶等违法犯罪行为。坚持和完善预防、打击、救助、安置、康复一体化的反拐工作长效机制，继续实施反对拐卖人口行动计划。有效防范和严厉打击借收养名义买卖未成年人、利用网络平台实施拐卖人口等违法犯罪行为，加大对出卖亲生子女犯罪的预防和打击力度，完善孕产妇就医生产身份核实机制，完善亲子鉴定证明和出生医学证明开具制度。妥善安置查找不到亲生父母和自生自卖类案件的被解救儿童。实施青少年毒品预防教育工程，开展对引诱、教唆、欺骗、强迫、容留未成年人吸贩毒犯罪专项打击行动。依法严惩胁迫、引诱、教唆未成年人参与黑社会性质组织从事违法犯罪活动的行为。</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w:t>
      </w:r>
      <w:r>
        <w:rPr>
          <w:rFonts w:hint="eastAsia" w:ascii="Times New Roman" w:hAnsi="Times New Roman" w:eastAsia="仿宋_GB2312" w:cs="宋体"/>
          <w:sz w:val="32"/>
          <w:szCs w:val="32"/>
        </w:rPr>
        <w:t>1）预防和依法严惩性侵害未成年人违法犯罪行为。加强未成年人预防性侵害教育，提高未成年人、家庭、学校、社区等识别防范性侵害和发现报告的意识和能力，落实强制报告制度。积极参与全省性侵害、虐待、拐卖、暴力伤害等违法犯罪人员信息查询系统建设，落实从业禁止制度。建立教职工准入查询性侵违法犯罪信息制度，严格落实外籍教师无犯罪证明备案制度。加强立案和立案监督，依法严惩对未成年人负有特殊职责人员实施的性侵害行为，依法严惩组织、强迫、引诱、容留、介绍未成年人卖淫犯罪。推进未成年被害人“一站式”办案区建设，对未成年被害人尽量一次性完成询问、人身检查、生物样本提取、辨认等侦查取证。对遭受性侵害或暴力伤害的未成年被害人及其家庭实施必要的心理干预、经济救助、法律援助、转学安置等保护措施。</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w:t>
      </w:r>
      <w:r>
        <w:rPr>
          <w:rFonts w:hint="eastAsia" w:ascii="Times New Roman" w:hAnsi="Times New Roman" w:eastAsia="仿宋_GB2312" w:cs="宋体"/>
          <w:sz w:val="32"/>
          <w:szCs w:val="32"/>
        </w:rPr>
        <w:t>2）有效预防未成年人违法犯罪。加强对未成年人的法治和预防犯罪教育。落实未成年人违法犯罪分级干预制度，及时发现、制止、管教未成年人不良行为，依法采取教育矫治措施。及时制止、处理未成年人严重不良行为和未达刑事责任年龄未成年人严重危害他人及社会的行为。完善专门学校入学程序、学生和学籍管理、转回普通学校等制度。对涉罪未成年人坚持依法惩戒与精准帮教相结合，增强教育矫治效果，预防重新犯罪。保障涉罪未成年人免受歧视，依法实现在复学、升学、就业等方面的同等权利。强化预防未成年人犯罪工作的基层基础。</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w:t>
      </w:r>
      <w:r>
        <w:rPr>
          <w:rFonts w:hint="eastAsia" w:ascii="Times New Roman" w:hAnsi="Times New Roman" w:eastAsia="仿宋_GB2312" w:cs="宋体"/>
          <w:sz w:val="32"/>
          <w:szCs w:val="32"/>
        </w:rPr>
        <w:t>3）严厉打击侵犯未成年人合法权益的网络违法犯罪行为。禁止制作、复制、发布、传播或持有有关未成年人的淫秽色情物品和网络信息。依法严惩利用网络性引诱、性侵害未成年人犯罪行为。禁止对未成年人实施侮辱、诽谤、威胁或者恶意损害形象等网络欺凌行为。严厉打击利用网络诱骗未成年人参与赌博以及敲诈勒索、实施金融诈骗等违法犯罪行为。以案释法，提高公众对未成年人网络保护的意识和能力。</w:t>
      </w:r>
    </w:p>
    <w:p>
      <w:pPr>
        <w:pStyle w:val="5"/>
        <w:spacing w:line="560" w:lineRule="exact"/>
        <w:ind w:firstLine="640"/>
        <w:rPr>
          <w:rFonts w:ascii="Times New Roman" w:hAnsi="Times New Roman"/>
          <w:b w:val="0"/>
          <w:bCs/>
          <w:lang w:eastAsia="zh-CN"/>
        </w:rPr>
      </w:pPr>
      <w:bookmarkStart w:id="369" w:name="_Toc19180"/>
      <w:r>
        <w:rPr>
          <w:rFonts w:hint="eastAsia" w:ascii="Times New Roman" w:hAnsi="Times New Roman"/>
          <w:b w:val="0"/>
          <w:bCs/>
          <w:lang w:eastAsia="zh-CN"/>
        </w:rPr>
        <w:t>（六）儿童与家庭</w:t>
      </w:r>
      <w:bookmarkEnd w:id="369"/>
    </w:p>
    <w:p>
      <w:pPr>
        <w:spacing w:line="560" w:lineRule="exact"/>
        <w:ind w:firstLine="632" w:firstLineChars="200"/>
        <w:rPr>
          <w:rFonts w:ascii="Times New Roman" w:hAnsi="Times New Roman" w:eastAsia="仿宋_GB2312" w:cs="宋体"/>
          <w:sz w:val="32"/>
          <w:szCs w:val="32"/>
        </w:rPr>
      </w:pPr>
      <w:r>
        <w:rPr>
          <w:rFonts w:ascii="Times New Roman" w:hAnsi="Times New Roman" w:eastAsia="仿宋_GB2312" w:cs="宋体"/>
          <w:sz w:val="32"/>
          <w:szCs w:val="32"/>
        </w:rPr>
        <w:t>1.</w:t>
      </w:r>
      <w:r>
        <w:rPr>
          <w:rFonts w:hint="eastAsia" w:ascii="Times New Roman" w:hAnsi="Times New Roman" w:eastAsia="仿宋_GB2312" w:cs="宋体"/>
          <w:sz w:val="32"/>
          <w:szCs w:val="32"/>
        </w:rPr>
        <w:t>主要目标</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w:t>
      </w:r>
      <w:r>
        <w:rPr>
          <w:rFonts w:hint="eastAsia" w:ascii="Times New Roman" w:hAnsi="Times New Roman" w:eastAsia="仿宋_GB2312" w:cs="宋体"/>
          <w:sz w:val="32"/>
          <w:szCs w:val="32"/>
        </w:rPr>
        <w:t>）发挥家庭立德树人第一所学校作用，培养儿童的好思想、好品行、好习惯。（牵头单位：区妇联。责任单位：区教体局、区委宣传部、区关工委、区融媒体中心）</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2</w:t>
      </w:r>
      <w:r>
        <w:rPr>
          <w:rFonts w:hint="eastAsia" w:ascii="Times New Roman" w:hAnsi="Times New Roman" w:eastAsia="仿宋_GB2312" w:cs="宋体"/>
          <w:sz w:val="32"/>
          <w:szCs w:val="32"/>
        </w:rPr>
        <w:t>）教育引导父母或其他监护人落实抚养、教育、保护责任，鼓励支持父母共担儿童照顾和教育责任，树立科学育儿理念，掌握科学育儿方法。（牵头单位：区妇联。责任单位：区教体局、区民政局、张店公安分局、区卫生健康局）</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3</w:t>
      </w:r>
      <w:r>
        <w:rPr>
          <w:rFonts w:hint="eastAsia" w:ascii="Times New Roman" w:hAnsi="Times New Roman" w:eastAsia="仿宋_GB2312" w:cs="宋体"/>
          <w:sz w:val="32"/>
          <w:szCs w:val="32"/>
        </w:rPr>
        <w:t>）培养儿童成为好家风的践行者和传承者。（牵头单位：区妇联。责任单位：区委宣传部、区教体局）</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4</w:t>
      </w:r>
      <w:r>
        <w:rPr>
          <w:rFonts w:hint="eastAsia" w:ascii="Times New Roman" w:hAnsi="Times New Roman" w:eastAsia="仿宋_GB2312" w:cs="宋体"/>
          <w:sz w:val="32"/>
          <w:szCs w:val="32"/>
        </w:rPr>
        <w:t>）尊重儿童主体地位，保障儿童平等参与自身和家庭事务的权利。（牵头单位：区妇联。责任单位：区教体局、区关工委）</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5</w:t>
      </w:r>
      <w:r>
        <w:rPr>
          <w:rFonts w:hint="eastAsia" w:ascii="Times New Roman" w:hAnsi="Times New Roman" w:eastAsia="仿宋_GB2312" w:cs="宋体"/>
          <w:sz w:val="32"/>
          <w:szCs w:val="32"/>
        </w:rPr>
        <w:t>）建立平等和谐的亲子关系。（牵头单位：区妇联。责任单位：区教体局、区文化和旅游局、区科协）</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6</w:t>
      </w:r>
      <w:r>
        <w:rPr>
          <w:rFonts w:hint="eastAsia" w:ascii="Times New Roman" w:hAnsi="Times New Roman" w:eastAsia="仿宋_GB2312" w:cs="宋体"/>
          <w:sz w:val="32"/>
          <w:szCs w:val="32"/>
        </w:rPr>
        <w:t>）覆盖城乡的家庭教育指导服务体系基本建成，指导服务能力进一步提升。</w:t>
      </w:r>
      <w:r>
        <w:rPr>
          <w:rFonts w:hint="eastAsia" w:ascii="Times New Roman" w:hAnsi="Times New Roman" w:eastAsia="仿宋_GB2312" w:cs="仿宋_GB2312"/>
          <w:sz w:val="32"/>
          <w:szCs w:val="32"/>
          <w:shd w:val="clear" w:color="auto" w:fill="FFFFFF"/>
        </w:rPr>
        <w:t>95%的城市社区和80%的村（社区）</w:t>
      </w:r>
      <w:r>
        <w:rPr>
          <w:rFonts w:hint="eastAsia" w:ascii="Times New Roman" w:hAnsi="Times New Roman" w:eastAsia="仿宋_GB2312" w:cs="宋体"/>
          <w:sz w:val="32"/>
          <w:szCs w:val="32"/>
        </w:rPr>
        <w:t>建立家长学校或家庭教育指导服务站点。（牵头单位：区教体局、区妇联。责任单位：区卫生健康局、区民政局、区关工委）</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7</w:t>
      </w:r>
      <w:r>
        <w:rPr>
          <w:rFonts w:hint="eastAsia" w:ascii="Times New Roman" w:hAnsi="Times New Roman" w:eastAsia="仿宋_GB2312" w:cs="宋体"/>
          <w:sz w:val="32"/>
          <w:szCs w:val="32"/>
        </w:rPr>
        <w:t>）支持家庭生育养育儿童的政策体系基本形成。（牵头单位：区司法局。责任单位：区卫生健康局、区发展改革局、区财政局、区市场监管局、区民政局、区人力资源社会保障局、区妇联、区总工会）</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8</w:t>
      </w:r>
      <w:r>
        <w:rPr>
          <w:rFonts w:hint="eastAsia" w:ascii="Times New Roman" w:hAnsi="Times New Roman" w:eastAsia="仿宋_GB2312" w:cs="宋体"/>
          <w:sz w:val="32"/>
          <w:szCs w:val="32"/>
        </w:rPr>
        <w:t>）提升家庭领域理论和实践研究水平，促进成果转化应用。（牵头单位：区妇联。责任单位：区教体局、区委宣传部）</w:t>
      </w:r>
    </w:p>
    <w:p>
      <w:pPr>
        <w:spacing w:line="560" w:lineRule="exact"/>
        <w:ind w:firstLine="632" w:firstLineChars="200"/>
        <w:rPr>
          <w:rFonts w:ascii="Times New Roman" w:hAnsi="Times New Roman" w:eastAsia="仿宋_GB2312" w:cs="宋体"/>
          <w:sz w:val="32"/>
          <w:szCs w:val="32"/>
        </w:rPr>
      </w:pPr>
      <w:r>
        <w:rPr>
          <w:rFonts w:ascii="Times New Roman" w:hAnsi="Times New Roman" w:eastAsia="仿宋_GB2312" w:cs="宋体"/>
          <w:sz w:val="32"/>
          <w:szCs w:val="32"/>
        </w:rPr>
        <w:t>2.</w:t>
      </w:r>
      <w:r>
        <w:rPr>
          <w:rFonts w:hint="eastAsia" w:ascii="Times New Roman" w:hAnsi="Times New Roman" w:eastAsia="仿宋_GB2312" w:cs="宋体"/>
          <w:sz w:val="32"/>
          <w:szCs w:val="32"/>
        </w:rPr>
        <w:t>策略措施</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w:t>
      </w:r>
      <w:r>
        <w:rPr>
          <w:rFonts w:hint="eastAsia" w:ascii="Times New Roman" w:hAnsi="Times New Roman" w:eastAsia="仿宋_GB2312" w:cs="宋体"/>
          <w:sz w:val="32"/>
          <w:szCs w:val="32"/>
        </w:rPr>
        <w:t>）将立德树人落实到家庭教育各方面。按照《家长家庭教育基本行为规范》要求，父母或其他监护人应重言传、重身教，教知识、育品德，引导自觉践行社会主义核心价值观，了解、传承中华优秀传统文化、革命传统，帮助孩子扣好人生的第一粒扣子。</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2</w:t>
      </w:r>
      <w:r>
        <w:rPr>
          <w:rFonts w:hint="eastAsia" w:ascii="Times New Roman" w:hAnsi="Times New Roman" w:eastAsia="仿宋_GB2312" w:cs="宋体"/>
          <w:sz w:val="32"/>
          <w:szCs w:val="32"/>
        </w:rPr>
        <w:t>）提高家庭教育水平。父母或其他监护人关注儿童生理、心理、智力发展状况，创造有利于儿童发展的家庭环境，满足儿童身心发展需要。加强宣传教育培训，引导父母或者其他监护人树立正确的家庭教育理念，自觉学习家庭教育知识，树立科学的育儿理念和成才观，尊重个体差异，因材施教。特别是在孕期和儿童进入婴幼儿照护服务机构、幼儿园、中小学校等重要节点进行有针对性的学习，掌握科学的家庭教育方法，提高家庭教育能力。</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3</w:t>
      </w:r>
      <w:r>
        <w:rPr>
          <w:rFonts w:hint="eastAsia" w:ascii="Times New Roman" w:hAnsi="Times New Roman" w:eastAsia="仿宋_GB2312" w:cs="宋体"/>
          <w:sz w:val="32"/>
          <w:szCs w:val="32"/>
        </w:rPr>
        <w:t>）用好家风涵养熏陶儿童。家长发挥榜样和示范作用，教育引导儿童传承尊老爱幼、男女平等、夫妻和睦、勤俭持家、亲子平等、邻里互助的家庭美德，践行爱国爱家、相亲相爱、向上向善、共建共享的社会主义家庭文明新风尚。广泛开展好家风宣传弘扬活动，引领儿童养成文明健康的生活方式和消费模式，杜绝餐饮浪费。</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4</w:t>
      </w:r>
      <w:r>
        <w:rPr>
          <w:rFonts w:hint="eastAsia" w:ascii="Times New Roman" w:hAnsi="Times New Roman" w:eastAsia="仿宋_GB2312" w:cs="宋体"/>
          <w:sz w:val="32"/>
          <w:szCs w:val="32"/>
        </w:rPr>
        <w:t>）尊重儿童主体地位和权利。引导父母或其他监护人以儿童为本，尊重儿童的身心发展规律和特点，保障儿童休息、锻炼、闲暇和娱乐的权利，合理安排儿童的学习和生活，增加体育锻炼、劳动实践、休息娱乐、社会实践、同伴交往、亲子活动等时间。尊重儿童的知情权、参与权、处分权，重视听取并采纳儿童的合理意见。教育引导儿童增强家庭和社会责任意识，鼓励儿童自主选择、自我管理、自我服务，参与力所能及的家务劳动，培养劳动习惯，提高劳动技能。</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5</w:t>
      </w:r>
      <w:r>
        <w:rPr>
          <w:rFonts w:hint="eastAsia" w:ascii="Times New Roman" w:hAnsi="Times New Roman" w:eastAsia="仿宋_GB2312" w:cs="宋体"/>
          <w:sz w:val="32"/>
          <w:szCs w:val="32"/>
        </w:rPr>
        <w:t>）培育良好亲子关系。引导家庭建立有效的亲子沟通方式，加强亲子交流，增加陪伴时间，提高陪伴质量。鼓励支持家庭开展亲子游戏、亲子阅读、亲子运动、亲子出游等活动。指导帮助家庭调适亲子关系，缓解育儿焦虑，化解亲子矛盾。依托各类教育、科技、文化、体育、娱乐等公益性设施和场所、城乡社区儿童之家等开展亲子活动。加强亲子阅读指导，推荐优秀儿童书目，培养儿童良好阅读习惯。完善儿童社区阅读场所和功能，鼓励社区图书馆设立亲子阅读区。</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6</w:t>
      </w:r>
      <w:r>
        <w:rPr>
          <w:rFonts w:hint="eastAsia" w:ascii="Times New Roman" w:hAnsi="Times New Roman" w:eastAsia="仿宋_GB2312" w:cs="宋体"/>
          <w:sz w:val="32"/>
          <w:szCs w:val="32"/>
        </w:rPr>
        <w:t>）构建覆盖城乡的家庭教育指导服务体系。区政府结合实际，通过多种途径和方式设立或者推动设立家庭教育指导服务中心，统筹家庭教育指导服务工作，依托家长学校、城乡社区公共服务设施、妇女之家、儿童之家等设立家庭教育服务站点。培育家庭教育服务机构，加强对家庭教育服务机构和从业人员的管理，加强行业自律，规范家庭教育服务市场。建设家庭教育信息化共享平台，开设网上家长学校和家庭教育指导课程。中小学、幼儿园健全家庭教育指导服务工作制度，将家庭教育指导服务纳入学校工作计划和教师业务培训。村（社区）支持协助家庭教育指导服务站点开展家庭教育指导服务。鼓励机关、企事业单位和社会组织面向本单位职工开展家庭教育指导服务。支持社工机构、志愿者组织和专业工作者依法依规开展家庭教育指导服务活动，推动将家庭教育指导服务纳入基本公共服务体系，纳入政府购买服务指导性目录。鼓励支持公共文化服务场所开展家庭教育指导活动，多形式多手段开展家庭教育知识宣传。</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7</w:t>
      </w:r>
      <w:r>
        <w:rPr>
          <w:rFonts w:hint="eastAsia" w:ascii="Times New Roman" w:hAnsi="Times New Roman" w:eastAsia="仿宋_GB2312" w:cs="宋体"/>
          <w:sz w:val="32"/>
          <w:szCs w:val="32"/>
        </w:rPr>
        <w:t>）完善支持家庭生育养育教育的政策体系。宣传贯彻《中华人民共和国家庭教育促进法》，推进实施家庭教育工作规划。完善三孩生育政策配套措施，建立健全生育支持、儿童养育教育、促进工作家庭平衡等税收和福利政策，降低家庭生育养育</w:t>
      </w:r>
      <w:r>
        <w:rPr>
          <w:rFonts w:hint="eastAsia" w:ascii="Times New Roman" w:hAnsi="Times New Roman" w:eastAsia="仿宋_GB2312" w:cs="仿宋_GB2312"/>
          <w:sz w:val="32"/>
          <w:szCs w:val="32"/>
          <w:shd w:val="clear" w:color="auto" w:fill="FFFFFF"/>
        </w:rPr>
        <w:t>教育</w:t>
      </w:r>
      <w:r>
        <w:rPr>
          <w:rFonts w:hint="eastAsia" w:ascii="Times New Roman" w:hAnsi="Times New Roman" w:eastAsia="仿宋_GB2312" w:cs="宋体"/>
          <w:sz w:val="32"/>
          <w:szCs w:val="32"/>
        </w:rPr>
        <w:t>负担，提高优生优育服务水平。通过税收减免、从业人员意外伤害保险补贴等方式减轻家庭服务企业成本，加快发展家政服务业。加强对困难家庭、单亲特困等特殊家庭的政策支持、救助和服务。探索建立父母育儿假和家庭育儿津贴制度。</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8</w:t>
      </w:r>
      <w:r>
        <w:rPr>
          <w:rFonts w:hint="eastAsia" w:ascii="Times New Roman" w:hAnsi="Times New Roman" w:eastAsia="仿宋_GB2312" w:cs="宋体"/>
          <w:sz w:val="32"/>
          <w:szCs w:val="32"/>
        </w:rPr>
        <w:t>）加强家庭领域理论和实践研究。充分发挥家庭教育研究会等学术型社会组织作用，鼓励有条件的高等院校和科研机构开设家庭教育专业和课程，探索建立家庭领域研究基地，培养壮大家庭领域研究队伍，提升研究水平。坚持问题导向，开展家庭建设、家庭教育、家风培树等研究，及时推进研究成果转化，为家庭领域工作提供理论支撑。</w:t>
      </w:r>
    </w:p>
    <w:p>
      <w:pPr>
        <w:pStyle w:val="5"/>
        <w:spacing w:line="560" w:lineRule="exact"/>
        <w:ind w:firstLine="640"/>
        <w:rPr>
          <w:rFonts w:ascii="Times New Roman" w:hAnsi="Times New Roman"/>
          <w:b w:val="0"/>
          <w:bCs/>
          <w:lang w:eastAsia="zh-CN"/>
        </w:rPr>
      </w:pPr>
      <w:bookmarkStart w:id="370" w:name="_Toc13390"/>
      <w:r>
        <w:rPr>
          <w:rFonts w:hint="eastAsia" w:ascii="Times New Roman" w:hAnsi="Times New Roman"/>
          <w:b w:val="0"/>
          <w:bCs/>
          <w:lang w:eastAsia="zh-CN"/>
        </w:rPr>
        <w:t>（七）儿童与环境</w:t>
      </w:r>
      <w:bookmarkEnd w:id="370"/>
    </w:p>
    <w:p>
      <w:pPr>
        <w:spacing w:line="560" w:lineRule="exact"/>
        <w:ind w:firstLine="632" w:firstLineChars="200"/>
        <w:rPr>
          <w:rFonts w:ascii="Times New Roman" w:hAnsi="Times New Roman" w:eastAsia="仿宋_GB2312" w:cs="宋体"/>
          <w:sz w:val="32"/>
          <w:szCs w:val="32"/>
        </w:rPr>
      </w:pPr>
      <w:r>
        <w:rPr>
          <w:rFonts w:ascii="Times New Roman" w:hAnsi="Times New Roman" w:eastAsia="仿宋_GB2312" w:cs="宋体"/>
          <w:sz w:val="32"/>
          <w:szCs w:val="32"/>
        </w:rPr>
        <w:t>1.</w:t>
      </w:r>
      <w:r>
        <w:rPr>
          <w:rFonts w:hint="eastAsia" w:ascii="Times New Roman" w:hAnsi="Times New Roman" w:eastAsia="仿宋_GB2312" w:cs="宋体"/>
          <w:sz w:val="32"/>
          <w:szCs w:val="32"/>
        </w:rPr>
        <w:t>主要目标</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w:t>
      </w:r>
      <w:r>
        <w:rPr>
          <w:rFonts w:hint="eastAsia" w:ascii="Times New Roman" w:hAnsi="Times New Roman" w:eastAsia="仿宋_GB2312" w:cs="宋体"/>
          <w:sz w:val="32"/>
          <w:szCs w:val="32"/>
        </w:rPr>
        <w:t>）儿童优先原则在公共政策制定、公共设施建设、公共服务供给各方面得到落实，尊重、爱护儿童的社会环境进一步形成。（牵头单位：区妇儿工委办公室、区财政局。责任单位：区发展改革局、区司法局、区教体局、区文化和旅游局、区住房城乡建设局、市自然资源和规划局张店分局、团区委、区妇联）</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2</w:t>
      </w:r>
      <w:r>
        <w:rPr>
          <w:rFonts w:hint="eastAsia" w:ascii="Times New Roman" w:hAnsi="Times New Roman" w:eastAsia="仿宋_GB2312" w:cs="宋体"/>
          <w:sz w:val="32"/>
          <w:szCs w:val="32"/>
        </w:rPr>
        <w:t>）提供更多有益于儿童全面发展的高质量精神文化产品。（牵头单位：区委宣传部。责任单位：区文化和旅游局、区科技局、区科协、区教体局、团区委、区妇联、区关工委、区融媒体中心）</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3</w:t>
      </w:r>
      <w:r>
        <w:rPr>
          <w:rFonts w:hint="eastAsia" w:ascii="Times New Roman" w:hAnsi="Times New Roman" w:eastAsia="仿宋_GB2312" w:cs="宋体"/>
          <w:sz w:val="32"/>
          <w:szCs w:val="32"/>
        </w:rPr>
        <w:t>）保护儿童免受各类传媒不良信息影响。提升儿童媒介素养。（牵头单位：区委宣传部。责任单位：张店公安分局、区委网信办、区教体局、区市场监管局、区文化和旅游局、团区委、区妇联、区关工委、区融媒体中心）</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4</w:t>
      </w:r>
      <w:r>
        <w:rPr>
          <w:rFonts w:hint="eastAsia" w:ascii="Times New Roman" w:hAnsi="Times New Roman" w:eastAsia="仿宋_GB2312" w:cs="宋体"/>
          <w:sz w:val="32"/>
          <w:szCs w:val="32"/>
        </w:rPr>
        <w:t>）儿童参与和表达的权利得到保障。（牵头单位：区妇儿工委办公室。责任单位：区民政局、区教体局、区妇联、团区委）</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5</w:t>
      </w:r>
      <w:r>
        <w:rPr>
          <w:rFonts w:hint="eastAsia" w:ascii="Times New Roman" w:hAnsi="Times New Roman" w:eastAsia="仿宋_GB2312" w:cs="宋体"/>
          <w:sz w:val="32"/>
          <w:szCs w:val="32"/>
        </w:rPr>
        <w:t>）建设儿童友好城市、儿童友好社区。（牵头单位：区发展改革局、区妇儿工委办公室。责任单位：区住房城乡建设局、区财政局、市自然资源和规划局张店分局、区农业农村局、市生态环境局张店分局、区教体局、区卫生健康局、区交通运输局、区市场监管局、区综合行政执法局、区残联、区总工会、区妇联、团区委、区关工委）</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6</w:t>
      </w:r>
      <w:r>
        <w:rPr>
          <w:rFonts w:hint="eastAsia" w:ascii="Times New Roman" w:hAnsi="Times New Roman" w:eastAsia="仿宋_GB2312" w:cs="宋体"/>
          <w:sz w:val="32"/>
          <w:szCs w:val="32"/>
        </w:rPr>
        <w:t>）公益性儿童教育、科技、文化、体育、娱乐等校外活动场所增加，利用率和服务质量提高。（牵头单位：区教体局、区财政局。责任单位：区发展改革局、市自然资源和规划局张店分局、区住房城乡建设局、区民政局、区科技局、区科协、区文化和旅游局、团区委、区妇联、区残联、区关工委）</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（7）儿童生态环境保护意识进一步提高，养成绿色低碳生活习惯。（牵头单位：市生态环境局张店分局。责任单位：区委宣传部、区教体局、区农业农村局、团区委、区妇联、区关工委、区融媒体中心）</w:t>
      </w:r>
    </w:p>
    <w:p>
      <w:pPr>
        <w:spacing w:line="560" w:lineRule="exact"/>
        <w:ind w:firstLine="632" w:firstLineChars="200"/>
        <w:rPr>
          <w:rFonts w:ascii="Times New Roman" w:hAnsi="Times New Roman" w:eastAsia="仿宋_GB2312" w:cs="宋体"/>
          <w:sz w:val="32"/>
          <w:szCs w:val="32"/>
        </w:rPr>
      </w:pPr>
      <w:r>
        <w:rPr>
          <w:rFonts w:ascii="Times New Roman" w:hAnsi="Times New Roman" w:eastAsia="仿宋_GB2312" w:cs="宋体"/>
          <w:sz w:val="32"/>
          <w:szCs w:val="32"/>
        </w:rPr>
        <w:t>2.</w:t>
      </w:r>
      <w:r>
        <w:rPr>
          <w:rFonts w:hint="eastAsia" w:ascii="Times New Roman" w:hAnsi="Times New Roman" w:eastAsia="仿宋_GB2312" w:cs="宋体"/>
          <w:sz w:val="32"/>
          <w:szCs w:val="32"/>
        </w:rPr>
        <w:t>策略措施</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1</w:t>
      </w:r>
      <w:r>
        <w:rPr>
          <w:rFonts w:hint="eastAsia" w:ascii="Times New Roman" w:hAnsi="Times New Roman" w:eastAsia="仿宋_GB2312" w:cs="宋体"/>
          <w:sz w:val="32"/>
          <w:szCs w:val="32"/>
        </w:rPr>
        <w:t>）全面贯彻儿童优先原则。建立和完善促进儿童优先发展的制度体系，优先考虑儿童利益和需求，加大儿童优先原则的宣传力度，提高政府部门和社会公众对儿童权利的认识，增强保障儿童权利的自觉性。在城乡建设规划和城市改造中提供更多适合儿童的公共设施和活动场所。鼓励企事业单位、各类公共服务机构和社会组织参与儿童发展和权利保护服务。</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2</w:t>
      </w:r>
      <w:r>
        <w:rPr>
          <w:rFonts w:hint="eastAsia" w:ascii="Times New Roman" w:hAnsi="Times New Roman" w:eastAsia="仿宋_GB2312" w:cs="宋体"/>
          <w:sz w:val="32"/>
          <w:szCs w:val="32"/>
        </w:rPr>
        <w:t>）提升面向儿童的公共文化服务水平。制作和传播体现社会主义核心价值观、适合儿童的图书、影视、歌曲、游戏、广播电视节目等精神文化产品，培育儿童文化品牌。支持儿童参与优秀民族传统文化的保护、传承和创新。依托传统文化优势资源，挖掘传统文化精髓，</w:t>
      </w:r>
      <w:r>
        <w:rPr>
          <w:rFonts w:hint="eastAsia" w:ascii="Times New Roman" w:hAnsi="Times New Roman" w:eastAsia="仿宋_GB2312"/>
          <w:sz w:val="32"/>
          <w:szCs w:val="32"/>
          <w:shd w:val="clear" w:color="auto" w:fill="FFFFFF"/>
        </w:rPr>
        <w:t>开展齐文化进课堂、中华经典诵读、非遗进校园、普通话推广等系列文化教育活动，</w:t>
      </w:r>
      <w:r>
        <w:rPr>
          <w:rFonts w:hint="eastAsia" w:ascii="Times New Roman" w:hAnsi="Times New Roman" w:eastAsia="仿宋_GB2312" w:cs="宋体"/>
          <w:sz w:val="32"/>
          <w:szCs w:val="32"/>
        </w:rPr>
        <w:t>为广大儿童讲好张店故事。提高公共图书馆、博物馆、文化馆等覆盖率、利用率，提供更多优秀公共文化产品。探索在网络空间开展儿童思想道德教育的新途径、新方法，增强知识性、趣味性和时代性。支持儿童题材作品创作。鼓励社会组织、文化艺术机构为儿童文化艺术活动提供专业指导和场地支持。大力倡导全民阅读，扶持建成一批开放共享、布局合理、规范运营的城市书房、主题网红书吧，打造“15分钟阅读文化圈”，在“书香张店”建设中，培养儿童的阅读习惯，增加儿童图书阅读时间和阅读量。公共图书馆单设儿童阅览区，盲人阅览区为盲童阅读提供便利。</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3</w:t>
      </w:r>
      <w:r>
        <w:rPr>
          <w:rFonts w:hint="eastAsia" w:ascii="Times New Roman" w:hAnsi="Times New Roman" w:eastAsia="仿宋_GB2312" w:cs="宋体"/>
          <w:sz w:val="32"/>
          <w:szCs w:val="32"/>
        </w:rPr>
        <w:t>）加强新闻出版文化、市场监管和执法。加强对儿童出版物的审读、鉴定和处置，深化“扫黄打非”工作，清除淫秽色情低俗、暴力恐怖迷信等有害出版物及信息。清理校园周边非法销售出版物和涉及低俗内容的儿童文化用品、玩具。严格网络出版、文化市场管理与执法，及时整治网络游戏、视频、直播、社交、学习类移动应用软件传播危害未成年人身心健康的有害信息。严格管控诱导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4</w:t>
      </w:r>
      <w:r>
        <w:rPr>
          <w:rFonts w:hint="eastAsia" w:ascii="Times New Roman" w:hAnsi="Times New Roman" w:eastAsia="仿宋_GB2312" w:cs="宋体"/>
          <w:sz w:val="32"/>
          <w:szCs w:val="32"/>
        </w:rPr>
        <w:t>）规范与儿童相关的广告宣传。加强与儿童有关的产品（服务）广告的监管。禁止在针对儿童的大众传播媒介上发布医疗、药品、保健食品、医疗器械、化妆品、酒类、美容广告，以及不利于儿童身心健康的网络游戏等广告。规范母乳代用品广告宣传。加大相关虚假违法广告案件的查处力度。</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5</w:t>
      </w:r>
      <w:r>
        <w:rPr>
          <w:rFonts w:hint="eastAsia" w:ascii="Times New Roman" w:hAnsi="Times New Roman" w:eastAsia="仿宋_GB2312" w:cs="宋体"/>
          <w:sz w:val="32"/>
          <w:szCs w:val="32"/>
        </w:rPr>
        <w:t>）加强儿童媒介素养教育。保障儿童利用和参与媒介的权利。将媒介素养教育纳入中小学、幼儿园教育和家庭教育指导服务内容。提升儿童及其监护人媒介素养，加强对不同年龄段儿童使用网络的分类教育指导，养成良好用网习惯。引导儿童抵制网络不文明行为，增强信息识别和网上自我保护能力，防止沉迷网络。为残疾儿童、困境儿童安全合理参与网络提供条件。</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6</w:t>
      </w:r>
      <w:r>
        <w:rPr>
          <w:rFonts w:hint="eastAsia" w:ascii="Times New Roman" w:hAnsi="Times New Roman" w:eastAsia="仿宋_GB2312" w:cs="宋体"/>
          <w:sz w:val="32"/>
          <w:szCs w:val="32"/>
        </w:rPr>
        <w:t>）保障儿童的参与和表达的权利。儿童有权对涉及本人权益的事项发表意见，涉及儿童的规范性文件制定、实施和评估以及处理儿童事务，应当根据儿童的年龄和智力发展状况，听取他们的意见，充分实现其权利和利益。将儿童参与纳入学校、校外教育机构、社区工作计划。支持少先队、共青团、妇联等组织开展社会实践及体验活动。加强学校班委会和学生会建设，畅通学生参与学校事务的渠道。广泛开展儿童参与的宣传、教育和培训活动，培养儿童参与意识和能力。</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7</w:t>
      </w:r>
      <w:r>
        <w:rPr>
          <w:rFonts w:hint="eastAsia" w:ascii="Times New Roman" w:hAnsi="Times New Roman" w:eastAsia="仿宋_GB2312" w:cs="宋体"/>
          <w:sz w:val="32"/>
          <w:szCs w:val="32"/>
        </w:rPr>
        <w:t>）开展儿童友好城市、儿童友好社区建设工作。</w:t>
      </w:r>
      <w:r>
        <w:rPr>
          <w:rFonts w:hint="eastAsia" w:ascii="Times New Roman" w:hAnsi="Times New Roman" w:eastAsia="仿宋_GB2312" w:cs="仿宋_GB2312"/>
          <w:sz w:val="32"/>
          <w:szCs w:val="32"/>
        </w:rPr>
        <w:t>在城市规划、社区建设过程中体现性别平等意识和儿童利益最大化原则，将对儿童和家庭特殊需求的考量融入城市规划的整体设计中，推动</w:t>
      </w:r>
      <w:r>
        <w:rPr>
          <w:rFonts w:hint="eastAsia" w:ascii="Times New Roman" w:hAnsi="Times New Roman" w:eastAsia="仿宋_GB2312" w:cs="宋体"/>
          <w:sz w:val="32"/>
          <w:szCs w:val="32"/>
        </w:rPr>
        <w:t>建设社会政策友好、公共服务友好、权利保障友好、成长空间友好、发展环境友好的儿童友好城市、儿童友好社区。建立多部门合作的工作机制，探索制定适合本地实际的儿童友好城市、儿童友好社区标准体系和建设指南，适时选树表扬一批儿童友好社区、儿童友好项目。整合社区资源，建立以娱乐、教育、卫生保健、心理咨询、法律服务为主要内容的妇女儿童家园或儿童之家，坚持公益性，提高利用率和服务质量。</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w:t>
      </w:r>
      <w:r>
        <w:rPr>
          <w:rFonts w:ascii="Times New Roman" w:hAnsi="Times New Roman" w:eastAsia="仿宋_GB2312" w:cs="宋体"/>
          <w:sz w:val="32"/>
          <w:szCs w:val="32"/>
        </w:rPr>
        <w:t>8</w:t>
      </w:r>
      <w:r>
        <w:rPr>
          <w:rFonts w:hint="eastAsia" w:ascii="Times New Roman" w:hAnsi="Times New Roman" w:eastAsia="仿宋_GB2312" w:cs="宋体"/>
          <w:sz w:val="32"/>
          <w:szCs w:val="32"/>
        </w:rPr>
        <w:t>）加大儿童校外活动场所建设和管理力度。将妇女儿童事业发展中心等儿童校外活动场所建设纳入地方经济社会发展规划，加大投入力度，规范设施场所管理。加强校外活动场所、社区儿童之家建设和公共空间适儿化改造，完善儿童公共服务设施。加强爱国主义、党史国史、科普、法治、中小学生研学实践等教育基地建设，加大对农村地区儿童活动场所建设和运行的扶持力度，推进儿童活动场所无障碍建设和改造。各类公益性教育、科技、文化、体育、娱乐场所对儿童免费或优惠开放，根据条件开辟儿童活动专区。城市综合性公园能够提供儿童游戏、教育等多元化服务。新建、改扩建一批体育公园。发挥校外活动场所的育人优势，打造儿童主题活动品牌，提升育人成效。</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9）创新开展面向儿童的生态文明宣传教育活动。把生态文明教育纳入国民教育体系，融入课堂教学、校园活动、社会实践等环节。推进生态环境科普基地和中小学环境教育社会实践基地建设，在“六五环境日”“全国低碳日”“全国科技周”等节点，开展儿童环保主题活动，培养儿童生态文明意识，树立珍惜资源、保护自然、珍爱生命、与自然和谐相处的观念，自觉养成健康文明、绿色低碳、垃圾分类的良好生活习惯。</w:t>
      </w:r>
    </w:p>
    <w:p>
      <w:pPr>
        <w:pStyle w:val="3"/>
        <w:spacing w:before="0" w:beforeLines="0" w:line="560" w:lineRule="exact"/>
        <w:ind w:firstLine="640"/>
        <w:jc w:val="left"/>
        <w:rPr>
          <w:rFonts w:ascii="Times New Roman" w:hAnsi="Times New Roman"/>
          <w:bCs/>
          <w:lang w:eastAsia="zh-CN"/>
        </w:rPr>
      </w:pPr>
      <w:bookmarkStart w:id="371" w:name="_Toc26760"/>
      <w:r>
        <w:rPr>
          <w:rFonts w:hint="eastAsia" w:ascii="Times New Roman" w:hAnsi="Times New Roman"/>
          <w:bCs/>
          <w:lang w:eastAsia="zh-CN"/>
        </w:rPr>
        <w:t>四、组织实施</w:t>
      </w:r>
      <w:bookmarkEnd w:id="371"/>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楷体_GB2312" w:cs="宋体"/>
          <w:sz w:val="32"/>
          <w:szCs w:val="32"/>
        </w:rPr>
        <w:t>（一）坚持党的全面领导。</w:t>
      </w:r>
      <w:r>
        <w:rPr>
          <w:rFonts w:hint="eastAsia" w:ascii="Times New Roman" w:hAnsi="Times New Roman" w:eastAsia="仿宋_GB2312" w:cs="宋体"/>
          <w:sz w:val="32"/>
          <w:szCs w:val="32"/>
        </w:rPr>
        <w:t>坚持以习近平新时代中国特色社会主义思想为指导，坚持以人民为中心的发展思想，坚持走中国特色社会主义儿童发展道路，把党的领导贯穿于规划组织实施的全过程。贯彻党中央、国务院关于儿童事业发展的决策部署，在统筹推进“五位一体”总体布局、协调推进“四个全面”战略布局中推进规划实施。</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楷体_GB2312" w:cs="宋体"/>
          <w:sz w:val="32"/>
          <w:szCs w:val="32"/>
        </w:rPr>
        <w:t>（二）落实规划实施责任。</w:t>
      </w:r>
      <w:r>
        <w:rPr>
          <w:rFonts w:hint="eastAsia" w:ascii="Times New Roman" w:hAnsi="Times New Roman" w:eastAsia="仿宋_GB2312" w:cs="仿宋"/>
          <w:sz w:val="32"/>
          <w:szCs w:val="32"/>
        </w:rPr>
        <w:t>完善落实党委领导、政府主责、妇儿工委协调、多部门合作、全社会参与的规划实施工作机制。各级政府负责规划实施工作，纳入议事日程。区妇儿工委负责组织、协调、指导、督促工作，区妇儿工委办公室负责具体工作。有关部门、相关机构和人民团体结合职责，承担规划相关目标任务落实工作。在出台规范性文件、</w:t>
      </w:r>
      <w:r>
        <w:rPr>
          <w:rFonts w:hint="eastAsia" w:ascii="Times New Roman" w:hAnsi="Times New Roman" w:eastAsia="仿宋_GB2312" w:cs="宋体"/>
          <w:sz w:val="32"/>
          <w:szCs w:val="32"/>
        </w:rPr>
        <w:t>编制规划、配置资源、部署工作中贯彻落实儿童优先原则，切实保障儿童权益、促进儿童优先发展。</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楷体_GB2312" w:cs="宋体"/>
          <w:sz w:val="32"/>
          <w:szCs w:val="32"/>
        </w:rPr>
        <w:t>（三）加强规划与国民经济和社会发展规划的衔接。</w:t>
      </w:r>
      <w:r>
        <w:rPr>
          <w:rFonts w:hint="eastAsia" w:ascii="Times New Roman" w:hAnsi="Times New Roman" w:eastAsia="仿宋_GB2312" w:cs="宋体"/>
          <w:sz w:val="32"/>
          <w:szCs w:val="32"/>
        </w:rPr>
        <w:t>在经济社会发展总体规划及相关专项规划中贯彻落实儿童优先原则，将规划实施以及儿童发展主要目标任务纳入经济社会发展总体规划及相关专项规划，结合经济社会发展总规划部署要求推进规划实施，实现儿童发展与经济社会发展同步规划、同步部署、同步实施、同步落实。</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楷体_GB2312" w:cs="宋体"/>
          <w:sz w:val="32"/>
          <w:szCs w:val="32"/>
        </w:rPr>
        <w:t>（四）制定儿童发展规划和部门实施方案。</w:t>
      </w:r>
      <w:r>
        <w:rPr>
          <w:rFonts w:hint="eastAsia" w:ascii="Times New Roman" w:hAnsi="Times New Roman" w:eastAsia="仿宋_GB2312" w:cs="宋体"/>
          <w:sz w:val="32"/>
          <w:szCs w:val="32"/>
        </w:rPr>
        <w:t>承担规划目标任务的有关部门、相关机构、人民团体和</w:t>
      </w:r>
      <w:r>
        <w:rPr>
          <w:rFonts w:hint="eastAsia" w:ascii="Times New Roman" w:hAnsi="Times New Roman" w:eastAsia="仿宋_GB2312" w:cs="仿宋"/>
          <w:sz w:val="32"/>
          <w:szCs w:val="32"/>
        </w:rPr>
        <w:t>镇（街道）妇儿工委</w:t>
      </w:r>
      <w:r>
        <w:rPr>
          <w:rFonts w:hint="eastAsia" w:ascii="Times New Roman" w:hAnsi="Times New Roman" w:eastAsia="仿宋_GB2312" w:cs="宋体"/>
          <w:sz w:val="32"/>
          <w:szCs w:val="32"/>
        </w:rPr>
        <w:t>结合职责，</w:t>
      </w:r>
      <w:r>
        <w:rPr>
          <w:rFonts w:hint="eastAsia" w:ascii="Times New Roman" w:hAnsi="Times New Roman" w:eastAsia="仿宋_GB2312" w:cs="仿宋"/>
          <w:sz w:val="32"/>
          <w:szCs w:val="32"/>
        </w:rPr>
        <w:t>制定实施方案并报送区妇儿工委办公室。</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楷体_GB2312" w:cs="宋体"/>
          <w:sz w:val="32"/>
          <w:szCs w:val="32"/>
        </w:rPr>
        <w:t>（五）完善实施规划的工作制度机制。</w:t>
      </w:r>
      <w:r>
        <w:rPr>
          <w:rFonts w:hint="eastAsia" w:ascii="Times New Roman" w:hAnsi="Times New Roman" w:eastAsia="仿宋_GB2312" w:cs="宋体"/>
          <w:sz w:val="32"/>
          <w:szCs w:val="32"/>
        </w:rPr>
        <w:t>健全目标管理责任制，将规划目标分解到责任单位并纳入目标管理。健全督导检查制度，定期对规划落实情况开展督查。健全报告制度，责任单位每年向区妇儿工委报告规划落实情况和下一年工作安排，镇（街道）妇儿工委每年向区妇儿工委报告本地区规划实施情况和下一年工作安排，</w:t>
      </w:r>
      <w:r>
        <w:rPr>
          <w:rFonts w:hint="eastAsia" w:ascii="Times New Roman" w:hAnsi="Times New Roman" w:eastAsia="仿宋_GB2312" w:cs="仿宋"/>
          <w:sz w:val="32"/>
          <w:szCs w:val="32"/>
        </w:rPr>
        <w:t>区妇儿工委每年向上级妇儿工委报告本地区规划实施情况和下一年工作安排。</w:t>
      </w:r>
      <w:r>
        <w:rPr>
          <w:rFonts w:hint="eastAsia" w:ascii="Times New Roman" w:hAnsi="Times New Roman" w:eastAsia="仿宋_GB2312" w:cs="宋体"/>
          <w:sz w:val="32"/>
          <w:szCs w:val="32"/>
        </w:rPr>
        <w:t>健全议事协调制度，定期召开妇女儿童工作会议、妇儿工委全体会议、联络员会议等，总结交流情况，研究解决问题，部署工作任务。健全规划实施试点制度，确定试点单位，围绕儿童发展重点难点目标实施试点项目，充分发挥以点带面、试点带动作用。</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楷体_GB2312" w:cs="宋体"/>
          <w:sz w:val="32"/>
          <w:szCs w:val="32"/>
        </w:rPr>
        <w:t>（六）保障儿童发展经费投入。</w:t>
      </w:r>
      <w:r>
        <w:rPr>
          <w:rFonts w:hint="eastAsia" w:ascii="Times New Roman" w:hAnsi="Times New Roman" w:eastAsia="仿宋_GB2312" w:cs="宋体"/>
          <w:sz w:val="32"/>
          <w:szCs w:val="32"/>
        </w:rPr>
        <w:t>要将实施规划所需经费纳入财政预算，实现儿童事业和经济社会同步发展。各级财政应加大对儿童发展重点领域投入力度，为儿童办实事。重点支持特殊困难儿童群体发展。动员社会力量，多渠道筹集资源，发展儿童事业。</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楷体_GB2312" w:cs="宋体"/>
          <w:sz w:val="32"/>
          <w:szCs w:val="32"/>
        </w:rPr>
        <w:t>（七）坚持和创新实施规划的有效做法。</w:t>
      </w:r>
      <w:r>
        <w:rPr>
          <w:rFonts w:hint="eastAsia" w:ascii="Times New Roman" w:hAnsi="Times New Roman" w:eastAsia="仿宋_GB2312" w:cs="宋体"/>
          <w:sz w:val="32"/>
          <w:szCs w:val="32"/>
        </w:rPr>
        <w:t>贯彻新发展理念，坚持问题导向、目标导向、结果导向相统一，构建促进儿童发展的体系，完善儿童权利保障机制，实施促进儿童发展的民生实事项目。通过分类指导、示范先行，总结推广好做法好经验。通过政府购买服务等方式，发挥社会力量推进规划实施的作用。</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楷体_GB2312" w:cs="宋体"/>
          <w:sz w:val="32"/>
          <w:szCs w:val="32"/>
        </w:rPr>
        <w:t>（八）加强实施规划能力建设。</w:t>
      </w:r>
      <w:r>
        <w:rPr>
          <w:rFonts w:hint="eastAsia" w:ascii="Times New Roman" w:hAnsi="Times New Roman" w:eastAsia="仿宋_GB2312" w:cs="宋体"/>
          <w:sz w:val="32"/>
          <w:szCs w:val="32"/>
        </w:rPr>
        <w:t>将实施规划所需知识纳入各级妇儿工委及其办公室、各级妇儿工委成员单位培训计划，举办多层次、多形式培训，增强政府有关部门、相关机构和人员实施规划的责任意识和能力。以政治建设为统领，加强各级妇儿工委及其办公室建设，强化行政职能，为履职尽责提供必要的人力物力财力支持，为规划实施提供组织保障。</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楷体_GB2312" w:cs="宋体"/>
          <w:sz w:val="32"/>
          <w:szCs w:val="32"/>
        </w:rPr>
        <w:t>（九）加大实施规划宣传力度。</w:t>
      </w:r>
      <w:r>
        <w:rPr>
          <w:rFonts w:hint="eastAsia" w:ascii="Times New Roman" w:hAnsi="Times New Roman" w:eastAsia="仿宋_GB2312" w:cs="宋体"/>
          <w:sz w:val="32"/>
          <w:szCs w:val="32"/>
        </w:rPr>
        <w:t>宣传党中央对儿童事业发展的重要决策部署和省委、市委、区委工作要求，宣传在党的坚强领导下儿童事业发展的成就，宣传儿童优先原则和保障儿童权益、促进儿童发展的法规政策，宣传规划内容及规划实施中的经验和成效，努力营造关爱儿童、有利于儿童发展的社会氛围。</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楷体_GB2312" w:cs="宋体"/>
          <w:sz w:val="32"/>
          <w:szCs w:val="32"/>
        </w:rPr>
        <w:t>（十）加强儿童发展调查研究。</w:t>
      </w:r>
      <w:r>
        <w:rPr>
          <w:rFonts w:hint="eastAsia" w:ascii="Times New Roman" w:hAnsi="Times New Roman" w:eastAsia="仿宋_GB2312" w:cs="宋体"/>
          <w:sz w:val="32"/>
          <w:szCs w:val="32"/>
        </w:rPr>
        <w:t>加强儿童工作智库建设，依托党校、研究机构、社会组织等建设儿童发展研究基地，培育专业研究力量，通过课题招标、组织专业力量、进行实地调研等方式开展理论及实践研究，为制定和完善相关规范性文件提供参考。</w:t>
      </w:r>
    </w:p>
    <w:p>
      <w:pPr>
        <w:spacing w:line="560" w:lineRule="exact"/>
        <w:ind w:firstLine="632" w:firstLineChars="200"/>
        <w:rPr>
          <w:rFonts w:ascii="Times New Roman" w:hAnsi="Times New Roman" w:eastAsia="仿宋_GB2312" w:cs="宋体"/>
          <w:sz w:val="32"/>
          <w:szCs w:val="32"/>
        </w:rPr>
      </w:pPr>
      <w:r>
        <w:rPr>
          <w:rFonts w:hint="eastAsia" w:ascii="Times New Roman" w:hAnsi="Times New Roman" w:eastAsia="楷体_GB2312" w:cs="宋体"/>
          <w:sz w:val="32"/>
          <w:szCs w:val="32"/>
        </w:rPr>
        <w:t>（十一）鼓励社会各界广泛参与规划实施。</w:t>
      </w:r>
      <w:r>
        <w:rPr>
          <w:rFonts w:hint="eastAsia" w:ascii="Times New Roman" w:hAnsi="Times New Roman" w:eastAsia="仿宋_GB2312" w:cs="宋体"/>
          <w:sz w:val="32"/>
          <w:szCs w:val="32"/>
        </w:rPr>
        <w:t>健全学校、家庭、社会“三位一体”教育网络，鼓励企事业单位、社会组织、慈善机构和公益人士参与保障儿童权益、促进儿童发展工作。鼓励儿童参与规划实施，提高儿童在参与规划实施中实现自身全面发展的意识和能力。</w:t>
      </w:r>
    </w:p>
    <w:p>
      <w:pPr>
        <w:pStyle w:val="3"/>
        <w:spacing w:before="0" w:beforeLines="0" w:line="560" w:lineRule="exact"/>
        <w:ind w:firstLine="640"/>
        <w:jc w:val="left"/>
        <w:rPr>
          <w:rFonts w:ascii="Times New Roman" w:hAnsi="Times New Roman"/>
          <w:bCs/>
          <w:lang w:eastAsia="zh-CN"/>
        </w:rPr>
      </w:pPr>
      <w:bookmarkStart w:id="372" w:name="_Toc20071"/>
      <w:r>
        <w:rPr>
          <w:rFonts w:hint="eastAsia" w:ascii="Times New Roman" w:hAnsi="Times New Roman"/>
          <w:bCs/>
          <w:lang w:eastAsia="zh-CN"/>
        </w:rPr>
        <w:t>五、监测评估</w:t>
      </w:r>
      <w:bookmarkEnd w:id="372"/>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楷体_GB2312" w:cs="仿宋"/>
          <w:sz w:val="32"/>
          <w:szCs w:val="32"/>
        </w:rPr>
        <w:t>（一）加强监测评估制度建设。</w:t>
      </w:r>
      <w:r>
        <w:rPr>
          <w:rFonts w:hint="eastAsia" w:ascii="Times New Roman" w:hAnsi="Times New Roman" w:eastAsia="仿宋_GB2312" w:cs="仿宋"/>
          <w:sz w:val="32"/>
          <w:szCs w:val="32"/>
        </w:rPr>
        <w:t>对规划实施实行年度监测、中期评估、终期评估。落实并逐步完善性别统计监测方案。区统计部门牵头组织开展年度监测，区妇儿工委成员单位及有关部门向统计部门报送年度监测数据，及时收集、分析反映儿童发展状况的相关数据和信息。区妇儿工委组织开展中期和终期评估，区妇儿工委成员单位及有关部门向妇儿工委提交中期和终期评估报告。通过评估，了解掌握规划实施进程和儿童发展状况，系统分析评价规划目标达标情况，评判规划策略措施的实施效果，总结有益经验，找出突出问题，预测发展趋势，提出对策建议。监测评估工作所需经费纳入财政预算。</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楷体_GB2312" w:cs="仿宋"/>
          <w:sz w:val="32"/>
          <w:szCs w:val="32"/>
        </w:rPr>
        <w:t>（二）加强监测评估工作组织领导。</w:t>
      </w:r>
      <w:r>
        <w:rPr>
          <w:rFonts w:hint="eastAsia" w:ascii="Times New Roman" w:hAnsi="Times New Roman" w:eastAsia="仿宋_GB2312" w:cs="仿宋"/>
          <w:sz w:val="32"/>
          <w:szCs w:val="32"/>
        </w:rPr>
        <w:t>各级妇儿工委设立监测评估协调组，由同级妇儿工委及相关部门负责人组成，负责组织协调监测评估工作，审批监测评估方案，审核监测评估报告等。协调组下设监测组和评估组。</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监测组由各级统计部门牵头，由相关部门负责规划统计监测人员组成，负责规划监测工作的组织、指导和培训，制定监测方案、监测指标体系，收集、分析数据和信息，向同级妇儿工委提交年度、中期和终期监测报告，编辑出版年度儿童统计资料等。监测组成员负责统筹协调本部门规划实施监测、分析、数据上报、分性别分年龄指标完善等工作。</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评估组由各级妇儿工委办公室牵头，由相关部门负责规划实施的人员组成，负责评估工作的组织、指导和培训，制定评估方案，组织开展评估工作，向同级妇儿工委提交中期和终期评估报告。评估组成员负责统筹协调本部门规划实施自我评估工作，参加妇儿工委组织的评估工作。支持评估组相关部门结合工作，就儿童保护与发展中的突出问题开展专项调查、评估，结果可供规划中期和终期评估参考。</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楷体_GB2312" w:cs="仿宋"/>
          <w:sz w:val="32"/>
          <w:szCs w:val="32"/>
        </w:rPr>
        <w:t>（三）加强分性别统计监测。</w:t>
      </w:r>
      <w:r>
        <w:rPr>
          <w:rFonts w:hint="eastAsia" w:ascii="Times New Roman" w:hAnsi="Times New Roman" w:eastAsia="仿宋_GB2312" w:cs="仿宋"/>
          <w:sz w:val="32"/>
          <w:szCs w:val="32"/>
        </w:rPr>
        <w:t>规范完善分性别统计监测指标体系，根据需要扩充调整儿童发展统计指标，纳入政府和部门常规统计以及统计调查制度，加强部门分性别、分年龄统计工作。</w:t>
      </w:r>
      <w:r>
        <w:rPr>
          <w:rFonts w:hint="eastAsia" w:ascii="Times New Roman" w:hAnsi="Times New Roman" w:eastAsia="仿宋_GB2312" w:cs="宋体"/>
          <w:sz w:val="32"/>
          <w:szCs w:val="32"/>
        </w:rPr>
        <w:t>完善儿童发展统计监测数据库，</w:t>
      </w:r>
      <w:r>
        <w:rPr>
          <w:rFonts w:hint="eastAsia" w:ascii="Times New Roman" w:hAnsi="Times New Roman" w:eastAsia="仿宋_GB2312" w:cs="仿宋"/>
          <w:sz w:val="32"/>
          <w:szCs w:val="32"/>
        </w:rPr>
        <w:t>逐步实现数据互联互通。鼓励支持相关部门对儿童发展缺项数据开展专项统计调查。</w:t>
      </w:r>
    </w:p>
    <w:p>
      <w:pPr>
        <w:spacing w:line="560" w:lineRule="exact"/>
        <w:ind w:firstLine="632" w:firstLineChars="200"/>
        <w:rPr>
          <w:rFonts w:ascii="Times New Roman" w:hAnsi="Times New Roman" w:eastAsia="仿宋_GB2312" w:cs="仿宋"/>
          <w:sz w:val="32"/>
          <w:szCs w:val="32"/>
        </w:rPr>
      </w:pPr>
      <w:r>
        <w:rPr>
          <w:rFonts w:hint="eastAsia" w:ascii="Times New Roman" w:hAnsi="Times New Roman" w:eastAsia="楷体_GB2312" w:cs="仿宋"/>
          <w:sz w:val="32"/>
          <w:szCs w:val="32"/>
        </w:rPr>
        <w:t>（四）提升监测评估工作能力和水平。</w:t>
      </w:r>
      <w:r>
        <w:rPr>
          <w:rFonts w:hint="eastAsia" w:ascii="Times New Roman" w:hAnsi="Times New Roman" w:eastAsia="仿宋_GB2312" w:cs="仿宋"/>
          <w:sz w:val="32"/>
          <w:szCs w:val="32"/>
        </w:rPr>
        <w:t>加强监测评估工作培训和部门协作，规范监测数据收集渠道、报送方式，提高数据质量。运用互联网和大数据等技术，丰富儿童发展和分性别统计信息。科学设计评估方案和评估方法，探索第三方评估。提升监测评估工作科学化、标准化、专业化水平。</w:t>
      </w:r>
    </w:p>
    <w:p>
      <w:pPr>
        <w:spacing w:line="560" w:lineRule="exact"/>
        <w:ind w:firstLine="632" w:firstLineChars="200"/>
        <w:rPr>
          <w:rFonts w:ascii="Times New Roman" w:hAnsi="Times New Roman" w:eastAsia="仿宋_GB2312"/>
          <w:sz w:val="32"/>
          <w:szCs w:val="32"/>
        </w:rPr>
      </w:pPr>
      <w:r>
        <w:rPr>
          <w:rFonts w:hint="eastAsia" w:ascii="Times New Roman" w:hAnsi="Times New Roman" w:eastAsia="楷体_GB2312"/>
          <w:sz w:val="32"/>
          <w:szCs w:val="32"/>
        </w:rPr>
        <w:t>（五）有效利用监测评估成果。</w:t>
      </w:r>
      <w:r>
        <w:rPr>
          <w:rFonts w:hint="eastAsia" w:ascii="Times New Roman" w:hAnsi="Times New Roman" w:eastAsia="仿宋_GB2312"/>
          <w:sz w:val="32"/>
          <w:szCs w:val="32"/>
        </w:rPr>
        <w:t>发挥监测评估结果服务决策的作用，定期向同级人民政府及相关部门报送规划目标落实情况，为决策提供依据。建立监测评估报告交流、反馈和发布机制。加强监测评估结果的研判和研判、运用。每年对预计达标困难、波动较大的监测指标进行预警，对发现的突出问题和短板弱项及时提出对策建议，对好做法好经验及时总结推广。运用监测、评估结果指导下一阶段规划实施工作，实现规划实施的年度监测、阶段评估、动态预警、精准干预、整改落实、高质量推进。</w:t>
      </w:r>
    </w:p>
    <w:p>
      <w:pPr>
        <w:spacing w:line="56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本规划由张店区妇女儿童工作委员会负责解释。</w:t>
      </w:r>
    </w:p>
    <w:p>
      <w:pPr>
        <w:pStyle w:val="2"/>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pStyle w:val="2"/>
        <w:rPr>
          <w:rFonts w:ascii="Times New Roman" w:hAnsi="Times New Roman" w:cs="仿宋_GB2312"/>
          <w:sz w:val="32"/>
          <w:szCs w:val="32"/>
        </w:rPr>
      </w:pPr>
    </w:p>
    <w:p>
      <w:pPr>
        <w:pBdr>
          <w:bottom w:val="single" w:color="auto" w:sz="4" w:space="0"/>
        </w:pBdr>
        <w:spacing w:line="400" w:lineRule="exact"/>
        <w:ind w:firstLine="632" w:firstLineChars="200"/>
        <w:rPr>
          <w:rFonts w:ascii="仿宋" w:hAnsi="仿宋" w:eastAsia="仿宋_GB2312" w:cs="仿宋_GB2312"/>
          <w:sz w:val="32"/>
          <w:szCs w:val="32"/>
        </w:rPr>
      </w:pPr>
    </w:p>
    <w:p>
      <w:pPr>
        <w:pStyle w:val="29"/>
        <w:spacing w:line="400" w:lineRule="exact"/>
        <w:ind w:firstLine="280"/>
        <w:rPr>
          <w:rFonts w:ascii="仿宋" w:hAnsi="仿宋"/>
          <w:sz w:val="28"/>
          <w:szCs w:val="28"/>
        </w:rPr>
      </w:pPr>
      <w:r>
        <w:rPr>
          <w:rFonts w:hint="eastAsia" w:ascii="仿宋" w:hAnsi="仿宋"/>
          <w:sz w:val="28"/>
          <w:szCs w:val="28"/>
        </w:rPr>
        <w:t>抄送：区委有关部门，区人大常委会办公室，区政协办公室，区监委，</w:t>
      </w:r>
    </w:p>
    <w:p>
      <w:pPr>
        <w:pStyle w:val="29"/>
        <w:spacing w:line="400" w:lineRule="exact"/>
        <w:ind w:firstLine="1104" w:firstLineChars="400"/>
        <w:rPr>
          <w:rFonts w:ascii="仿宋" w:hAnsi="仿宋"/>
          <w:sz w:val="28"/>
          <w:szCs w:val="28"/>
        </w:rPr>
      </w:pPr>
      <w:r>
        <w:rPr>
          <w:rFonts w:hint="eastAsia" w:ascii="仿宋" w:hAnsi="仿宋"/>
          <w:sz w:val="28"/>
          <w:szCs w:val="28"/>
        </w:rPr>
        <w:t>区法院，区检察院。</w:t>
      </w:r>
    </w:p>
    <w:p>
      <w:pPr>
        <w:pStyle w:val="29"/>
        <w:pBdr>
          <w:top w:val="single" w:color="auto" w:sz="4" w:space="0"/>
          <w:bottom w:val="single" w:color="auto" w:sz="4" w:space="0"/>
        </w:pBdr>
        <w:spacing w:line="400" w:lineRule="exact"/>
        <w:ind w:firstLine="280"/>
        <w:rPr>
          <w:rFonts w:ascii="Times New Roman" w:hAnsi="Times New Roman" w:cs="仿宋_GB2312"/>
          <w:sz w:val="32"/>
          <w:szCs w:val="32"/>
        </w:rPr>
      </w:pPr>
      <w:r>
        <w:rPr>
          <w:rFonts w:hint="eastAsia" w:ascii="仿宋" w:hAnsi="仿宋"/>
          <w:sz w:val="28"/>
          <w:szCs w:val="28"/>
        </w:rPr>
        <w:t xml:space="preserve">淄博市张店区人民政府办公室              </w:t>
      </w:r>
      <w:r>
        <w:rPr>
          <w:rFonts w:hint="eastAsia" w:ascii="Times New Roman" w:hAnsi="Times New Roman"/>
          <w:sz w:val="28"/>
          <w:szCs w:val="28"/>
        </w:rPr>
        <w:t>2021年12月31日印发</w:t>
      </w:r>
    </w:p>
    <w:p>
      <w:pPr>
        <w:pStyle w:val="12"/>
      </w:pPr>
    </w:p>
    <w:p/>
    <w:p>
      <w:pPr>
        <w:pStyle w:val="12"/>
      </w:pPr>
    </w:p>
    <w:p/>
    <w:p>
      <w:pPr>
        <w:ind w:firstLine="316" w:firstLineChars="100"/>
        <w:jc w:val="center"/>
        <w:rPr>
          <w:rFonts w:hint="eastAsia" w:ascii="仿宋_GB2312" w:eastAsia="仿宋_GB2312"/>
          <w:sz w:val="32"/>
        </w:rPr>
      </w:pPr>
    </w:p>
    <w:p>
      <w:pPr>
        <w:ind w:firstLine="316" w:firstLineChars="100"/>
        <w:jc w:val="center"/>
        <w:rPr>
          <w:rFonts w:hint="eastAsia" w:ascii="仿宋_GB2312" w:eastAsia="仿宋_GB2312"/>
          <w:sz w:val="32"/>
        </w:rPr>
      </w:pPr>
      <w:r>
        <w:rPr>
          <w:rFonts w:hint="eastAsia" w:ascii="仿宋_GB2312" w:eastAsia="仿宋_GB2312"/>
          <w:sz w:val="32"/>
        </w:rPr>
        <w:t>张</w:t>
      </w:r>
      <w:r>
        <w:rPr>
          <w:rFonts w:hint="eastAsia" w:ascii="仿宋_GB2312" w:eastAsia="仿宋_GB2312"/>
          <w:sz w:val="32"/>
          <w:lang w:val="en-US" w:eastAsia="zh-CN"/>
        </w:rPr>
        <w:t>政发</w:t>
      </w:r>
      <w:r>
        <w:rPr>
          <w:rFonts w:hint="eastAsia" w:ascii="仿宋_GB2312" w:eastAsia="仿宋_GB2312"/>
          <w:sz w:val="32"/>
        </w:rPr>
        <w:t>〔20</w:t>
      </w:r>
      <w:r>
        <w:rPr>
          <w:rFonts w:ascii="仿宋_GB2312" w:eastAsia="仿宋_GB2312"/>
          <w:sz w:val="32"/>
        </w:rPr>
        <w:t>2</w:t>
      </w:r>
      <w:r>
        <w:rPr>
          <w:rFonts w:hint="eastAsia" w:ascii="仿宋_GB2312" w:eastAsia="仿宋_GB2312"/>
          <w:sz w:val="32"/>
          <w:lang w:val="en-US" w:eastAsia="zh-CN"/>
        </w:rPr>
        <w:t>1</w:t>
      </w:r>
      <w:r>
        <w:rPr>
          <w:rFonts w:hint="eastAsia" w:ascii="仿宋_GB2312" w:eastAsia="仿宋_GB2312"/>
          <w:sz w:val="32"/>
        </w:rPr>
        <w:t>〕</w:t>
      </w:r>
      <w:r>
        <w:rPr>
          <w:rFonts w:hint="eastAsia" w:ascii="仿宋_GB2312" w:eastAsia="仿宋_GB2312"/>
          <w:sz w:val="32"/>
          <w:lang w:val="en-US" w:eastAsia="zh-CN"/>
        </w:rPr>
        <w:t>20</w:t>
      </w:r>
      <w:r>
        <w:rPr>
          <w:rFonts w:hint="eastAsia" w:ascii="仿宋_GB2312" w:eastAsia="仿宋_GB2312"/>
          <w:sz w:val="32"/>
        </w:rPr>
        <w:t>号</w:t>
      </w:r>
    </w:p>
    <w:p>
      <w:pPr>
        <w:rPr>
          <w:rFonts w:hint="eastAsia" w:eastAsia="黑体"/>
          <w:sz w:val="28"/>
          <w:szCs w:val="28"/>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张店区</w:t>
      </w:r>
      <w:r>
        <w:rPr>
          <w:rFonts w:hint="eastAsia" w:ascii="方正小标宋简体" w:hAnsi="方正小标宋简体" w:eastAsia="方正小标宋简体" w:cs="方正小标宋简体"/>
          <w:sz w:val="44"/>
          <w:szCs w:val="44"/>
          <w:lang w:val="en-US" w:eastAsia="zh-CN"/>
        </w:rPr>
        <w:t>人民政府</w:t>
      </w:r>
    </w:p>
    <w:p>
      <w:pPr>
        <w:spacing w:line="560" w:lineRule="exact"/>
        <w:jc w:val="center"/>
        <w:rPr>
          <w:rFonts w:hint="eastAsia" w:ascii="Times New Roman" w:hAnsi="Times New Roman" w:eastAsia="方正小标宋简体" w:cs="Times New Roman"/>
          <w:sz w:val="44"/>
          <w:szCs w:val="44"/>
          <w:lang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同意</w:t>
      </w:r>
      <w:r>
        <w:rPr>
          <w:rFonts w:hint="eastAsia" w:ascii="方正小标宋简体" w:hAnsi="方正小标宋简体" w:eastAsia="方正小标宋简体" w:cs="方正小标宋简体"/>
          <w:sz w:val="44"/>
          <w:szCs w:val="44"/>
        </w:rPr>
        <w:t>对“</w:t>
      </w:r>
      <w:r>
        <w:rPr>
          <w:rFonts w:hint="eastAsia" w:ascii="方正小标宋简体" w:hAnsi="方正小标宋简体" w:eastAsia="方正小标宋简体" w:cs="方正小标宋简体"/>
          <w:sz w:val="44"/>
          <w:szCs w:val="44"/>
          <w:lang w:val="en-US" w:eastAsia="zh-CN"/>
        </w:rPr>
        <w:t>莲池北街</w:t>
      </w:r>
      <w:r>
        <w:rPr>
          <w:rFonts w:hint="eastAsia" w:ascii="方正小标宋简体" w:hAnsi="方正小标宋简体" w:eastAsia="方正小标宋简体" w:cs="方正小标宋简体"/>
          <w:sz w:val="44"/>
          <w:szCs w:val="44"/>
        </w:rPr>
        <w:t>”等道路命名的</w:t>
      </w:r>
      <w:r>
        <w:rPr>
          <w:rFonts w:hint="eastAsia" w:ascii="方正小标宋简体" w:hAnsi="方正小标宋简体" w:eastAsia="方正小标宋简体" w:cs="方正小标宋简体"/>
          <w:sz w:val="44"/>
          <w:szCs w:val="44"/>
          <w:lang w:val="en-US" w:eastAsia="zh-CN"/>
        </w:rPr>
        <w:t>批复</w:t>
      </w:r>
    </w:p>
    <w:p>
      <w:pPr>
        <w:spacing w:line="560" w:lineRule="exact"/>
        <w:rPr>
          <w:rFonts w:hint="default" w:ascii="Times New Roman" w:hAnsi="Times New Roman" w:eastAsia="楷体_GB2312" w:cs="Times New Roman"/>
          <w:color w:val="FF0000"/>
          <w:sz w:val="24"/>
          <w:szCs w:val="24"/>
        </w:rPr>
      </w:pPr>
      <w:r>
        <w:rPr>
          <w:rFonts w:hint="default" w:ascii="Times New Roman" w:hAnsi="Times New Roman" w:eastAsia="楷体_GB2312" w:cs="Times New Roman"/>
          <w:color w:val="FF0000"/>
          <w:sz w:val="24"/>
          <w:szCs w:val="24"/>
        </w:rPr>
        <w:t xml:space="preserve"> </w:t>
      </w:r>
    </w:p>
    <w:p>
      <w:pPr>
        <w:pStyle w:val="14"/>
        <w:spacing w:before="0" w:beforeLines="0" w:beforeAutospacing="0" w:after="0" w:afterLines="0" w:afterAutospacing="0" w:line="560" w:lineRule="exac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张店区民政局：</w:t>
      </w:r>
    </w:p>
    <w:p>
      <w:pPr>
        <w:pStyle w:val="14"/>
        <w:spacing w:before="0" w:beforeLines="0" w:beforeAutospacing="0" w:after="0" w:afterLines="0" w:afterAutospacing="0" w:line="560" w:lineRule="exact"/>
        <w:ind w:firstLine="632"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你单位《关于对“莲池北街”等道路命名的请示》（</w:t>
      </w:r>
      <w:r>
        <w:rPr>
          <w:rFonts w:hint="eastAsia" w:ascii="仿宋_GB2312" w:hAnsi="仿宋_GB2312" w:eastAsia="仿宋_GB2312" w:cs="仿宋_GB2312"/>
          <w:sz w:val="32"/>
        </w:rPr>
        <w:t>张</w:t>
      </w:r>
      <w:r>
        <w:rPr>
          <w:rFonts w:hint="eastAsia" w:ascii="仿宋_GB2312" w:hAnsi="仿宋_GB2312" w:eastAsia="仿宋_GB2312" w:cs="仿宋_GB2312"/>
          <w:sz w:val="32"/>
          <w:lang w:val="en-US" w:eastAsia="zh-CN"/>
        </w:rPr>
        <w:t>民</w:t>
      </w:r>
      <w:r>
        <w:rPr>
          <w:rFonts w:hint="eastAsia" w:ascii="仿宋_GB2312" w:hAnsi="仿宋_GB2312" w:eastAsia="仿宋_GB2312" w:cs="仿宋_GB2312"/>
          <w:sz w:val="32"/>
        </w:rPr>
        <w:t>〔202</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 xml:space="preserve"> 64</w:t>
      </w:r>
      <w:r>
        <w:rPr>
          <w:rFonts w:hint="eastAsia" w:ascii="仿宋_GB2312" w:hAnsi="仿宋_GB2312" w:eastAsia="仿宋_GB2312" w:cs="仿宋_GB2312"/>
          <w:sz w:val="32"/>
        </w:rPr>
        <w:t>号</w:t>
      </w:r>
      <w:r>
        <w:rPr>
          <w:rFonts w:hint="eastAsia" w:ascii="仿宋_GB2312" w:hAnsi="仿宋_GB2312" w:eastAsia="仿宋_GB2312" w:cs="仿宋_GB2312"/>
          <w:kern w:val="0"/>
          <w:sz w:val="32"/>
          <w:szCs w:val="32"/>
          <w:lang w:val="en-US" w:eastAsia="zh-CN"/>
        </w:rPr>
        <w:t>）收悉。经研究，同意你单位提出的道路命名意见。现将道路命名如下:</w:t>
      </w:r>
    </w:p>
    <w:p>
      <w:pPr>
        <w:pStyle w:val="14"/>
        <w:spacing w:before="0" w:beforeLines="0" w:beforeAutospacing="0" w:after="0" w:afterLines="0" w:afterAutospacing="0"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1.莲池北街：</w:t>
      </w:r>
      <w:r>
        <w:rPr>
          <w:rFonts w:hint="eastAsia" w:ascii="仿宋_GB2312" w:hAnsi="仿宋_GB2312" w:eastAsia="仿宋_GB2312" w:cs="仿宋_GB2312"/>
          <w:sz w:val="32"/>
          <w:szCs w:val="32"/>
        </w:rPr>
        <w:t>位于</w:t>
      </w:r>
      <w:r>
        <w:rPr>
          <w:rFonts w:hint="eastAsia" w:ascii="仿宋_GB2312" w:hAnsi="仿宋_GB2312" w:eastAsia="仿宋_GB2312" w:cs="仿宋_GB2312"/>
          <w:sz w:val="32"/>
          <w:szCs w:val="32"/>
          <w:lang w:val="en-US" w:eastAsia="zh-CN"/>
        </w:rPr>
        <w:t>科苑街道</w:t>
      </w:r>
      <w:r>
        <w:rPr>
          <w:rFonts w:hint="eastAsia" w:ascii="仿宋_GB2312" w:hAnsi="仿宋_GB2312" w:eastAsia="仿宋_GB2312" w:cs="仿宋_GB2312"/>
          <w:sz w:val="32"/>
          <w:szCs w:val="32"/>
        </w:rPr>
        <w:t>辖区内，东起</w:t>
      </w:r>
      <w:r>
        <w:rPr>
          <w:rFonts w:hint="eastAsia" w:ascii="仿宋_GB2312" w:hAnsi="仿宋_GB2312" w:eastAsia="仿宋_GB2312" w:cs="仿宋_GB2312"/>
          <w:sz w:val="32"/>
          <w:szCs w:val="32"/>
          <w:lang w:val="en-US" w:eastAsia="zh-CN"/>
        </w:rPr>
        <w:t>北西五</w:t>
      </w:r>
      <w:r>
        <w:rPr>
          <w:rFonts w:hint="eastAsia" w:ascii="仿宋_GB2312" w:hAnsi="仿宋_GB2312" w:eastAsia="仿宋_GB2312" w:cs="仿宋_GB2312"/>
          <w:sz w:val="32"/>
          <w:szCs w:val="32"/>
        </w:rPr>
        <w:t>路，西止</w:t>
      </w:r>
      <w:r>
        <w:rPr>
          <w:rFonts w:hint="eastAsia" w:ascii="仿宋_GB2312" w:hAnsi="仿宋_GB2312" w:eastAsia="仿宋_GB2312" w:cs="仿宋_GB2312"/>
          <w:sz w:val="32"/>
          <w:szCs w:val="32"/>
          <w:lang w:val="en-US" w:eastAsia="zh-CN"/>
        </w:rPr>
        <w:t>北西六路</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val="en-US" w:eastAsia="zh-CN"/>
        </w:rPr>
        <w:t>约400</w:t>
      </w:r>
      <w:r>
        <w:rPr>
          <w:rFonts w:hint="eastAsia" w:ascii="仿宋_GB2312" w:hAnsi="仿宋_GB2312" w:eastAsia="仿宋_GB2312" w:cs="仿宋_GB2312"/>
          <w:sz w:val="32"/>
          <w:szCs w:val="32"/>
        </w:rPr>
        <w:t>米，宽</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米。</w:t>
      </w:r>
    </w:p>
    <w:p>
      <w:pPr>
        <w:pStyle w:val="14"/>
        <w:spacing w:before="0" w:beforeLines="0" w:beforeAutospacing="0" w:after="0" w:afterLines="0" w:afterAutospacing="0"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丽景苑南巷：</w:t>
      </w:r>
      <w:r>
        <w:rPr>
          <w:rFonts w:hint="eastAsia" w:ascii="仿宋_GB2312" w:hAnsi="仿宋_GB2312" w:eastAsia="仿宋_GB2312" w:cs="仿宋_GB2312"/>
          <w:sz w:val="32"/>
          <w:szCs w:val="32"/>
        </w:rPr>
        <w:t>位</w:t>
      </w:r>
      <w:r>
        <w:rPr>
          <w:rFonts w:hint="eastAsia" w:ascii="仿宋_GB2312" w:hAnsi="仿宋_GB2312" w:eastAsia="仿宋_GB2312" w:cs="仿宋_GB2312"/>
          <w:sz w:val="32"/>
          <w:szCs w:val="32"/>
          <w:lang w:val="en-US" w:eastAsia="zh-CN"/>
        </w:rPr>
        <w:t>于科苑街道辖区</w:t>
      </w:r>
      <w:r>
        <w:rPr>
          <w:rFonts w:hint="eastAsia" w:ascii="仿宋_GB2312" w:hAnsi="仿宋_GB2312" w:eastAsia="仿宋_GB2312" w:cs="仿宋_GB2312"/>
          <w:sz w:val="32"/>
          <w:szCs w:val="32"/>
        </w:rPr>
        <w:t>内，东起</w:t>
      </w:r>
      <w:r>
        <w:rPr>
          <w:rFonts w:hint="eastAsia" w:ascii="仿宋_GB2312" w:hAnsi="仿宋_GB2312" w:eastAsia="仿宋_GB2312" w:cs="仿宋_GB2312"/>
          <w:sz w:val="32"/>
          <w:szCs w:val="32"/>
          <w:lang w:val="en-US" w:eastAsia="zh-CN"/>
        </w:rPr>
        <w:t>猪龙河</w:t>
      </w:r>
      <w:r>
        <w:rPr>
          <w:rFonts w:hint="eastAsia" w:ascii="仿宋_GB2312" w:hAnsi="仿宋_GB2312" w:eastAsia="仿宋_GB2312" w:cs="仿宋_GB2312"/>
          <w:sz w:val="32"/>
          <w:szCs w:val="32"/>
        </w:rPr>
        <w:t>，西止</w:t>
      </w:r>
      <w:r>
        <w:rPr>
          <w:rFonts w:hint="eastAsia" w:ascii="仿宋_GB2312" w:hAnsi="仿宋_GB2312" w:eastAsia="仿宋_GB2312" w:cs="仿宋_GB2312"/>
          <w:sz w:val="32"/>
          <w:szCs w:val="32"/>
          <w:lang w:val="en-US" w:eastAsia="zh-CN"/>
        </w:rPr>
        <w:t>北西五</w:t>
      </w:r>
      <w:r>
        <w:rPr>
          <w:rFonts w:hint="eastAsia" w:ascii="仿宋_GB2312" w:hAnsi="仿宋_GB2312" w:eastAsia="仿宋_GB2312" w:cs="仿宋_GB2312"/>
          <w:sz w:val="32"/>
          <w:szCs w:val="32"/>
        </w:rPr>
        <w:t>路，长</w:t>
      </w:r>
      <w:r>
        <w:rPr>
          <w:rFonts w:hint="eastAsia" w:ascii="仿宋_GB2312" w:hAnsi="仿宋_GB2312" w:eastAsia="仿宋_GB2312" w:cs="仿宋_GB2312"/>
          <w:sz w:val="32"/>
          <w:szCs w:val="32"/>
          <w:lang w:val="en-US" w:eastAsia="zh-CN"/>
        </w:rPr>
        <w:t>约400</w:t>
      </w:r>
      <w:r>
        <w:rPr>
          <w:rFonts w:hint="eastAsia" w:ascii="仿宋_GB2312" w:hAnsi="仿宋_GB2312" w:eastAsia="仿宋_GB2312" w:cs="仿宋_GB2312"/>
          <w:sz w:val="32"/>
          <w:szCs w:val="32"/>
        </w:rPr>
        <w:t>米，宽</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米。</w:t>
      </w:r>
    </w:p>
    <w:p>
      <w:pPr>
        <w:pStyle w:val="14"/>
        <w:spacing w:before="0" w:beforeLines="0" w:beforeAutospacing="0" w:after="0" w:afterLines="0" w:afterAutospacing="0" w:line="560" w:lineRule="exact"/>
        <w:ind w:firstLine="63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3.天颐东街：位于马尚街道辖区内，南起恒兴花园，北止联通路，长约960米、宽14米。</w:t>
      </w:r>
    </w:p>
    <w:p>
      <w:pPr>
        <w:pStyle w:val="14"/>
        <w:spacing w:before="0" w:beforeLines="0" w:beforeAutospacing="0" w:after="0" w:afterLines="0" w:afterAutospacing="0" w:line="560" w:lineRule="exact"/>
        <w:ind w:firstLine="63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其标准地名自发文之日起使用，各有关职能部门依此标准地名编排地址编号，并按照国家标准设置地名标志。</w:t>
      </w:r>
    </w:p>
    <w:p>
      <w:pPr>
        <w:pStyle w:val="14"/>
        <w:spacing w:before="0" w:beforeLines="0" w:beforeAutospacing="0" w:after="0" w:afterLines="0" w:afterAutospacing="0" w:line="560" w:lineRule="exact"/>
        <w:ind w:firstLine="632" w:firstLineChars="200"/>
        <w:rPr>
          <w:rFonts w:hint="eastAsia" w:ascii="仿宋_GB2312" w:hAnsi="仿宋_GB2312" w:eastAsia="仿宋_GB2312" w:cs="仿宋_GB2312"/>
          <w:sz w:val="32"/>
          <w:szCs w:val="32"/>
          <w:lang w:val="en-US" w:eastAsia="zh-CN"/>
        </w:rPr>
      </w:pPr>
    </w:p>
    <w:p>
      <w:pPr>
        <w:pStyle w:val="14"/>
        <w:spacing w:before="0" w:beforeLines="0" w:beforeAutospacing="0" w:after="0" w:afterLines="0" w:afterAutospacing="0" w:line="560" w:lineRule="exact"/>
        <w:ind w:firstLine="632"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
      <w:pPr>
        <w:spacing w:line="560" w:lineRule="exact"/>
        <w:ind w:firstLine="4424" w:firstLineChars="14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淄博市张店区人民政府</w:t>
      </w:r>
    </w:p>
    <w:p>
      <w:pPr>
        <w:spacing w:line="56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2022年1月8日</w:t>
      </w:r>
    </w:p>
    <w:p>
      <w:pPr>
        <w:spacing w:line="560" w:lineRule="exact"/>
        <w:ind w:firstLine="632"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（此件公开发布）</w:t>
      </w:r>
    </w:p>
    <w:p>
      <w:pPr>
        <w:spacing w:line="560" w:lineRule="exact"/>
        <w:rPr>
          <w:rFonts w:hint="eastAsia" w:ascii="仿宋_GB2312" w:hAnsi="Times New Roman" w:eastAsia="仿宋_GB2312" w:cs="Times New Roman"/>
          <w:kern w:val="2"/>
          <w:sz w:val="32"/>
          <w:szCs w:val="32"/>
          <w:lang w:val="en-US" w:eastAsia="zh-CN" w:bidi="ar-SA"/>
        </w:rPr>
      </w:pPr>
    </w:p>
    <w:p>
      <w:pPr>
        <w:spacing w:line="560" w:lineRule="exact"/>
        <w:rPr>
          <w:rFonts w:hint="eastAsia" w:ascii="楷体_GB2312" w:hAnsi="楷体_GB2312" w:eastAsia="楷体_GB2312" w:cs="楷体_GB2312"/>
          <w:outline/>
          <w:color w:val="FFFFFF"/>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hint="eastAsia" w:ascii="宋体"/>
          <w:outline/>
          <w:color w:val="FFFFFF"/>
          <w:sz w:val="2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w:t>
      </w:r>
      <w:r>
        <w:rPr>
          <w:rFonts w:hint="eastAsia" w:ascii="楷体_GB2312" w:hAnsi="楷体_GB2312" w:eastAsia="楷体_GB2312" w:cs="楷体_GB2312"/>
          <w:color w:val="FF0000"/>
          <w:sz w:val="24"/>
          <w:szCs w:val="24"/>
        </w:rPr>
        <w:t xml:space="preserve"> </w:t>
      </w:r>
    </w:p>
    <w:p>
      <w:pPr>
        <w:spacing w:line="560" w:lineRule="exact"/>
        <w:rPr>
          <w:rFonts w:hint="eastAsia" w:ascii="宋体"/>
          <w:color w:val="FF0000"/>
          <w:sz w:val="21"/>
        </w:rPr>
      </w:pPr>
    </w:p>
    <w:p>
      <w:pPr>
        <w:spacing w:line="560" w:lineRule="exact"/>
        <w:rPr>
          <w:rFonts w:hint="eastAsia" w:ascii="宋体"/>
          <w:outline/>
          <w:color w:val="FFFFFF"/>
          <w:sz w:val="2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pPr>
        <w:jc w:val="left"/>
        <w:rPr>
          <w:rFonts w:hint="eastAsia" w:ascii="黑体" w:hAnsi="黑体" w:eastAsia="黑体"/>
          <w:sz w:val="32"/>
          <w:szCs w:val="32"/>
        </w:rPr>
      </w:pPr>
    </w:p>
    <w:p>
      <w:pPr>
        <w:jc w:val="left"/>
        <w:rPr>
          <w:rFonts w:hint="eastAsia" w:ascii="黑体" w:hAnsi="黑体" w:eastAsia="黑体"/>
          <w:sz w:val="32"/>
          <w:szCs w:val="32"/>
        </w:rPr>
      </w:pPr>
    </w:p>
    <w:p>
      <w:pPr>
        <w:jc w:val="left"/>
        <w:rPr>
          <w:rFonts w:hint="eastAsia" w:ascii="黑体" w:hAnsi="黑体" w:eastAsia="黑体"/>
          <w:sz w:val="32"/>
          <w:szCs w:val="32"/>
        </w:rPr>
      </w:pPr>
    </w:p>
    <w:p>
      <w:pPr>
        <w:jc w:val="left"/>
        <w:rPr>
          <w:rFonts w:hint="eastAsia" w:ascii="黑体" w:hAnsi="黑体" w:eastAsia="黑体"/>
          <w:sz w:val="32"/>
          <w:szCs w:val="32"/>
        </w:rPr>
      </w:pPr>
    </w:p>
    <w:p>
      <w:pPr>
        <w:jc w:val="left"/>
        <w:rPr>
          <w:rFonts w:hint="eastAsia" w:ascii="黑体" w:hAnsi="黑体" w:eastAsia="黑体"/>
          <w:sz w:val="32"/>
          <w:szCs w:val="32"/>
        </w:rPr>
      </w:pPr>
    </w:p>
    <w:p>
      <w:pPr>
        <w:jc w:val="left"/>
        <w:rPr>
          <w:rFonts w:hint="eastAsia" w:ascii="黑体" w:hAnsi="黑体" w:eastAsia="黑体"/>
          <w:sz w:val="32"/>
          <w:szCs w:val="32"/>
        </w:rPr>
      </w:pPr>
    </w:p>
    <w:p>
      <w:pPr>
        <w:jc w:val="left"/>
        <w:rPr>
          <w:rFonts w:hint="eastAsia" w:ascii="黑体" w:hAnsi="黑体" w:eastAsia="黑体"/>
          <w:sz w:val="32"/>
          <w:szCs w:val="32"/>
        </w:rPr>
      </w:pPr>
    </w:p>
    <w:p>
      <w:pPr>
        <w:jc w:val="left"/>
        <w:rPr>
          <w:rFonts w:hint="eastAsia" w:ascii="黑体" w:hAnsi="黑体" w:eastAsia="黑体"/>
          <w:sz w:val="32"/>
          <w:szCs w:val="32"/>
        </w:rPr>
      </w:pPr>
    </w:p>
    <w:p>
      <w:pPr>
        <w:jc w:val="left"/>
        <w:rPr>
          <w:rFonts w:hint="eastAsia" w:ascii="黑体" w:hAnsi="黑体" w:eastAsia="黑体"/>
          <w:sz w:val="32"/>
          <w:szCs w:val="32"/>
        </w:rPr>
      </w:pPr>
    </w:p>
    <w:p>
      <w:pPr>
        <w:jc w:val="left"/>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jc w:val="left"/>
        <w:rPr>
          <w:rFonts w:hint="eastAsia" w:ascii="黑体" w:hAnsi="黑体" w:eastAsia="黑体"/>
          <w:sz w:val="32"/>
          <w:szCs w:val="32"/>
        </w:rPr>
      </w:pPr>
    </w:p>
    <w:p>
      <w:pPr>
        <w:pBdr>
          <w:top w:val="single" w:color="auto" w:sz="4" w:space="0"/>
          <w:bottom w:val="single" w:color="auto" w:sz="4" w:space="0"/>
        </w:pBdr>
        <w:spacing w:line="560" w:lineRule="exact"/>
        <w:textAlignment w:val="center"/>
      </w:pPr>
      <w:r>
        <w:rPr>
          <w:rFonts w:hint="eastAsia" w:ascii="仿宋_GB2312" w:eastAsia="仿宋_GB2312"/>
        </w:rPr>
        <w:t xml:space="preserve"> </w:t>
      </w:r>
      <w:r>
        <w:rPr>
          <w:rFonts w:hint="eastAsia" w:ascii="仿宋_GB2312" w:eastAsia="仿宋_GB2312"/>
          <w:lang w:val="en-US" w:eastAsia="zh-CN"/>
        </w:rPr>
        <w:t xml:space="preserve">  </w:t>
      </w:r>
      <w:r>
        <w:rPr>
          <w:rFonts w:hint="eastAsia" w:ascii="仿宋_GB2312" w:eastAsia="仿宋_GB2312"/>
          <w:sz w:val="28"/>
          <w:szCs w:val="28"/>
        </w:rPr>
        <w:t>淄博市张店区</w:t>
      </w:r>
      <w:r>
        <w:rPr>
          <w:rFonts w:hint="eastAsia" w:ascii="仿宋_GB2312" w:eastAsia="仿宋_GB2312"/>
          <w:sz w:val="28"/>
          <w:szCs w:val="28"/>
          <w:lang w:val="en-US" w:eastAsia="zh-CN"/>
        </w:rPr>
        <w:t>人民政府</w:t>
      </w:r>
      <w:r>
        <w:rPr>
          <w:rFonts w:hint="eastAsia" w:ascii="仿宋_GB2312" w:eastAsia="仿宋_GB2312"/>
          <w:sz w:val="28"/>
          <w:szCs w:val="28"/>
        </w:rPr>
        <w:t>办公室</w:t>
      </w:r>
      <w:r>
        <w:rPr>
          <w:rFonts w:hint="eastAsia" w:ascii="仿宋_GB2312" w:eastAsia="仿宋_GB2312"/>
        </w:rPr>
        <w:t xml:space="preserve">           </w:t>
      </w:r>
      <w:r>
        <w:rPr>
          <w:rFonts w:hint="eastAsia" w:ascii="仿宋_GB2312" w:hAnsi="仿宋" w:eastAsia="仿宋_GB2312"/>
          <w:lang w:val="en-US" w:eastAsia="zh-CN"/>
        </w:rPr>
        <w:t xml:space="preserve">  </w:t>
      </w:r>
      <w:r>
        <w:rPr>
          <w:rFonts w:hint="eastAsia" w:ascii="仿宋_GB2312" w:hAnsi="仿宋" w:eastAsia="仿宋_GB2312"/>
          <w:sz w:val="28"/>
          <w:szCs w:val="28"/>
        </w:rPr>
        <w:t>202</w:t>
      </w:r>
      <w:r>
        <w:rPr>
          <w:rFonts w:hint="eastAsia" w:ascii="仿宋_GB2312" w:hAnsi="仿宋" w:eastAsia="仿宋_GB2312"/>
          <w:sz w:val="28"/>
          <w:szCs w:val="28"/>
          <w:lang w:val="en-US" w:eastAsia="zh-CN"/>
        </w:rPr>
        <w:t>2</w:t>
      </w:r>
      <w:r>
        <w:rPr>
          <w:rFonts w:hint="eastAsia" w:ascii="仿宋_GB2312" w:eastAsia="仿宋_GB2312"/>
          <w:sz w:val="28"/>
          <w:szCs w:val="28"/>
        </w:rPr>
        <w:t>年</w:t>
      </w:r>
      <w:r>
        <w:rPr>
          <w:rFonts w:hint="eastAsia" w:ascii="仿宋_GB2312" w:hAnsi="仿宋" w:eastAsia="仿宋_GB2312"/>
          <w:sz w:val="28"/>
          <w:szCs w:val="28"/>
          <w:lang w:val="en-US" w:eastAsia="zh-CN"/>
        </w:rPr>
        <w:t>1</w:t>
      </w:r>
      <w:r>
        <w:rPr>
          <w:rFonts w:hint="eastAsia" w:ascii="仿宋_GB2312" w:eastAsia="仿宋_GB2312"/>
          <w:sz w:val="28"/>
          <w:szCs w:val="28"/>
        </w:rPr>
        <w:t>月</w:t>
      </w:r>
      <w:r>
        <w:rPr>
          <w:rFonts w:hint="eastAsia" w:ascii="仿宋_GB2312" w:eastAsia="仿宋_GB2312"/>
          <w:sz w:val="28"/>
          <w:szCs w:val="28"/>
          <w:lang w:val="en-US" w:eastAsia="zh-CN"/>
        </w:rPr>
        <w:t>8</w:t>
      </w:r>
      <w:r>
        <w:rPr>
          <w:rFonts w:hint="eastAsia" w:ascii="仿宋_GB2312" w:eastAsia="仿宋_GB2312"/>
          <w:sz w:val="28"/>
          <w:szCs w:val="28"/>
        </w:rPr>
        <w:t>日印发</w:t>
      </w:r>
      <w:bookmarkStart w:id="373" w:name="_GoBack"/>
      <w:bookmarkEnd w:id="373"/>
    </w:p>
    <w:sectPr>
      <w:footerReference r:id="rId16" w:type="first"/>
      <w:headerReference r:id="rId14" w:type="default"/>
      <w:footerReference r:id="rId15" w:type="default"/>
      <w:pgSz w:w="11906" w:h="16838"/>
      <w:pgMar w:top="2098" w:right="1474" w:bottom="1984" w:left="1587" w:header="851" w:footer="1191" w:gutter="0"/>
      <w:pgBorders>
        <w:top w:val="none" w:sz="0" w:space="0"/>
        <w:left w:val="none" w:sz="0" w:space="0"/>
        <w:bottom w:val="none" w:sz="0" w:space="0"/>
        <w:right w:val="none" w:sz="0" w:space="0"/>
      </w:pgBorders>
      <w:pgNumType w:fmt="decimal" w:start="1"/>
      <w:cols w:space="720" w:num="1"/>
      <w:titlePg/>
      <w:rtlGutter w:val="0"/>
      <w:docGrid w:type="linesAndChars" w:linePitch="57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FZXiaoBiaoSong-B05S">
    <w:panose1 w:val="02000000000000000000"/>
    <w:charset w:val="86"/>
    <w:family w:val="auto"/>
    <w:pitch w:val="default"/>
    <w:sig w:usb0="A00002BF" w:usb1="184F6CFA" w:usb2="00000012" w:usb3="00000000" w:csb0="00040001" w:csb1="00000000"/>
  </w:font>
  <w:font w:name="FZKai-Z03">
    <w:altName w:val="苹方-简"/>
    <w:panose1 w:val="00000000000000000000"/>
    <w:charset w:val="00"/>
    <w:family w:val="auto"/>
    <w:pitch w:val="default"/>
    <w:sig w:usb0="00000000" w:usb1="00000000" w:usb2="00000000" w:usb3="00000000" w:csb0="00000000" w:csb1="00000000"/>
  </w:font>
  <w:font w:name="HYa6gj">
    <w:altName w:val="苹方-简"/>
    <w:panose1 w:val="00000000000000000000"/>
    <w:charset w:val="00"/>
    <w:family w:val="auto"/>
    <w:pitch w:val="default"/>
    <w:sig w:usb0="00000000" w:usb1="00000000" w:usb2="00000000" w:usb3="00000000" w:csb0="00000000" w:csb1="00000000"/>
  </w:font>
  <w:font w:name="FZKai-Z03S">
    <w:altName w:val="苹方-简"/>
    <w:panose1 w:val="00000000000000000000"/>
    <w:charset w:val="00"/>
    <w:family w:val="auto"/>
    <w:pitch w:val="default"/>
    <w:sig w:usb0="00000000" w:usb1="00000000" w:usb2="00000000" w:usb3="00000000" w:csb0="00000000" w:csb1="00000000"/>
  </w:font>
  <w:font w:name="EU-BZ">
    <w:altName w:val="苹方-简"/>
    <w:panose1 w:val="00000000000000000000"/>
    <w:charset w:val="00"/>
    <w:family w:val="auto"/>
    <w:pitch w:val="default"/>
    <w:sig w:usb0="00000000" w:usb1="00000000" w:usb2="00000000" w:usb3="00000000" w:csb0="00000000" w:csb1="00000000"/>
  </w:font>
  <w:font w:name="FZSongIII-Z05S">
    <w:altName w:val="苹方-简"/>
    <w:panose1 w:val="00000000000000000000"/>
    <w:charset w:val="00"/>
    <w:family w:val="auto"/>
    <w:pitch w:val="default"/>
    <w:sig w:usb0="00000000" w:usb1="00000000" w:usb2="00000000" w:usb3="00000000" w:csb0="00000000" w:csb1="00000000"/>
  </w:font>
  <w:font w:name="FZShuSong-Z01">
    <w:panose1 w:val="02000000000000000000"/>
    <w:charset w:val="86"/>
    <w:family w:val="auto"/>
    <w:pitch w:val="default"/>
    <w:sig w:usb0="A00002BF" w:usb1="38CF7CFA" w:usb2="00082016" w:usb3="00000000" w:csb0="00040001" w:csb1="00000000"/>
  </w:font>
  <w:font w:name="FZHei-B01S">
    <w:panose1 w:val="02000000000000000000"/>
    <w:charset w:val="86"/>
    <w:family w:val="auto"/>
    <w:pitch w:val="default"/>
    <w:sig w:usb0="A00002BF" w:usb1="184F6CFA" w:usb2="00000012" w:usb3="00000000" w:csb0="00040001" w:csb1="00000000"/>
  </w:font>
  <w:font w:name="EU-HZ">
    <w:altName w:val="苹方-简"/>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楷体_GB2312">
    <w:altName w:val="汉仪楷体简"/>
    <w:panose1 w:val="02010609030101010101"/>
    <w:charset w:val="00"/>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黑体">
    <w:altName w:val="汉仪中黑KW"/>
    <w:panose1 w:val="02010609060101010101"/>
    <w:charset w:val="00"/>
    <w:family w:val="auto"/>
    <w:pitch w:val="default"/>
    <w:sig w:usb0="00000000" w:usb1="00000000" w:usb2="00000016" w:usb3="00000000" w:csb0="00040001"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楷体">
    <w:altName w:val="汉仪楷体KW"/>
    <w:panose1 w:val="02010609060101010101"/>
    <w:charset w:val="00"/>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Calibri Light">
    <w:altName w:val="Helvetica Neue"/>
    <w:panose1 w:val="020F0302020204030204"/>
    <w:charset w:val="00"/>
    <w:family w:val="swiss"/>
    <w:pitch w:val="default"/>
    <w:sig w:usb0="00000000" w:usb1="00000000" w:usb2="00000009" w:usb3="00000000" w:csb0="200001FF" w:csb1="00000000"/>
  </w:font>
  <w:font w:name="Courier New">
    <w:panose1 w:val="02070609020205090404"/>
    <w:charset w:val="00"/>
    <w:family w:val="modern"/>
    <w:pitch w:val="default"/>
    <w:sig w:usb0="E0000AFF" w:usb1="40007843" w:usb2="00000001" w:usb3="00000000" w:csb0="400001BF" w:csb1="DFF70000"/>
  </w:font>
  <w:font w:name="文星标宋">
    <w:altName w:val="苹方-简"/>
    <w:panose1 w:val="02010604000101010101"/>
    <w:charset w:val="00"/>
    <w:family w:val="auto"/>
    <w:pitch w:val="default"/>
    <w:sig w:usb0="00000000" w:usb1="00000000" w:usb2="00000000" w:usb3="00000000" w:csb0="00040001" w:csb1="00000000"/>
  </w:font>
  <w:font w:name="MingLiU">
    <w:altName w:val="宋体-繁"/>
    <w:panose1 w:val="02020509000000000000"/>
    <w:charset w:val="00"/>
    <w:family w:val="auto"/>
    <w:pitch w:val="default"/>
    <w:sig w:usb0="00000000" w:usb1="00000000" w:usb2="00000016" w:usb3="00000000" w:csb0="00100001" w:csb1="00000000"/>
  </w:font>
  <w:font w:name="Arial">
    <w:panose1 w:val="020B0604020202090204"/>
    <w:charset w:val="00"/>
    <w:family w:val="swiss"/>
    <w:pitch w:val="default"/>
    <w:sig w:usb0="E0000AFF" w:usb1="00007843" w:usb2="00000001" w:usb3="00000000" w:csb0="400001BF" w:csb1="DFF70000"/>
  </w:font>
  <w:font w:name="宋体-繁">
    <w:panose1 w:val="02010600040101010101"/>
    <w:charset w:val="86"/>
    <w:family w:val="auto"/>
    <w:pitch w:val="default"/>
    <w:sig w:usb0="00000287" w:usb1="080F0000" w:usb2="00000000" w:usb3="00000000" w:csb0="0004009F" w:csb1="DFD70000"/>
  </w:font>
  <w:font w:name="MingLiUfalt">
    <w:altName w:val="苹方-简"/>
    <w:panose1 w:val="00000000000000000000"/>
    <w:charset w:val="00"/>
    <w:family w:val="auto"/>
    <w:pitch w:val="default"/>
    <w:sig w:usb0="00000000" w:usb1="00000000" w:usb2="00000010" w:usb3="00000000" w:csb0="00100000" w:csb1="00000000"/>
  </w:font>
  <w:font w:name="华光小标宋_CNKI">
    <w:altName w:val="苹方-简"/>
    <w:panose1 w:val="02000500000000000000"/>
    <w:charset w:val="00"/>
    <w:family w:val="auto"/>
    <w:pitch w:val="default"/>
    <w:sig w:usb0="00000000" w:usb1="00000000" w:usb2="00000016" w:usb3="00000000" w:csb0="0004000F" w:csb1="00000000"/>
  </w:font>
  <w:font w:name="方正小标宋_GBK">
    <w:altName w:val="苹方-简"/>
    <w:panose1 w:val="02000000000000000000"/>
    <w:charset w:val="00"/>
    <w:family w:val="auto"/>
    <w:pitch w:val="default"/>
    <w:sig w:usb0="00000000" w:usb1="00000000" w:usb2="00000000" w:usb3="00000000" w:csb0="00040000" w:csb1="00000000"/>
  </w:font>
  <w:font w:name="宋体-简">
    <w:panose1 w:val="02010800040101010101"/>
    <w:charset w:val="86"/>
    <w:family w:val="auto"/>
    <w:pitch w:val="default"/>
    <w:sig w:usb0="00000001" w:usb1="080F0000" w:usb2="00000000" w:usb3="00000000" w:csb0="00040000" w:csb1="00000000"/>
  </w:font>
  <w:font w:name="MicrosoftYaHei">
    <w:panose1 w:val="020B0703020204020201"/>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5400"/>
        <w:tab w:val="clear" w:pos="4153"/>
      </w:tabs>
      <w:rPr>
        <w:rFonts w:hint="eastAsia"/>
        <w:sz w:val="21"/>
        <w:szCs w:val="21"/>
        <w:lang w:eastAsia="zh-CN"/>
      </w:rPr>
    </w:pPr>
    <w:r>
      <w:rPr>
        <w:sz w:val="3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rPr>
                              <w:rStyle w:val="18"/>
                              <w:rFonts w:hint="eastAsia" w:ascii="宋体" w:hAnsi="宋体" w:eastAsia="宋体" w:cs="宋体"/>
                              <w:sz w:val="28"/>
                              <w:szCs w:val="28"/>
                            </w:rPr>
                          </w:pPr>
                          <w:r>
                            <w:rPr>
                              <w:rStyle w:val="18"/>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8"/>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Style w:val="18"/>
                              <w:rFonts w:hint="eastAsia" w:ascii="宋体" w:hAnsi="宋体" w:eastAsia="宋体" w:cs="宋体"/>
                              <w:sz w:val="28"/>
                              <w:szCs w:val="28"/>
                            </w:rPr>
                            <w:t>- 1 -</w:t>
                          </w:r>
                          <w:r>
                            <w:rPr>
                              <w:rFonts w:hint="eastAsia" w:ascii="宋体" w:hAnsi="宋体" w:eastAsia="宋体" w:cs="宋体"/>
                              <w:sz w:val="28"/>
                              <w:szCs w:val="28"/>
                            </w:rPr>
                            <w:fldChar w:fldCharType="end"/>
                          </w:r>
                          <w:r>
                            <w:rPr>
                              <w:rStyle w:val="18"/>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6WfJFrcBAABUAwAADgAAAAAAAAABACAAAAA0AQAAZHJzL2Uy&#10;b0RvYy54bWxQSwUGAAAAAAYABgBZAQAAXQUAAAAA&#10;">
              <v:fill on="f" focussize="0,0"/>
              <v:stroke on="f"/>
              <v:imagedata o:title=""/>
              <o:lock v:ext="edit" aspectratio="f"/>
              <v:textbox inset="0mm,0mm,0mm,0mm" style="mso-fit-shape-to-text:t;">
                <w:txbxContent>
                  <w:p>
                    <w:pPr>
                      <w:pStyle w:val="10"/>
                      <w:rPr>
                        <w:rStyle w:val="18"/>
                        <w:rFonts w:hint="eastAsia" w:ascii="宋体" w:hAnsi="宋体" w:eastAsia="宋体" w:cs="宋体"/>
                        <w:sz w:val="28"/>
                        <w:szCs w:val="28"/>
                      </w:rPr>
                    </w:pPr>
                    <w:r>
                      <w:rPr>
                        <w:rStyle w:val="18"/>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8"/>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Style w:val="18"/>
                        <w:rFonts w:hint="eastAsia" w:ascii="宋体" w:hAnsi="宋体" w:eastAsia="宋体" w:cs="宋体"/>
                        <w:sz w:val="28"/>
                        <w:szCs w:val="28"/>
                      </w:rPr>
                      <w:t>- 1 -</w:t>
                    </w:r>
                    <w:r>
                      <w:rPr>
                        <w:rFonts w:hint="eastAsia" w:ascii="宋体" w:hAnsi="宋体" w:eastAsia="宋体" w:cs="宋体"/>
                        <w:sz w:val="28"/>
                        <w:szCs w:val="28"/>
                      </w:rPr>
                      <w:fldChar w:fldCharType="end"/>
                    </w:r>
                    <w:r>
                      <w:rPr>
                        <w:rStyle w:val="18"/>
                        <w:rFonts w:hint="eastAsia" w:ascii="宋体" w:hAnsi="宋体" w:eastAsia="宋体" w:cs="宋体"/>
                        <w:sz w:val="28"/>
                        <w:szCs w:val="28"/>
                      </w:rPr>
                      <w:t xml:space="preserve"> —</w:t>
                    </w:r>
                  </w:p>
                </w:txbxContent>
              </v:textbox>
            </v:shape>
          </w:pict>
        </mc:Fallback>
      </mc:AlternateContent>
    </w:r>
    <w:r>
      <w:rPr>
        <w:rFonts w:hint="eastAsia" w:ascii="仿宋_GB2312" w:hAnsi="仿宋_GB2312" w:eastAsia="仿宋_GB2312" w:cs="仿宋_GB2312"/>
        <w:sz w:val="32"/>
        <w:szCs w:val="32"/>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PmkBbu4AQAAVgMAAA4AAAAAAAAAAQAgAAAANAEAAGRycy9l&#10;Mm9Eb2MueG1sUEsFBgAAAAAGAAYAWQEAAF4FAAAAAA==&#10;">
              <v:path/>
              <v:fill on="f" focussize="0,0"/>
              <v:stroke on="f"/>
              <v:imagedata o:title=""/>
              <o:lock v:ext="edit" grouping="f" rotation="f" text="f" aspectratio="f"/>
              <v:textbox inset="0mm,0mm,0mm,0mm" style="mso-fit-shape-to-text:t;">
                <w:txbxContent>
                  <w:p>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81xa/bcBAABWAwAADgAAAAAAAAABACAAAAA0AQAAZHJzL2Uy&#10;b0RvYy54bWxQSwUGAAAAAAYABgBZAQAAXQUAAAAA&#10;">
              <v:path/>
              <v:fill on="f" focussize="0,0"/>
              <v:stroke on="f"/>
              <v:imagedata o:title=""/>
              <o:lock v:ext="edit" grouping="f" rotation="f" text="f" aspectratio="f"/>
              <v:textbox inset="0mm,0mm,0mm,0mm" style="mso-fit-shape-to-text:t;">
                <w:txbxContent>
                  <w:p>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rPr>
        <w:rFonts w:hint="eastAsia"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D6CbrP0gAAAAgBAAAPAAAAAAAAAAEAIAAAADgAAABkcnMvZG93&#10;bnJldi54bWxQSwECFAAUAAAACACHTuJAe6alu7cBAABUAwAADgAAAAAAAAABACAAAAA3AQAAZHJz&#10;L2Uyb0RvYy54bWxQSwUGAAAAAAYABgBZAQAAYAU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ascii="宋体" w:hAnsi="宋体" w:cs="宋体"/>
        <w:sz w:val="28"/>
        <w:szCs w:val="2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14935" cy="2336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23368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4pt;width:9.05pt;mso-position-horizontal:right;mso-position-horizontal-relative:margin;mso-wrap-style:none;z-index:251658240;mso-width-relative:page;mso-height-relative:page;" filled="f" stroked="f" coordsize="21600,21600" o:gfxdata="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MZtGBHQAAAAAwEAAA8AAAAAAAAAAQAgAAAAOAAAAGRycy9k&#10;b3ducmV2LnhtbFBLAQIUABQAAAAIAIdO4kB08c8EuwEAAFIDAAAOAAAAAAAAAAEAIAAAADUBAABk&#10;cnMvZTJvRG9jLnhtbFBLBQYAAAAABgAGAFkBAABi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PoJus/SAAAACAEAAA8AAAAAAAAAAQAgAAAAOAAAAGRycy9kb3du&#10;cmV2LnhtbFBLAQIUABQAAAAIAIdO4kDc08Q+tgEAAFQDAAAOAAAAAAAAAAEAIAAAADcBAABkcnMv&#10;ZTJvRG9jLnhtbFBLBQYAAAAABgAGAFkBAABfBQAAAAA=&#10;">
              <v:fill on="f" focussize="0,0"/>
              <v:stroke on="f"/>
              <v:imagedata o:title=""/>
              <o:lock v:ext="edit" aspectratio="f"/>
              <v:textbox inset="0mm,0mm,0mm,0mm" style="mso-fit-shape-to-text:t;">
                <w:txbxContent>
                  <w:p>
                    <w:pPr>
                      <w:pStyle w:val="1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ZFx6S9MAAAAHAQAADwAAAAAAAAABACAAAAA4AAAAZHJzL2Rv&#10;d25yZXYueG1sUEsBAhQAFAAAAAgAh07iQCuXABK3AQAAVAMAAA4AAAAAAAAAAQAgAAAAOAEAAGRy&#10;cy9lMm9Eb2MueG1sUEsFBgAAAAAGAAYAWQEAAGEFAAAAAA==&#10;">
              <v:fill on="f" focussize="0,0"/>
              <v:stroke on="f"/>
              <v:imagedata o:title=""/>
              <o:lock v:ext="edit" aspectratio="f"/>
              <v:textbox inset="0mm,0mm,0mm,0mm" style="mso-fit-shape-to-text:t;">
                <w:txbxContent>
                  <w:p>
                    <w:pPr>
                      <w:pStyle w:val="1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ind w:left="0" w:leftChars="0" w:firstLine="0" w:firstLineChars="0"/>
                            <w:rPr>
                              <w:sz w:val="24"/>
                              <w:szCs w:val="24"/>
                            </w:rPr>
                          </w:pPr>
                          <w:r>
                            <w:rPr>
                              <w:rFonts w:hint="eastAsia" w:ascii="宋体" w:hAnsi="宋体" w:cs="宋体"/>
                              <w:sz w:val="28"/>
                              <w:szCs w:val="28"/>
                            </w:rPr>
                            <w:t>—</w:t>
                          </w:r>
                          <w:r>
                            <w:rPr>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sz w:val="24"/>
                              <w:szCs w:val="24"/>
                            </w:rPr>
                            <w:t xml:space="preserve"> </w:t>
                          </w:r>
                          <w:r>
                            <w:rPr>
                              <w:rFonts w:hint="eastAsia" w:ascii="宋体" w:hAnsi="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ThKok7cBAABUAwAADgAAAAAAAAABACAAAAA0AQAAZHJzL2Uy&#10;b0RvYy54bWxQSwUGAAAAAAYABgBZAQAAXQUAAAAA&#10;">
              <v:fill on="f" focussize="0,0"/>
              <v:stroke on="f"/>
              <v:imagedata o:title=""/>
              <o:lock v:ext="edit" aspectratio="f"/>
              <v:textbox inset="0mm,0mm,0mm,0mm" style="mso-fit-shape-to-text:t;">
                <w:txbxContent>
                  <w:p>
                    <w:pPr>
                      <w:pStyle w:val="10"/>
                      <w:ind w:left="0" w:leftChars="0" w:firstLine="0" w:firstLineChars="0"/>
                      <w:rPr>
                        <w:sz w:val="24"/>
                        <w:szCs w:val="24"/>
                      </w:rPr>
                    </w:pPr>
                    <w:r>
                      <w:rPr>
                        <w:rFonts w:hint="eastAsia" w:ascii="宋体" w:hAnsi="宋体" w:cs="宋体"/>
                        <w:sz w:val="28"/>
                        <w:szCs w:val="28"/>
                      </w:rPr>
                      <w:t>—</w:t>
                    </w:r>
                    <w:r>
                      <w:rPr>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sz w:val="24"/>
                        <w:szCs w:val="24"/>
                      </w:rPr>
                      <w:t xml:space="preserve"> </w:t>
                    </w:r>
                    <w:r>
                      <w:rPr>
                        <w:rFonts w:hint="eastAsia" w:ascii="宋体" w:hAnsi="宋体" w:cs="宋体"/>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矩形 9"/>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C5dblS0AAAAAUBAAAPAAAAAAAAAAEAIAAAADgAAABkcnMvZG93bnJldi54bWxQSwEC&#10;FAAUAAAACACHTuJA5H5jFa0BAABHAwAADgAAAAAAAAABACAAAAA1AQAAZHJzL2Uyb0RvYy54bWxQ&#10;SwUGAAAAAAYABgBZAQAAVAUAAAAA&#10;">
              <v:fill on="f" focussize="0,0"/>
              <v:stroke on="f"/>
              <v:imagedata o:title=""/>
              <o:lock v:ext="edit"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矩形 10"/>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pStyle w:val="1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uXW5UtAAAAAFAQAADwAAAAAAAAABACAAAAA4AAAAZHJzL2Rvd25yZXYueG1sUEsB&#10;AhQAFAAAAAgAh07iQDVI/O2uAQAASQMAAA4AAAAAAAAAAQAgAAAANQEAAGRycy9lMm9Eb2MueG1s&#10;UEsFBgAAAAAGAAYAWQEAAFUFAAAAAA==&#10;">
              <v:fill on="f" focussize="0,0"/>
              <v:stroke on="f"/>
              <v:imagedata o:title=""/>
              <o:lock v:ext="edit" aspectratio="f"/>
              <v:textbox inset="0mm,0mm,0mm,0mm" style="mso-fit-shape-to-text:t;">
                <w:txbxContent>
                  <w:p>
                    <w:pPr>
                      <w:pStyle w:val="1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15</w:t>
                    </w:r>
                    <w:r>
                      <w:rPr>
                        <w:rFonts w:ascii="宋体" w:hAnsi="宋体" w:cs="宋体"/>
                        <w:sz w:val="28"/>
                        <w:szCs w:val="28"/>
                      </w:rPr>
                      <w:fldChar w:fldCharType="end"/>
                    </w:r>
                    <w:r>
                      <w:rPr>
                        <w:rFonts w:ascii="宋体" w:hAnsi="宋体" w:cs="宋体"/>
                        <w:sz w:val="28"/>
                        <w:szCs w:val="28"/>
                      </w:rPr>
                      <w:t xml:space="preserve"> —</w:t>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矩形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uXW5UtAAAAAFAQAADwAAAAAAAAABACAAAAA4AAAAZHJzL2Rvd25yZXYueG1sUEsB&#10;AhQAFAAAAAgAh07iQDiRrOCuAQAASQMAAA4AAAAAAAAAAQAgAAAANQEAAGRycy9lMm9Eb2MueG1s&#10;UEsFBgAAAAAGAAYAWQEAAFUFAAAAAA==&#10;">
              <v:fill on="f" focussize="0,0"/>
              <v:stroke on="f"/>
              <v:imagedata o:title=""/>
              <o:lock v:ext="edit"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posOffset>4987925</wp:posOffset>
              </wp:positionH>
              <wp:positionV relativeFrom="paragraph">
                <wp:posOffset>152400</wp:posOffset>
              </wp:positionV>
              <wp:extent cx="1828800" cy="1828800"/>
              <wp:effectExtent l="0" t="0" r="0" b="0"/>
              <wp:wrapNone/>
              <wp:docPr id="12" name="矩形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1">
                      <a:spAutoFit/>
                    </wps:bodyPr>
                  </wps:wsp>
                </a:graphicData>
              </a:graphic>
            </wp:anchor>
          </w:drawing>
        </mc:Choice>
        <mc:Fallback>
          <w:pict>
            <v:rect id="_x0000_s1026" o:spid="_x0000_s1026" o:spt="1" style="position:absolute;left:0pt;margin-left:392.75pt;margin-top:12pt;height:144pt;width:144pt;mso-position-horizontal-relative:margin;mso-wrap-style:none;z-index:251658240;mso-width-relative:page;mso-height-relative:page;" filled="f" stroked="f" coordsize="21600,21600" o:gfxdata="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AyQ87F2AAAAAsBAAAPAAAAAAAAAAEAIAAAADgAAABkcnMvZG93bnJl&#10;di54bWxQSwECFAAUAAAACACHTuJAL/pd964BAABJAwAADgAAAAAAAAABACAAAAA9AQAAZHJzL2Uy&#10;b0RvYy54bWxQSwUGAAAAAAYABgBZAQAAXQUAAAAA&#10;">
              <v:path/>
              <v:fill on="f" focussize="0,0"/>
              <v:stroke on="f"/>
              <v:imagedata o:title=""/>
              <o:lock v:ext="edit" grouping="f" rotation="f" text="f"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rect>
          </w:pict>
        </mc:Fallback>
      </mc:AlternateContent>
    </w:r>
  </w:p>
  <w:p>
    <w:pPr>
      <w:pStyle w:val="1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9525</wp:posOffset>
              </wp:positionH>
              <wp:positionV relativeFrom="paragraph">
                <wp:posOffset>152400</wp:posOffset>
              </wp:positionV>
              <wp:extent cx="1828800" cy="1828800"/>
              <wp:effectExtent l="0" t="0" r="0" b="0"/>
              <wp:wrapNone/>
              <wp:docPr id="13" name="矩形 13"/>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pStyle w:val="1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1">
                      <a:spAutoFit/>
                    </wps:bodyPr>
                  </wps:wsp>
                </a:graphicData>
              </a:graphic>
            </wp:anchor>
          </w:drawing>
        </mc:Choice>
        <mc:Fallback>
          <w:pict>
            <v:rect id="_x0000_s1026" o:spid="_x0000_s1026" o:spt="1" style="position:absolute;left:0pt;margin-left:0.75pt;margin-top:12pt;height:144pt;width:144pt;mso-position-horizontal-relative:margin;mso-wrap-style:none;z-index:251659264;mso-width-relative:page;mso-height-relative:page;" filled="f" stroked="f" coordsize="21600,21600" o:gfxdata="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Bsi++1AAAAAgBAAAPAAAAAAAAAAEAIAAAADgAAABkcnMvZG93bnJldi54&#10;bWxQSwECFAAUAAAACACHTuJAIiMN+q8BAABJAwAADgAAAAAAAAABACAAAAA5AQAAZHJzL2Uyb0Rv&#10;Yy54bWxQSwUGAAAAAAYABgBZAQAAWgUAAAAA&#10;">
              <v:path/>
              <v:fill on="f" focussize="0,0"/>
              <v:stroke on="f"/>
              <v:imagedata o:title=""/>
              <o:lock v:ext="edit" grouping="f" rotation="f" text="f" aspectratio="f"/>
              <v:textbox inset="0mm,0mm,0mm,0mm" style="mso-fit-shape-to-text:t;">
                <w:txbxContent>
                  <w:p>
                    <w:pPr>
                      <w:pStyle w:val="1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rect>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tentative="0">
      <w:start w:val="5"/>
      <w:numFmt w:val="chineseCounting"/>
      <w:suff w:val="space"/>
      <w:lvlText w:val="第%1章"/>
      <w:lvlJc w:val="left"/>
      <w:rPr>
        <w:rFonts w:hint="eastAsia"/>
      </w:rPr>
    </w:lvl>
  </w:abstractNum>
  <w:abstractNum w:abstractNumId="1">
    <w:nsid w:val="00000009"/>
    <w:multiLevelType w:val="multilevel"/>
    <w:tmpl w:val="00000009"/>
    <w:lvl w:ilvl="0" w:tentative="0">
      <w:start w:val="1"/>
      <w:numFmt w:val="japaneseCounting"/>
      <w:lvlText w:val="第%1章"/>
      <w:lvlJc w:val="left"/>
      <w:pPr>
        <w:ind w:left="1155" w:hanging="11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B"/>
    <w:multiLevelType w:val="singleLevel"/>
    <w:tmpl w:val="0000000B"/>
    <w:lvl w:ilvl="0" w:tentative="0">
      <w:start w:val="6"/>
      <w:numFmt w:val="chineseCounting"/>
      <w:suff w:val="space"/>
      <w:lvlText w:val="第%1条"/>
      <w:lvlJc w:val="left"/>
      <w:rPr>
        <w:rFonts w:hint="eastAsia"/>
        <w:b/>
        <w:bC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BC51A"/>
    <w:rsid w:val="7D7BC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snapToGrid w:val="0"/>
      <w:sz w:val="32"/>
      <w:szCs w:val="32"/>
      <w:lang w:val="en-US" w:eastAsia="zh-CN" w:bidi="ar-SA"/>
    </w:rPr>
  </w:style>
  <w:style w:type="paragraph" w:styleId="3">
    <w:name w:val="heading 1"/>
    <w:basedOn w:val="4"/>
    <w:next w:val="1"/>
    <w:qFormat/>
    <w:uiPriority w:val="0"/>
    <w:pPr>
      <w:keepNext/>
      <w:keepLines/>
      <w:spacing w:line="600" w:lineRule="exact"/>
      <w:ind w:firstLine="200" w:firstLineChars="200"/>
      <w:outlineLvl w:val="0"/>
    </w:pPr>
    <w:rPr>
      <w:rFonts w:eastAsia="黑体"/>
      <w:bCs/>
      <w:kern w:val="44"/>
      <w:szCs w:val="44"/>
    </w:rPr>
  </w:style>
  <w:style w:type="paragraph" w:styleId="5">
    <w:name w:val="heading 2"/>
    <w:basedOn w:val="6"/>
    <w:next w:val="1"/>
    <w:unhideWhenUsed/>
    <w:qFormat/>
    <w:uiPriority w:val="0"/>
    <w:pPr>
      <w:keepNext/>
      <w:keepLines/>
      <w:spacing w:before="260" w:beforeLines="0" w:after="260" w:afterLines="0" w:line="415" w:lineRule="auto"/>
      <w:outlineLvl w:val="1"/>
    </w:pPr>
    <w:rPr>
      <w:rFonts w:ascii="Cambria" w:hAnsi="Cambria" w:eastAsia="宋体" w:cs="Times New Roman"/>
      <w:b/>
      <w:bCs/>
      <w:sz w:val="32"/>
      <w:szCs w:val="32"/>
    </w:rPr>
  </w:style>
  <w:style w:type="paragraph" w:styleId="7">
    <w:name w:val="heading 3"/>
    <w:basedOn w:val="1"/>
    <w:next w:val="1"/>
    <w:unhideWhenUsed/>
    <w:qFormat/>
    <w:uiPriority w:val="0"/>
    <w:pPr>
      <w:keepNext/>
      <w:keepLines/>
      <w:spacing w:before="260" w:beforeLines="0" w:after="260" w:afterLines="0" w:line="415" w:lineRule="auto"/>
      <w:outlineLvl w:val="2"/>
    </w:pPr>
    <w:rPr>
      <w:rFonts w:ascii="Times New Roman" w:hAnsi="Times New Roman" w:eastAsia="宋体" w:cs="Times New Roman"/>
      <w:b/>
      <w:bCs/>
      <w:sz w:val="32"/>
      <w:szCs w:val="32"/>
    </w:rPr>
  </w:style>
  <w:style w:type="character" w:default="1" w:styleId="15">
    <w:name w:val="Default Paragraph Font"/>
    <w:link w:val="16"/>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pPr>
    <w:rPr>
      <w:rFonts w:ascii="Calibri" w:hAnsi="Calibri" w:eastAsia="宋体" w:cs="Times New Roman"/>
      <w:szCs w:val="24"/>
    </w:rPr>
  </w:style>
  <w:style w:type="paragraph" w:customStyle="1" w:styleId="4">
    <w:name w:val="toa heading"/>
    <w:basedOn w:val="1"/>
    <w:next w:val="1"/>
    <w:qFormat/>
    <w:uiPriority w:val="0"/>
    <w:pPr>
      <w:spacing w:before="120" w:beforeLines="0"/>
    </w:pPr>
    <w:rPr>
      <w:rFonts w:ascii="Calibri Light" w:hAnsi="Calibri Light" w:eastAsia="宋体" w:cs="黑体"/>
      <w:sz w:val="24"/>
    </w:rPr>
  </w:style>
  <w:style w:type="paragraph" w:customStyle="1" w:styleId="6">
    <w:name w:val="table of authorities"/>
    <w:basedOn w:val="1"/>
    <w:next w:val="1"/>
    <w:qFormat/>
    <w:uiPriority w:val="0"/>
    <w:pPr>
      <w:ind w:left="420" w:leftChars="200"/>
    </w:pPr>
  </w:style>
  <w:style w:type="paragraph" w:styleId="8">
    <w:name w:val="Body Text First Indent"/>
    <w:basedOn w:val="2"/>
    <w:uiPriority w:val="0"/>
    <w:pPr>
      <w:ind w:firstLine="420" w:firstLineChars="100"/>
    </w:pPr>
  </w:style>
  <w:style w:type="paragraph" w:styleId="9">
    <w:name w:val="toc 3"/>
    <w:basedOn w:val="1"/>
    <w:next w:val="1"/>
    <w:uiPriority w:val="0"/>
    <w:pPr>
      <w:widowControl w:val="0"/>
      <w:adjustRightInd/>
      <w:snapToGrid/>
      <w:spacing w:after="0" w:afterLines="0"/>
      <w:ind w:left="840" w:leftChars="400"/>
      <w:jc w:val="both"/>
    </w:pPr>
    <w:rPr>
      <w:rFonts w:ascii="Times New Roman" w:hAnsi="Times New Roman" w:eastAsia="宋体" w:cs="Times New Roman"/>
      <w:kern w:val="2"/>
      <w:sz w:val="21"/>
      <w:szCs w:val="24"/>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iPriority w:val="0"/>
  </w:style>
  <w:style w:type="paragraph" w:styleId="13">
    <w:name w:val="toc 2"/>
    <w:basedOn w:val="1"/>
    <w:next w:val="1"/>
    <w:uiPriority w:val="0"/>
    <w:pPr>
      <w:widowControl w:val="0"/>
      <w:adjustRightInd/>
      <w:snapToGrid/>
      <w:spacing w:after="0" w:afterLines="0"/>
      <w:ind w:left="420" w:leftChars="200"/>
      <w:jc w:val="both"/>
    </w:pPr>
    <w:rPr>
      <w:rFonts w:ascii="Times New Roman" w:hAnsi="Times New Roman" w:eastAsia="宋体" w:cs="Times New Roman"/>
      <w:kern w:val="2"/>
      <w:sz w:val="21"/>
      <w:szCs w:val="24"/>
    </w:rPr>
  </w:style>
  <w:style w:type="paragraph" w:styleId="14">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16">
    <w:name w:val=" Char Char Char Char Char Char"/>
    <w:basedOn w:val="1"/>
    <w:link w:val="15"/>
    <w:qFormat/>
    <w:uiPriority w:val="0"/>
    <w:pPr>
      <w:widowControl/>
      <w:spacing w:after="160" w:afterLines="0" w:line="240" w:lineRule="exact"/>
      <w:ind w:firstLine="980" w:firstLineChars="350"/>
      <w:jc w:val="left"/>
    </w:pPr>
  </w:style>
  <w:style w:type="character" w:styleId="17">
    <w:name w:val="Strong"/>
    <w:basedOn w:val="15"/>
    <w:qFormat/>
    <w:uiPriority w:val="0"/>
    <w:rPr>
      <w:b/>
    </w:rPr>
  </w:style>
  <w:style w:type="character" w:styleId="18">
    <w:name w:val="page number"/>
    <w:basedOn w:val="15"/>
    <w:uiPriority w:val="0"/>
    <w:rPr>
      <w:rFonts w:cs="Times New Roman"/>
    </w:rPr>
  </w:style>
  <w:style w:type="character" w:styleId="19">
    <w:name w:val="Hyperlink"/>
    <w:uiPriority w:val="0"/>
    <w:rPr>
      <w:color w:val="0000FF"/>
      <w:u w:val="single"/>
    </w:rPr>
  </w:style>
  <w:style w:type="paragraph" w:customStyle="1" w:styleId="21">
    <w:name w:val="样式 首行缩进:  2 字符"/>
    <w:basedOn w:val="22"/>
    <w:qFormat/>
    <w:uiPriority w:val="0"/>
    <w:pPr>
      <w:ind w:firstLine="560"/>
    </w:pPr>
    <w:rPr>
      <w:rFonts w:eastAsia="仿宋_GB2312" w:cs="宋体"/>
      <w:sz w:val="24"/>
      <w:szCs w:val="20"/>
    </w:rPr>
  </w:style>
  <w:style w:type="paragraph" w:customStyle="1" w:styleId="22">
    <w:name w:val="正文 New New New New New"/>
    <w:next w:val="2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List Paragraph"/>
    <w:basedOn w:val="1"/>
    <w:qFormat/>
    <w:uiPriority w:val="34"/>
    <w:pPr>
      <w:ind w:firstLine="420" w:firstLineChars="200"/>
    </w:pPr>
  </w:style>
  <w:style w:type="paragraph" w:customStyle="1" w:styleId="24">
    <w:name w:val="_Style 4"/>
    <w:basedOn w:val="1"/>
    <w:qFormat/>
    <w:uiPriority w:val="0"/>
    <w:pPr>
      <w:ind w:firstLine="420" w:firstLineChars="200"/>
    </w:pPr>
    <w:rPr>
      <w:rFonts w:ascii="Calibri" w:hAnsi="Calibri"/>
      <w:kern w:val="2"/>
      <w:sz w:val="21"/>
      <w:szCs w:val="22"/>
    </w:rPr>
  </w:style>
  <w:style w:type="paragraph" w:customStyle="1" w:styleId="25">
    <w:name w:val="Default"/>
    <w:qFormat/>
    <w:uiPriority w:val="0"/>
    <w:pPr>
      <w:widowControl w:val="0"/>
      <w:autoSpaceDE w:val="0"/>
      <w:autoSpaceDN w:val="0"/>
      <w:adjustRightInd w:val="0"/>
    </w:pPr>
    <w:rPr>
      <w:rFonts w:ascii="方正小标宋简体" w:hAnsi="方正小标宋简体" w:eastAsia="方正小标宋简体" w:cs="方正小标宋简体"/>
      <w:color w:val="000000"/>
      <w:sz w:val="24"/>
      <w:szCs w:val="24"/>
      <w:lang w:val="en-US" w:eastAsia="zh-CN" w:bidi="ar-SA"/>
    </w:rPr>
  </w:style>
  <w:style w:type="paragraph" w:customStyle="1" w:styleId="26">
    <w:name w:val="Plain Text"/>
    <w:basedOn w:val="1"/>
    <w:qFormat/>
    <w:uiPriority w:val="0"/>
    <w:rPr>
      <w:rFonts w:ascii="宋体" w:hAnsi="Courier New"/>
      <w:szCs w:val="20"/>
    </w:rPr>
  </w:style>
  <w:style w:type="paragraph" w:customStyle="1" w:styleId="27">
    <w:name w:val="Normal (Web)"/>
    <w:basedOn w:val="1"/>
    <w:qFormat/>
    <w:uiPriority w:val="0"/>
    <w:pPr>
      <w:spacing w:before="0" w:beforeLines="0" w:beforeAutospacing="0" w:after="0" w:afterLines="0" w:afterAutospacing="0"/>
      <w:ind w:left="0" w:right="0"/>
      <w:jc w:val="left"/>
    </w:pPr>
    <w:rPr>
      <w:kern w:val="0"/>
      <w:sz w:val="24"/>
      <w:lang w:val="en-US" w:eastAsia="zh-CN"/>
    </w:rPr>
  </w:style>
  <w:style w:type="paragraph" w:customStyle="1" w:styleId="28">
    <w:name w:val="正文文本1"/>
    <w:basedOn w:val="1"/>
    <w:uiPriority w:val="0"/>
    <w:pPr>
      <w:shd w:val="clear" w:color="auto" w:fill="FFFFFF"/>
      <w:spacing w:line="382" w:lineRule="auto"/>
      <w:ind w:firstLine="400"/>
    </w:pPr>
    <w:rPr>
      <w:rFonts w:ascii="MingLiU" w:hAnsi="MingLiU" w:eastAsia="MingLiU" w:cs="MingLiU"/>
      <w:sz w:val="30"/>
      <w:szCs w:val="30"/>
      <w:lang w:val="zh-CN"/>
    </w:rPr>
  </w:style>
  <w:style w:type="paragraph" w:customStyle="1" w:styleId="29">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header" Target="header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Office_3.2.1.5071_F1E327BC-269C-435d-A152-05C5408002CA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2022-04-12T09:16:00Z</dcterms:created>
  <dc:creator>a111111</dc:creator>
  <cp:lastModifiedBy>a111111</cp:lastModifiedBy>
  <dcterms:modified xsi:type="dcterms:W3CDTF">2022-04-12T09:34:21Z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2052-3.2.1.5071</vt:lpwstr>
  </property>
</Properties>
</file>