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cs="Times New Roman"/>
          <w:b/>
          <w:bCs/>
          <w:sz w:val="44"/>
          <w:szCs w:val="44"/>
        </w:rPr>
      </w:pPr>
    </w:p>
    <w:p>
      <w:pPr>
        <w:spacing w:line="560" w:lineRule="exact"/>
        <w:jc w:val="center"/>
        <w:rPr>
          <w:rFonts w:ascii="Times New Roman" w:hAnsi="Times New Roman" w:cs="Times New Roman"/>
          <w:b/>
          <w:bCs/>
          <w:sz w:val="44"/>
          <w:szCs w:val="44"/>
        </w:rPr>
      </w:pPr>
    </w:p>
    <w:p>
      <w:pPr>
        <w:spacing w:line="560" w:lineRule="exact"/>
        <w:jc w:val="center"/>
        <w:rPr>
          <w:rFonts w:ascii="Times New Roman" w:hAnsi="Times New Roman" w:cs="Times New Roman"/>
          <w:b/>
          <w:bCs/>
          <w:sz w:val="44"/>
          <w:szCs w:val="44"/>
        </w:rPr>
      </w:pPr>
    </w:p>
    <w:p>
      <w:pPr>
        <w:spacing w:line="560" w:lineRule="exact"/>
        <w:jc w:val="center"/>
        <w:rPr>
          <w:rFonts w:ascii="Times New Roman" w:hAnsi="Times New Roman" w:cs="Times New Roman"/>
          <w:b/>
          <w:bCs/>
          <w:sz w:val="44"/>
          <w:szCs w:val="44"/>
        </w:rPr>
      </w:pPr>
    </w:p>
    <w:p>
      <w:pPr>
        <w:spacing w:line="560" w:lineRule="exact"/>
        <w:jc w:val="center"/>
        <w:rPr>
          <w:rFonts w:ascii="Times New Roman" w:hAnsi="Times New Roman" w:cs="Times New Roman"/>
          <w:b/>
          <w:bCs/>
          <w:sz w:val="44"/>
          <w:szCs w:val="44"/>
        </w:rPr>
      </w:pPr>
    </w:p>
    <w:p>
      <w:pPr>
        <w:spacing w:line="560" w:lineRule="exact"/>
        <w:jc w:val="center"/>
        <w:rPr>
          <w:rFonts w:ascii="Times New Roman" w:hAnsi="Times New Roman" w:cs="Times New Roman"/>
          <w:b/>
          <w:bCs/>
          <w:sz w:val="44"/>
          <w:szCs w:val="44"/>
        </w:rPr>
      </w:pPr>
    </w:p>
    <w:p>
      <w:pPr>
        <w:keepNext w:val="0"/>
        <w:keepLines w:val="0"/>
        <w:pageBreakBefore w:val="0"/>
        <w:widowControl/>
        <w:kinsoku/>
        <w:wordWrap/>
        <w:overflowPunct/>
        <w:topLinePunct w:val="0"/>
        <w:autoSpaceDE/>
        <w:autoSpaceDN/>
        <w:bidi w:val="0"/>
        <w:adjustRightInd/>
        <w:snapToGrid/>
        <w:spacing w:before="320" w:beforeLines="100" w:line="560" w:lineRule="exact"/>
        <w:jc w:val="center"/>
        <w:textAlignment w:val="auto"/>
        <w:outlineLvl w:val="9"/>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张政字〔</w:t>
      </w:r>
      <w:r>
        <w:rPr>
          <w:rFonts w:hint="eastAsia" w:ascii="仿宋_GB2312" w:hAnsi="仿宋_GB2312" w:eastAsia="仿宋_GB2312" w:cs="仿宋_GB2312"/>
          <w:spacing w:val="-6"/>
          <w:sz w:val="32"/>
          <w:szCs w:val="32"/>
        </w:rPr>
        <w:t>2020</w:t>
      </w:r>
      <w:r>
        <w:rPr>
          <w:rFonts w:ascii="Times New Roman" w:hAnsi="Times New Roman" w:eastAsia="仿宋_GB2312" w:cs="Times New Roman"/>
          <w:spacing w:val="-6"/>
          <w:sz w:val="32"/>
          <w:szCs w:val="32"/>
        </w:rPr>
        <w:t>〕</w:t>
      </w:r>
      <w:r>
        <w:rPr>
          <w:rFonts w:hint="eastAsia" w:ascii="仿宋_GB2312" w:hAnsi="仿宋_GB2312" w:eastAsia="仿宋_GB2312" w:cs="仿宋_GB2312"/>
          <w:spacing w:val="-6"/>
          <w:sz w:val="32"/>
          <w:szCs w:val="32"/>
          <w:lang w:val="en-US" w:eastAsia="zh-CN"/>
        </w:rPr>
        <w:t>26</w:t>
      </w:r>
      <w:r>
        <w:rPr>
          <w:rFonts w:ascii="Times New Roman" w:hAnsi="Times New Roman" w:eastAsia="仿宋_GB2312" w:cs="Times New Roman"/>
          <w:spacing w:val="-6"/>
          <w:sz w:val="32"/>
          <w:szCs w:val="32"/>
        </w:rPr>
        <w:t>号</w:t>
      </w:r>
    </w:p>
    <w:p>
      <w:pPr>
        <w:spacing w:line="560" w:lineRule="exact"/>
        <w:jc w:val="center"/>
        <w:rPr>
          <w:rFonts w:ascii="Times New Roman" w:hAnsi="Times New Roman" w:eastAsia="方正小标宋简体" w:cs="Times New Roman"/>
          <w:sz w:val="44"/>
          <w:szCs w:val="44"/>
        </w:rPr>
      </w:pPr>
    </w:p>
    <w:p>
      <w:pPr>
        <w:spacing w:line="560" w:lineRule="exact"/>
        <w:jc w:val="center"/>
        <w:rPr>
          <w:rFonts w:ascii="Times New Roman" w:hAnsi="Times New Roman" w:eastAsia="方正小标宋简体" w:cs="Times New Roman"/>
          <w:sz w:val="44"/>
          <w:szCs w:val="44"/>
        </w:rPr>
      </w:pP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张店区人民政府</w:t>
      </w: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关于印发《张店区创建国家级慢性病综合防控示范区工作</w:t>
      </w:r>
      <w:bookmarkStart w:id="0" w:name="_GoBack"/>
      <w:bookmarkEnd w:id="0"/>
      <w:r>
        <w:rPr>
          <w:rFonts w:ascii="Times New Roman" w:hAnsi="Times New Roman" w:eastAsia="方正小标宋简体" w:cs="Times New Roman"/>
          <w:sz w:val="44"/>
          <w:szCs w:val="44"/>
        </w:rPr>
        <w:t>方案》的通知</w:t>
      </w:r>
    </w:p>
    <w:p>
      <w:pPr>
        <w:pStyle w:val="2"/>
        <w:widowControl/>
        <w:spacing w:line="560" w:lineRule="exact"/>
        <w:rPr>
          <w:rFonts w:eastAsia="仿宋"/>
          <w:sz w:val="32"/>
          <w:szCs w:val="32"/>
        </w:rPr>
      </w:pPr>
    </w:p>
    <w:p>
      <w:pPr>
        <w:widowControl/>
        <w:spacing w:line="560" w:lineRule="exact"/>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各镇政府</w:t>
      </w:r>
      <w:r>
        <w:rPr>
          <w:rFonts w:hint="eastAsia" w:ascii="Times New Roman" w:hAnsi="Times New Roman" w:eastAsia="仿宋_GB2312" w:cs="Times New Roman"/>
          <w:spacing w:val="-6"/>
          <w:sz w:val="32"/>
          <w:szCs w:val="32"/>
        </w:rPr>
        <w:t>、</w:t>
      </w:r>
      <w:r>
        <w:rPr>
          <w:rFonts w:ascii="Times New Roman" w:hAnsi="Times New Roman" w:eastAsia="仿宋_GB2312" w:cs="Times New Roman"/>
          <w:spacing w:val="-6"/>
          <w:sz w:val="32"/>
          <w:szCs w:val="32"/>
        </w:rPr>
        <w:t>街道办事处，区政府有关部门，有关单位：</w:t>
      </w:r>
    </w:p>
    <w:p>
      <w:pPr>
        <w:widowControl/>
        <w:spacing w:line="560" w:lineRule="exact"/>
        <w:ind w:firstLine="616" w:firstLineChars="200"/>
        <w:rPr>
          <w:rFonts w:ascii="Times New Roman" w:hAnsi="Times New Roman" w:eastAsia="仿宋" w:cs="Times New Roman"/>
          <w:spacing w:val="-6"/>
          <w:sz w:val="32"/>
          <w:szCs w:val="32"/>
        </w:rPr>
      </w:pPr>
      <w:r>
        <w:rPr>
          <w:rFonts w:ascii="Times New Roman" w:hAnsi="Times New Roman" w:eastAsia="仿宋_GB2312" w:cs="Times New Roman"/>
          <w:spacing w:val="-6"/>
          <w:sz w:val="32"/>
          <w:szCs w:val="32"/>
        </w:rPr>
        <w:t>现将《张店区创建国家级慢性病综合防控示范区工作方案》</w:t>
      </w:r>
      <w:r>
        <w:rPr>
          <w:rFonts w:ascii="Times New Roman" w:hAnsi="Times New Roman" w:eastAsia="仿宋_GB2312" w:cs="Times New Roman"/>
          <w:sz w:val="32"/>
          <w:szCs w:val="32"/>
        </w:rPr>
        <w:t>印发给你们</w:t>
      </w:r>
      <w:r>
        <w:rPr>
          <w:rFonts w:ascii="Times New Roman" w:hAnsi="Times New Roman" w:eastAsia="仿宋_GB2312" w:cs="Times New Roman"/>
          <w:spacing w:val="-6"/>
          <w:sz w:val="32"/>
          <w:szCs w:val="32"/>
        </w:rPr>
        <w:t>，请认真组织实施。</w:t>
      </w:r>
    </w:p>
    <w:p>
      <w:pPr>
        <w:widowControl/>
        <w:spacing w:line="560" w:lineRule="exact"/>
        <w:ind w:firstLine="616" w:firstLineChars="200"/>
        <w:rPr>
          <w:rFonts w:ascii="Times New Roman" w:hAnsi="Times New Roman" w:eastAsia="仿宋_GB2312" w:cs="Times New Roman"/>
          <w:spacing w:val="-6"/>
          <w:sz w:val="32"/>
          <w:szCs w:val="32"/>
        </w:rPr>
      </w:pPr>
    </w:p>
    <w:p>
      <w:pPr>
        <w:widowControl/>
        <w:spacing w:line="560" w:lineRule="exact"/>
        <w:ind w:firstLine="616" w:firstLineChars="200"/>
        <w:rPr>
          <w:rFonts w:ascii="Times New Roman" w:hAnsi="Times New Roman" w:eastAsia="仿宋_GB2312" w:cs="Times New Roman"/>
          <w:spacing w:val="-6"/>
          <w:sz w:val="32"/>
          <w:szCs w:val="32"/>
        </w:rPr>
      </w:pPr>
    </w:p>
    <w:p>
      <w:pPr>
        <w:widowControl/>
        <w:spacing w:line="560" w:lineRule="exact"/>
        <w:rPr>
          <w:rFonts w:ascii="Times New Roman" w:hAnsi="Times New Roman" w:eastAsia="仿宋_GB2312" w:cs="Times New Roman"/>
          <w:spacing w:val="-6"/>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pacing w:val="-6"/>
          <w:sz w:val="32"/>
          <w:szCs w:val="32"/>
        </w:rPr>
        <w:t>淄博市张店区人民政府</w:t>
      </w:r>
    </w:p>
    <w:p>
      <w:pPr>
        <w:widowControl/>
        <w:spacing w:line="560" w:lineRule="exact"/>
        <w:ind w:firstLine="5236" w:firstLineChars="1700"/>
        <w:rPr>
          <w:rFonts w:ascii="Times New Roman" w:hAnsi="Times New Roman" w:eastAsia="仿宋" w:cs="Times New Roman"/>
          <w:sz w:val="32"/>
          <w:szCs w:val="32"/>
        </w:rPr>
      </w:pPr>
      <w:r>
        <w:rPr>
          <w:rFonts w:hint="eastAsia" w:ascii="仿宋_GB2312" w:hAnsi="仿宋_GB2312" w:eastAsia="仿宋_GB2312" w:cs="仿宋_GB2312"/>
          <w:spacing w:val="-6"/>
          <w:sz w:val="32"/>
          <w:szCs w:val="32"/>
        </w:rPr>
        <w:t>2020年6</w:t>
      </w:r>
      <w:r>
        <w:rPr>
          <w:rFonts w:ascii="Times New Roman" w:hAnsi="Times New Roman" w:eastAsia="仿宋_GB2312" w:cs="Times New Roman"/>
          <w:spacing w:val="-6"/>
          <w:sz w:val="32"/>
          <w:szCs w:val="32"/>
        </w:rPr>
        <w:t>月</w:t>
      </w:r>
      <w:r>
        <w:rPr>
          <w:rFonts w:hint="eastAsia" w:ascii="仿宋_GB2312" w:hAnsi="仿宋_GB2312" w:eastAsia="仿宋_GB2312" w:cs="仿宋_GB2312"/>
          <w:spacing w:val="-6"/>
          <w:sz w:val="32"/>
          <w:szCs w:val="32"/>
          <w:lang w:val="en-US" w:eastAsia="zh-CN"/>
        </w:rPr>
        <w:t>8</w:t>
      </w:r>
      <w:r>
        <w:rPr>
          <w:rFonts w:ascii="Times New Roman" w:hAnsi="Times New Roman" w:eastAsia="仿宋_GB2312" w:cs="Times New Roman"/>
          <w:spacing w:val="-6"/>
          <w:sz w:val="32"/>
          <w:szCs w:val="32"/>
        </w:rPr>
        <w:t>日</w:t>
      </w:r>
    </w:p>
    <w:p>
      <w:pPr>
        <w:widowControl/>
        <w:spacing w:line="560" w:lineRule="exact"/>
        <w:ind w:firstLine="616" w:firstLineChars="200"/>
        <w:rPr>
          <w:rFonts w:ascii="Times New Roman" w:hAnsi="Times New Roman" w:eastAsia="仿宋_GB2312" w:cs="Times New Roman"/>
          <w:spacing w:val="-6"/>
          <w:sz w:val="32"/>
          <w:szCs w:val="32"/>
        </w:rPr>
      </w:pPr>
      <w:r>
        <w:rPr>
          <w:rFonts w:hint="eastAsia" w:ascii="Times New Roman" w:hAnsi="Times New Roman" w:eastAsia="仿宋_GB2312" w:cs="Times New Roman"/>
          <w:spacing w:val="-6"/>
          <w:sz w:val="32"/>
          <w:szCs w:val="32"/>
        </w:rPr>
        <w:t>（</w:t>
      </w:r>
      <w:r>
        <w:rPr>
          <w:rFonts w:ascii="Times New Roman" w:hAnsi="Times New Roman" w:eastAsia="仿宋_GB2312" w:cs="Times New Roman"/>
          <w:spacing w:val="-6"/>
          <w:sz w:val="32"/>
          <w:szCs w:val="32"/>
        </w:rPr>
        <w:t>此件公开发布</w:t>
      </w:r>
      <w:r>
        <w:rPr>
          <w:rFonts w:hint="eastAsia" w:ascii="Times New Roman" w:hAnsi="Times New Roman" w:eastAsia="仿宋_GB2312" w:cs="Times New Roman"/>
          <w:spacing w:val="-6"/>
          <w:sz w:val="32"/>
          <w:szCs w:val="32"/>
        </w:rPr>
        <w:t>）</w:t>
      </w:r>
    </w:p>
    <w:p>
      <w:pPr>
        <w:pStyle w:val="2"/>
        <w:spacing w:line="560" w:lineRule="exact"/>
        <w:jc w:val="both"/>
      </w:pP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张店区创建国家级慢性病综合防控示范区</w:t>
      </w: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工作方案</w:t>
      </w:r>
    </w:p>
    <w:p>
      <w:pPr>
        <w:spacing w:line="560" w:lineRule="exact"/>
        <w:rPr>
          <w:rFonts w:ascii="Times New Roman" w:hAnsi="Times New Roman" w:eastAsia="仿宋" w:cs="Times New Roman"/>
          <w:sz w:val="32"/>
          <w:szCs w:val="32"/>
        </w:rPr>
      </w:pPr>
    </w:p>
    <w:p>
      <w:pPr>
        <w:widowControl/>
        <w:spacing w:line="560" w:lineRule="exact"/>
        <w:ind w:firstLine="616" w:firstLineChars="200"/>
        <w:rPr>
          <w:rFonts w:ascii="仿宋_GB2312" w:hAnsi="Times New Roman" w:eastAsia="仿宋_GB2312" w:cs="Times New Roman"/>
          <w:spacing w:val="-6"/>
          <w:sz w:val="32"/>
          <w:szCs w:val="32"/>
        </w:rPr>
      </w:pPr>
      <w:r>
        <w:rPr>
          <w:rFonts w:hint="eastAsia" w:ascii="仿宋_GB2312" w:hAnsi="Times New Roman" w:eastAsia="仿宋_GB2312" w:cs="Times New Roman"/>
          <w:spacing w:val="-6"/>
          <w:sz w:val="32"/>
          <w:szCs w:val="32"/>
        </w:rPr>
        <w:t>2018年12月，张店区被省卫健委重新确认为省级慢性病综合防控示范区。为贯彻落实《“健康中国2030”规划纲要》、《健康中国行动（2019-2030年》和《中国防治慢性病中长期规划（2017—2025年）》，进一步做好张店区省级慢性病综合防控示范区建设工作，推进张店区创建国家级慢性病综合防控示范区工作，不断提高全区人民健康水平，推进健康张店建设，根据省卫健委《关于印发&lt;山东省慢性非传染性疾病综合防控示范区建设管理办法（2019年版）&gt;的通知》（鲁卫疾控字〔2019〕10号）要求，结合我区实际，制定本工作方案。</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一、指导思想</w:t>
      </w:r>
    </w:p>
    <w:p>
      <w:pPr>
        <w:widowControl/>
        <w:spacing w:line="560" w:lineRule="exact"/>
        <w:ind w:firstLine="616" w:firstLineChars="200"/>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以习近平新时代中国特色社会主义思想为指导，坚持政府主导、部门协作、社会动员、全民参与的工作机制，以人民健康为中心，全面落实慢性病综合防控政策和措施，联防联控，创新工作模式，着力开展国家级慢性病综合防控示范区创建工作，不断提高全区人民健康水平，推进健康张店建设，助力健康中国行动。</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二、工作目标</w:t>
      </w:r>
    </w:p>
    <w:p>
      <w:pPr>
        <w:widowControl/>
        <w:spacing w:line="560" w:lineRule="exact"/>
        <w:ind w:firstLine="616" w:firstLineChars="200"/>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继续完善慢性病综合防控工作机制，创造和维护健康支持环境，推进健康教育和健康促进工作，创新探索适宜的慢性病综合防控工作模式，发挥医疗卫生服务体系整体功能，提供全人群生命全周期的慢性病防治管理服务，推进疾病治疗向健康管理转变，降低因慢性病造成的致残、过早死亡，有效控制慢性病疾病经济负担增长，全面推动全区慢性病综合防控工作的持续有效开展，完成慢性病综合防控示范区建设目标任务，努力争创国家级慢性病综合防控示范区。</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三、工作任务</w:t>
      </w:r>
    </w:p>
    <w:p>
      <w:pPr>
        <w:spacing w:line="560" w:lineRule="exact"/>
        <w:ind w:firstLine="480" w:firstLineChars="150"/>
        <w:rPr>
          <w:rFonts w:ascii="Times New Roman" w:hAnsi="Times New Roman" w:eastAsia="楷体_GB2312" w:cs="Times New Roman"/>
          <w:sz w:val="32"/>
          <w:szCs w:val="32"/>
        </w:rPr>
      </w:pPr>
      <w:r>
        <w:rPr>
          <w:rFonts w:ascii="Times New Roman" w:hAnsi="Times New Roman" w:eastAsia="楷体_GB2312" w:cs="Times New Roman"/>
          <w:sz w:val="32"/>
          <w:szCs w:val="32"/>
        </w:rPr>
        <w:t>（一）完善慢性病综合防控体系</w:t>
      </w:r>
    </w:p>
    <w:p>
      <w:pPr>
        <w:widowControl/>
        <w:spacing w:line="560" w:lineRule="exact"/>
        <w:ind w:firstLine="616" w:firstLineChars="200"/>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建立防治结合、分工协作、优势互补、上下联动的慢性病综合防治体系，建立完善慢性病防控服务体系和分工明确、上下联动的工作机制；建立完善信息共享、互联互通等的工作机制，推进慢性病防、治、管的整合。加强慢性病防控队伍建设，区疾病预防控制中心按职能有独立的慢性病防控科室，配备专职人员；二级以上医院设立公共卫生科，配备公共卫生专业人员，履行相应的公共卫生职责；基层医疗卫生机构加强公共卫生服务能力建设，承担所在区域慢性病防控工作。</w:t>
      </w:r>
      <w:r>
        <w:rPr>
          <w:rFonts w:ascii="楷体" w:hAnsi="楷体" w:eastAsia="楷体" w:cs="Times New Roman"/>
          <w:spacing w:val="-6"/>
          <w:sz w:val="32"/>
          <w:szCs w:val="32"/>
        </w:rPr>
        <w:t>（牵头单位：区卫生健康局 配合单位：各成员单位）</w:t>
      </w:r>
    </w:p>
    <w:p>
      <w:pPr>
        <w:spacing w:line="560" w:lineRule="exact"/>
        <w:ind w:firstLine="480" w:firstLineChars="150"/>
        <w:rPr>
          <w:rFonts w:ascii="Times New Roman" w:hAnsi="Times New Roman" w:eastAsia="楷体_GB2312" w:cs="Times New Roman"/>
          <w:sz w:val="32"/>
          <w:szCs w:val="32"/>
        </w:rPr>
      </w:pPr>
      <w:r>
        <w:rPr>
          <w:rFonts w:ascii="Times New Roman" w:hAnsi="Times New Roman" w:eastAsia="楷体_GB2312" w:cs="Times New Roman"/>
          <w:sz w:val="32"/>
          <w:szCs w:val="32"/>
        </w:rPr>
        <w:t>（二）广泛开展健康教育与健康促进工作</w:t>
      </w:r>
    </w:p>
    <w:p>
      <w:pPr>
        <w:autoSpaceDE w:val="0"/>
        <w:autoSpaceDN w:val="0"/>
        <w:adjustRightInd w:val="0"/>
        <w:spacing w:line="560" w:lineRule="exact"/>
        <w:ind w:firstLine="616"/>
        <w:rPr>
          <w:rFonts w:ascii="Times New Roman" w:hAnsi="Times New Roman" w:eastAsia="楷体" w:cs="Times New Roman"/>
          <w:spacing w:val="-6"/>
          <w:sz w:val="32"/>
          <w:szCs w:val="32"/>
        </w:rPr>
      </w:pPr>
      <w:r>
        <w:rPr>
          <w:rFonts w:ascii="仿宋_GB2312" w:hAnsi="Times New Roman" w:eastAsia="仿宋_GB2312" w:cs="仿宋_GB2312"/>
          <w:spacing w:val="-6"/>
          <w:sz w:val="32"/>
          <w:szCs w:val="32"/>
          <w:lang w:val="zh-CN"/>
        </w:rPr>
        <w:t>1.</w:t>
      </w:r>
      <w:r>
        <w:rPr>
          <w:rFonts w:hint="eastAsia" w:ascii="仿宋_GB2312" w:hAnsi="Times New Roman" w:eastAsia="仿宋_GB2312" w:cs="仿宋_GB2312"/>
          <w:spacing w:val="-6"/>
          <w:sz w:val="32"/>
          <w:szCs w:val="32"/>
          <w:lang w:val="zh-CN"/>
        </w:rPr>
        <w:t>通过多种渠道积极开展慢性病防治全民健康教育，提高居民重点慢性病核心知识知晓率和居民健康素养水平。</w:t>
      </w:r>
      <w:r>
        <w:rPr>
          <w:rFonts w:hint="eastAsia" w:ascii="楷体" w:hAnsi="Times New Roman" w:eastAsia="楷体" w:cs="楷体"/>
          <w:spacing w:val="-6"/>
          <w:sz w:val="32"/>
          <w:szCs w:val="32"/>
          <w:lang w:val="zh-CN"/>
        </w:rPr>
        <w:t>（牵头单位：区委宣传部、区融媒体中心、</w:t>
      </w:r>
      <w:r>
        <w:rPr>
          <w:rFonts w:hint="eastAsia" w:ascii="楷体" w:hAnsi="Times New Roman" w:eastAsia="楷体" w:cs="楷体"/>
          <w:sz w:val="32"/>
          <w:szCs w:val="32"/>
          <w:lang w:val="zh-CN"/>
        </w:rPr>
        <w:t>区卫生健康局</w:t>
      </w:r>
      <w:r>
        <w:rPr>
          <w:rFonts w:ascii="楷体" w:hAnsi="Times New Roman" w:eastAsia="楷体" w:cs="楷体"/>
          <w:spacing w:val="-6"/>
          <w:sz w:val="32"/>
          <w:szCs w:val="32"/>
          <w:lang w:val="zh-CN"/>
        </w:rPr>
        <w:t xml:space="preserve">  </w:t>
      </w:r>
      <w:r>
        <w:rPr>
          <w:rFonts w:hint="eastAsia" w:ascii="楷体" w:hAnsi="Times New Roman" w:eastAsia="楷体" w:cs="楷体"/>
          <w:spacing w:val="-6"/>
          <w:sz w:val="32"/>
          <w:szCs w:val="32"/>
          <w:lang w:val="zh-CN"/>
        </w:rPr>
        <w:t>配合单位：各成员单位）</w:t>
      </w:r>
    </w:p>
    <w:p>
      <w:pPr>
        <w:autoSpaceDE w:val="0"/>
        <w:autoSpaceDN w:val="0"/>
        <w:adjustRightInd w:val="0"/>
        <w:spacing w:line="560" w:lineRule="exact"/>
        <w:ind w:firstLine="616" w:firstLineChars="200"/>
        <w:rPr>
          <w:rFonts w:hint="eastAsia" w:ascii="Times New Roman" w:hAnsi="Times New Roman" w:eastAsia="楷体" w:cs="Times New Roman"/>
          <w:spacing w:val="-6"/>
          <w:sz w:val="32"/>
          <w:szCs w:val="32"/>
        </w:rPr>
      </w:pPr>
      <w:r>
        <w:rPr>
          <w:rFonts w:hint="eastAsia" w:ascii="仿宋_GB2312" w:hAnsi="Times New Roman" w:eastAsia="仿宋_GB2312" w:cs="仿宋_GB2312"/>
          <w:spacing w:val="-6"/>
          <w:sz w:val="32"/>
          <w:szCs w:val="32"/>
          <w:lang w:val="zh-CN"/>
        </w:rPr>
        <w:t>广泛开展健康教育，定期传播慢性病防治和健康素养知识和技能。</w:t>
      </w:r>
      <w:r>
        <w:rPr>
          <w:rFonts w:hint="eastAsia" w:ascii="楷体" w:hAnsi="Times New Roman" w:eastAsia="楷体" w:cs="楷体"/>
          <w:spacing w:val="-6"/>
          <w:sz w:val="32"/>
          <w:szCs w:val="32"/>
          <w:lang w:val="zh-CN"/>
        </w:rPr>
        <w:t>（牵头单位：区委宣传部</w:t>
      </w:r>
      <w:r>
        <w:rPr>
          <w:rFonts w:ascii="楷体" w:hAnsi="Times New Roman" w:eastAsia="楷体" w:cs="楷体"/>
          <w:spacing w:val="-6"/>
          <w:sz w:val="32"/>
          <w:szCs w:val="32"/>
          <w:lang w:val="zh-CN"/>
        </w:rPr>
        <w:t xml:space="preserve"> </w:t>
      </w:r>
      <w:r>
        <w:rPr>
          <w:rFonts w:hint="eastAsia" w:ascii="楷体" w:hAnsi="Times New Roman" w:eastAsia="楷体" w:cs="楷体"/>
          <w:sz w:val="32"/>
          <w:szCs w:val="32"/>
          <w:lang w:val="zh-CN"/>
        </w:rPr>
        <w:t>区卫生健康局</w:t>
      </w:r>
      <w:r>
        <w:rPr>
          <w:rFonts w:ascii="楷体" w:hAnsi="Times New Roman" w:eastAsia="楷体" w:cs="楷体"/>
          <w:spacing w:val="-6"/>
          <w:sz w:val="32"/>
          <w:szCs w:val="32"/>
          <w:lang w:val="zh-CN"/>
        </w:rPr>
        <w:t xml:space="preserve"> </w:t>
      </w:r>
      <w:r>
        <w:rPr>
          <w:rFonts w:hint="eastAsia" w:ascii="楷体" w:hAnsi="Times New Roman" w:eastAsia="楷体" w:cs="楷体"/>
          <w:spacing w:val="-6"/>
          <w:sz w:val="32"/>
          <w:szCs w:val="32"/>
          <w:lang w:val="zh-CN"/>
        </w:rPr>
        <w:t>配合单位：区融媒体中心）</w:t>
      </w:r>
    </w:p>
    <w:p>
      <w:pPr>
        <w:widowControl/>
        <w:spacing w:line="560" w:lineRule="exact"/>
        <w:ind w:firstLine="616" w:firstLineChars="200"/>
        <w:rPr>
          <w:rFonts w:ascii="楷体" w:hAnsi="楷体" w:eastAsia="楷体" w:cs="Times New Roman"/>
          <w:spacing w:val="-6"/>
          <w:sz w:val="32"/>
          <w:szCs w:val="32"/>
        </w:rPr>
      </w:pPr>
      <w:r>
        <w:rPr>
          <w:rFonts w:ascii="Times New Roman" w:hAnsi="Times New Roman" w:eastAsia="仿宋_GB2312" w:cs="Times New Roman"/>
          <w:spacing w:val="-6"/>
          <w:sz w:val="32"/>
          <w:szCs w:val="32"/>
        </w:rPr>
        <w:t>开展社会性大型健康日活动，扩大传播慢性病防治和慢病健康素养知识和技能的范围。</w:t>
      </w:r>
      <w:r>
        <w:rPr>
          <w:rFonts w:ascii="楷体" w:hAnsi="楷体" w:eastAsia="楷体" w:cs="Times New Roman"/>
          <w:spacing w:val="-6"/>
          <w:sz w:val="32"/>
          <w:szCs w:val="32"/>
        </w:rPr>
        <w:t>（牵头单位：</w:t>
      </w:r>
      <w:r>
        <w:rPr>
          <w:rFonts w:ascii="楷体" w:hAnsi="楷体" w:eastAsia="楷体" w:cs="Times New Roman"/>
          <w:sz w:val="32"/>
          <w:szCs w:val="32"/>
        </w:rPr>
        <w:t>区卫生健康局</w:t>
      </w:r>
      <w:r>
        <w:rPr>
          <w:rFonts w:ascii="楷体" w:hAnsi="楷体" w:eastAsia="楷体" w:cs="Times New Roman"/>
          <w:spacing w:val="-6"/>
          <w:sz w:val="32"/>
          <w:szCs w:val="32"/>
        </w:rPr>
        <w:t>）</w:t>
      </w:r>
      <w:r>
        <w:rPr>
          <w:rFonts w:ascii="Times New Roman" w:hAnsi="Times New Roman" w:eastAsia="仿宋_GB2312" w:cs="Times New Roman"/>
          <w:spacing w:val="-6"/>
          <w:sz w:val="32"/>
          <w:szCs w:val="32"/>
        </w:rPr>
        <w:t>各社区设有健康教育宣传阵地，向居民普及慢性病防控的知识与技能。</w:t>
      </w:r>
      <w:r>
        <w:rPr>
          <w:rFonts w:ascii="楷体" w:hAnsi="楷体" w:eastAsia="楷体" w:cs="Times New Roman"/>
          <w:spacing w:val="-6"/>
          <w:sz w:val="32"/>
          <w:szCs w:val="32"/>
        </w:rPr>
        <w:t>（牵头单位：各镇政府、街道办事处）</w:t>
      </w:r>
      <w:r>
        <w:rPr>
          <w:rFonts w:ascii="Times New Roman" w:hAnsi="Times New Roman" w:eastAsia="仿宋_GB2312" w:cs="Times New Roman"/>
          <w:spacing w:val="-6"/>
          <w:sz w:val="32"/>
          <w:szCs w:val="32"/>
        </w:rPr>
        <w:t>开展幼儿园、中小学校健康行为方式教育。</w:t>
      </w:r>
      <w:r>
        <w:rPr>
          <w:rFonts w:ascii="楷体" w:hAnsi="楷体" w:eastAsia="楷体" w:cs="Times New Roman"/>
          <w:spacing w:val="-6"/>
          <w:sz w:val="32"/>
          <w:szCs w:val="32"/>
        </w:rPr>
        <w:t>（牵头单位：区</w:t>
      </w:r>
      <w:r>
        <w:rPr>
          <w:rFonts w:hint="eastAsia" w:ascii="楷体" w:hAnsi="楷体" w:eastAsia="楷体" w:cs="Times New Roman"/>
          <w:spacing w:val="-6"/>
          <w:sz w:val="32"/>
          <w:szCs w:val="32"/>
        </w:rPr>
        <w:t>教育和体育</w:t>
      </w:r>
      <w:r>
        <w:rPr>
          <w:rFonts w:ascii="楷体" w:hAnsi="楷体" w:eastAsia="楷体" w:cs="Times New Roman"/>
          <w:spacing w:val="-6"/>
          <w:sz w:val="32"/>
          <w:szCs w:val="32"/>
        </w:rPr>
        <w:t>局）</w:t>
      </w:r>
    </w:p>
    <w:p>
      <w:pPr>
        <w:widowControl/>
        <w:spacing w:line="560" w:lineRule="exact"/>
        <w:ind w:firstLine="616" w:firstLineChars="200"/>
        <w:rPr>
          <w:rFonts w:ascii="楷体" w:hAnsi="楷体" w:eastAsia="楷体" w:cs="Times New Roman"/>
          <w:spacing w:val="-6"/>
          <w:sz w:val="32"/>
          <w:szCs w:val="32"/>
        </w:rPr>
      </w:pPr>
      <w:r>
        <w:rPr>
          <w:rFonts w:hint="eastAsia" w:ascii="仿宋_GB2312" w:hAnsi="仿宋_GB2312" w:eastAsia="仿宋_GB2312" w:cs="仿宋_GB2312"/>
          <w:spacing w:val="-6"/>
          <w:sz w:val="32"/>
          <w:szCs w:val="32"/>
        </w:rPr>
        <w:t>2.发挥</w:t>
      </w:r>
      <w:r>
        <w:rPr>
          <w:rFonts w:ascii="Times New Roman" w:hAnsi="Times New Roman" w:eastAsia="仿宋_GB2312" w:cs="Times New Roman"/>
          <w:spacing w:val="-6"/>
          <w:sz w:val="32"/>
          <w:szCs w:val="32"/>
        </w:rPr>
        <w:t>社会团体和群众组织在慢性病防控中的积极作用。开展群众性健身运动。每年至少开</w:t>
      </w:r>
      <w:r>
        <w:rPr>
          <w:rFonts w:hint="eastAsia" w:ascii="仿宋_GB2312" w:hAnsi="仿宋_GB2312" w:eastAsia="仿宋_GB2312" w:cs="仿宋_GB2312"/>
          <w:spacing w:val="-6"/>
          <w:sz w:val="32"/>
          <w:szCs w:val="32"/>
        </w:rPr>
        <w:t>展1</w:t>
      </w:r>
      <w:r>
        <w:rPr>
          <w:rFonts w:ascii="Times New Roman" w:hAnsi="Times New Roman" w:eastAsia="仿宋_GB2312" w:cs="Times New Roman"/>
          <w:spacing w:val="-6"/>
          <w:sz w:val="32"/>
          <w:szCs w:val="32"/>
        </w:rPr>
        <w:t>次多部门组织的集体性健身活动。</w:t>
      </w:r>
      <w:r>
        <w:rPr>
          <w:rFonts w:ascii="楷体" w:hAnsi="楷体" w:eastAsia="楷体" w:cs="Times New Roman"/>
          <w:spacing w:val="-6"/>
          <w:sz w:val="32"/>
          <w:szCs w:val="32"/>
        </w:rPr>
        <w:t>（牵头单位：区</w:t>
      </w:r>
      <w:r>
        <w:rPr>
          <w:rFonts w:hint="eastAsia" w:ascii="楷体" w:hAnsi="楷体" w:eastAsia="楷体" w:cs="Times New Roman"/>
          <w:spacing w:val="-6"/>
          <w:sz w:val="32"/>
          <w:szCs w:val="32"/>
        </w:rPr>
        <w:t>教育和体育</w:t>
      </w:r>
      <w:r>
        <w:rPr>
          <w:rFonts w:ascii="楷体" w:hAnsi="楷体" w:eastAsia="楷体" w:cs="Times New Roman"/>
          <w:spacing w:val="-6"/>
          <w:sz w:val="32"/>
          <w:szCs w:val="32"/>
        </w:rPr>
        <w:t>局 配合单位：区总工会、各成员单位）</w:t>
      </w:r>
      <w:r>
        <w:rPr>
          <w:rFonts w:ascii="Times New Roman" w:hAnsi="Times New Roman" w:eastAsia="仿宋_GB2312" w:cs="Times New Roman"/>
          <w:spacing w:val="-6"/>
          <w:sz w:val="32"/>
          <w:szCs w:val="32"/>
        </w:rPr>
        <w:t>鼓励社区慢性病患者积极参与社区自我健康管理活动。</w:t>
      </w:r>
      <w:r>
        <w:rPr>
          <w:rFonts w:ascii="楷体" w:hAnsi="楷体" w:eastAsia="楷体" w:cs="Times New Roman"/>
          <w:spacing w:val="-6"/>
          <w:sz w:val="32"/>
          <w:szCs w:val="32"/>
        </w:rPr>
        <w:t>（牵头单位：</w:t>
      </w:r>
      <w:r>
        <w:rPr>
          <w:rFonts w:hint="eastAsia" w:ascii="楷体" w:hAnsi="楷体" w:eastAsia="楷体" w:cs="Times New Roman"/>
          <w:spacing w:val="-6"/>
          <w:sz w:val="32"/>
          <w:szCs w:val="32"/>
        </w:rPr>
        <w:t>区卫生健康局</w:t>
      </w:r>
      <w:r>
        <w:rPr>
          <w:rFonts w:ascii="楷体" w:hAnsi="楷体" w:eastAsia="楷体" w:cs="Times New Roman"/>
          <w:spacing w:val="-6"/>
          <w:sz w:val="32"/>
          <w:szCs w:val="32"/>
        </w:rPr>
        <w:t xml:space="preserve"> 、各镇政府、街道办事处）</w:t>
      </w:r>
    </w:p>
    <w:p>
      <w:pPr>
        <w:spacing w:line="560" w:lineRule="exact"/>
        <w:ind w:firstLine="480" w:firstLineChars="150"/>
        <w:rPr>
          <w:rFonts w:ascii="Times New Roman" w:hAnsi="Times New Roman" w:eastAsia="楷体_GB2312" w:cs="Times New Roman"/>
          <w:sz w:val="32"/>
          <w:szCs w:val="32"/>
        </w:rPr>
      </w:pPr>
      <w:r>
        <w:rPr>
          <w:rFonts w:ascii="Times New Roman" w:hAnsi="Times New Roman" w:eastAsia="楷体_GB2312" w:cs="Times New Roman"/>
          <w:sz w:val="32"/>
          <w:szCs w:val="32"/>
        </w:rPr>
        <w:t>（三）慢性病全程管理</w:t>
      </w:r>
    </w:p>
    <w:p>
      <w:pPr>
        <w:spacing w:line="560" w:lineRule="exact"/>
        <w:ind w:firstLine="616" w:firstLineChars="200"/>
        <w:rPr>
          <w:rFonts w:ascii="楷体" w:hAnsi="楷体" w:eastAsia="楷体" w:cs="Times New Roman"/>
          <w:sz w:val="32"/>
          <w:szCs w:val="32"/>
        </w:rPr>
      </w:pPr>
      <w:r>
        <w:rPr>
          <w:rFonts w:hint="eastAsia" w:ascii="仿宋_GB2312" w:hAnsi="仿宋_GB2312" w:eastAsia="仿宋_GB2312" w:cs="仿宋_GB2312"/>
          <w:spacing w:val="-6"/>
          <w:sz w:val="32"/>
          <w:szCs w:val="32"/>
        </w:rPr>
        <w:t>1.规</w:t>
      </w:r>
      <w:r>
        <w:rPr>
          <w:rFonts w:ascii="Times New Roman" w:hAnsi="Times New Roman" w:eastAsia="仿宋_GB2312" w:cs="Times New Roman"/>
          <w:sz w:val="32"/>
          <w:szCs w:val="32"/>
        </w:rPr>
        <w:t>范健康体检，开展高危人群筛查与干预，加强癌症、心脑血管疾病等重大慢性病的早期发现与管理，开展学生、老年人等重点人群和职工定期健康体检和健康指导；应用推广成熟的适宜技术，早期发现诊治患者，及时纳入基本公共卫生服务管理。建立分级诊疗制度，推进家庭医生签约服务，开展高血压、糖尿病等重点慢性病规范化管理，开展基层首诊、双向转诊、急慢分治、上下联动的慢性病分级诊疗服务；实施高血压达标行动，推进家庭医生签约服务，签约团队负责提供约定的基本医疗、公共卫生和健康管理服务；提</w:t>
      </w:r>
      <w:r>
        <w:rPr>
          <w:rFonts w:hint="eastAsia" w:ascii="仿宋_GB2312" w:hAnsi="仿宋_GB2312" w:eastAsia="仿宋_GB2312" w:cs="仿宋_GB2312"/>
          <w:spacing w:val="-6"/>
          <w:sz w:val="32"/>
          <w:szCs w:val="32"/>
        </w:rPr>
        <w:t>高18岁以上人群高血压、糖尿病知晓率；提高35岁以上人群高血压、</w:t>
      </w:r>
      <w:r>
        <w:rPr>
          <w:rFonts w:ascii="Times New Roman" w:hAnsi="Times New Roman" w:eastAsia="仿宋_GB2312" w:cs="Times New Roman"/>
          <w:sz w:val="32"/>
          <w:szCs w:val="32"/>
        </w:rPr>
        <w:t>糖尿病患者管理率；提高管理人群高血压、糖尿病患者的控制率。</w:t>
      </w:r>
      <w:r>
        <w:rPr>
          <w:rFonts w:ascii="楷体" w:hAnsi="楷体" w:eastAsia="楷体" w:cs="Times New Roman"/>
          <w:sz w:val="32"/>
          <w:szCs w:val="32"/>
        </w:rPr>
        <w:t>（牵头单位：区卫生健康局）</w:t>
      </w:r>
    </w:p>
    <w:p>
      <w:pPr>
        <w:spacing w:line="560" w:lineRule="exact"/>
        <w:ind w:firstLine="616" w:firstLineChars="200"/>
        <w:rPr>
          <w:rFonts w:ascii="Times New Roman" w:hAnsi="Times New Roman" w:eastAsia="仿宋_GB2312" w:cs="Times New Roman"/>
          <w:sz w:val="32"/>
          <w:szCs w:val="32"/>
        </w:rPr>
      </w:pPr>
      <w:r>
        <w:rPr>
          <w:rFonts w:hint="eastAsia" w:ascii="仿宋_GB2312" w:hAnsi="仿宋_GB2312" w:eastAsia="仿宋_GB2312" w:cs="仿宋_GB2312"/>
          <w:spacing w:val="-6"/>
          <w:sz w:val="32"/>
          <w:szCs w:val="32"/>
        </w:rPr>
        <w:t>2.</w:t>
      </w:r>
      <w:r>
        <w:rPr>
          <w:rFonts w:ascii="Times New Roman" w:hAnsi="Times New Roman" w:eastAsia="仿宋_GB2312" w:cs="Times New Roman"/>
          <w:sz w:val="32"/>
          <w:szCs w:val="32"/>
        </w:rPr>
        <w:t>在重点人群中开展口腔疾病防治。中小学校及托幼机构限制销售高糖饮料和零食。</w:t>
      </w:r>
      <w:r>
        <w:rPr>
          <w:rFonts w:ascii="楷体" w:hAnsi="楷体" w:eastAsia="楷体" w:cs="Times New Roman"/>
          <w:sz w:val="32"/>
          <w:szCs w:val="32"/>
        </w:rPr>
        <w:t>（牵头单位：</w:t>
      </w:r>
      <w:r>
        <w:rPr>
          <w:rFonts w:ascii="楷体" w:hAnsi="楷体" w:eastAsia="楷体" w:cs="Times New Roman"/>
          <w:spacing w:val="-6"/>
          <w:sz w:val="32"/>
          <w:szCs w:val="32"/>
        </w:rPr>
        <w:t>区</w:t>
      </w:r>
      <w:r>
        <w:rPr>
          <w:rFonts w:hint="eastAsia" w:ascii="楷体" w:hAnsi="楷体" w:eastAsia="楷体" w:cs="Times New Roman"/>
          <w:spacing w:val="-6"/>
          <w:sz w:val="32"/>
          <w:szCs w:val="32"/>
        </w:rPr>
        <w:t>教育和体育</w:t>
      </w:r>
      <w:r>
        <w:rPr>
          <w:rFonts w:ascii="楷体" w:hAnsi="楷体" w:eastAsia="楷体" w:cs="Times New Roman"/>
          <w:spacing w:val="-6"/>
          <w:sz w:val="32"/>
          <w:szCs w:val="32"/>
        </w:rPr>
        <w:t>局</w:t>
      </w:r>
      <w:r>
        <w:rPr>
          <w:rFonts w:ascii="楷体" w:hAnsi="楷体" w:eastAsia="楷体" w:cs="Times New Roman"/>
          <w:sz w:val="32"/>
          <w:szCs w:val="32"/>
        </w:rPr>
        <w:t xml:space="preserve"> 配合单位：区市场监管局）</w:t>
      </w:r>
      <w:r>
        <w:rPr>
          <w:rFonts w:ascii="Times New Roman" w:hAnsi="Times New Roman" w:eastAsia="仿宋_GB2312" w:cs="Times New Roman"/>
          <w:sz w:val="32"/>
          <w:szCs w:val="32"/>
        </w:rPr>
        <w:t>实施儿童窝沟封闭，控制</w:t>
      </w:r>
      <w:r>
        <w:rPr>
          <w:rFonts w:hint="eastAsia" w:ascii="仿宋_GB2312" w:hAnsi="仿宋_GB2312" w:eastAsia="仿宋_GB2312" w:cs="仿宋_GB2312"/>
          <w:spacing w:val="-6"/>
          <w:sz w:val="32"/>
          <w:szCs w:val="32"/>
        </w:rPr>
        <w:t>12</w:t>
      </w:r>
      <w:r>
        <w:rPr>
          <w:rFonts w:ascii="Times New Roman" w:hAnsi="Times New Roman" w:eastAsia="仿宋_GB2312" w:cs="Times New Roman"/>
          <w:sz w:val="32"/>
          <w:szCs w:val="32"/>
        </w:rPr>
        <w:t>岁儿童患龋率；建立完善口腔健康服务体系。</w:t>
      </w:r>
      <w:r>
        <w:rPr>
          <w:rFonts w:ascii="楷体" w:hAnsi="楷体" w:eastAsia="楷体" w:cs="Times New Roman"/>
          <w:sz w:val="32"/>
          <w:szCs w:val="32"/>
        </w:rPr>
        <w:t>（牵头单位：区卫生健康局 配合单位：区</w:t>
      </w:r>
      <w:r>
        <w:rPr>
          <w:rFonts w:hint="eastAsia" w:ascii="楷体" w:hAnsi="楷体" w:eastAsia="楷体" w:cs="Times New Roman"/>
          <w:spacing w:val="-6"/>
          <w:sz w:val="32"/>
          <w:szCs w:val="32"/>
        </w:rPr>
        <w:t>教育和体育</w:t>
      </w:r>
      <w:r>
        <w:rPr>
          <w:rFonts w:ascii="楷体" w:hAnsi="楷体" w:eastAsia="楷体" w:cs="Times New Roman"/>
          <w:spacing w:val="-6"/>
          <w:sz w:val="32"/>
          <w:szCs w:val="32"/>
        </w:rPr>
        <w:t>局</w:t>
      </w:r>
      <w:r>
        <w:rPr>
          <w:rFonts w:ascii="楷体" w:hAnsi="楷体" w:eastAsia="楷体" w:cs="Times New Roman"/>
          <w:sz w:val="32"/>
          <w:szCs w:val="32"/>
        </w:rPr>
        <w:t>）</w:t>
      </w:r>
    </w:p>
    <w:p>
      <w:pPr>
        <w:spacing w:line="560" w:lineRule="exact"/>
        <w:ind w:firstLine="616" w:firstLineChars="200"/>
        <w:rPr>
          <w:rFonts w:ascii="楷体" w:hAnsi="楷体" w:eastAsia="楷体" w:cs="Times New Roman"/>
          <w:sz w:val="32"/>
          <w:szCs w:val="32"/>
        </w:rPr>
      </w:pPr>
      <w:r>
        <w:rPr>
          <w:rFonts w:hint="eastAsia" w:ascii="仿宋_GB2312" w:hAnsi="仿宋_GB2312" w:eastAsia="仿宋_GB2312" w:cs="仿宋_GB2312"/>
          <w:spacing w:val="-6"/>
          <w:sz w:val="32"/>
          <w:szCs w:val="32"/>
        </w:rPr>
        <w:t>3.</w:t>
      </w:r>
      <w:r>
        <w:rPr>
          <w:rFonts w:ascii="Times New Roman" w:hAnsi="Times New Roman" w:eastAsia="仿宋_GB2312" w:cs="Times New Roman"/>
          <w:sz w:val="32"/>
          <w:szCs w:val="32"/>
        </w:rPr>
        <w:t>完善区域信息平台，实现医疗卫生机构间互联互通、协同应用。建立区域卫生信息平台，实现公共卫生服务、诊疗信息互联互通、协同应用；应用互联网+、健康大数据提供便捷、高效的健康管理服务。中西医并重，发挥中医药在慢性病预防、保健、诊疗、康复中的作用，各社区卫生服务中心、镇卫生院有中医综合服务区；开展中医药养生保健知识的宣传及中医适宜技术推广。</w:t>
      </w:r>
      <w:r>
        <w:rPr>
          <w:rFonts w:ascii="楷体" w:hAnsi="楷体" w:eastAsia="楷体" w:cs="Times New Roman"/>
          <w:sz w:val="32"/>
          <w:szCs w:val="32"/>
        </w:rPr>
        <w:t>（牵头单位：区卫生健康局、区大数据中心）</w:t>
      </w:r>
    </w:p>
    <w:p>
      <w:pPr>
        <w:spacing w:line="560" w:lineRule="exact"/>
        <w:ind w:firstLine="616" w:firstLineChars="200"/>
        <w:rPr>
          <w:rFonts w:ascii="Times New Roman" w:hAnsi="Times New Roman" w:eastAsia="仿宋_GB2312" w:cs="Times New Roman"/>
          <w:sz w:val="32"/>
          <w:szCs w:val="32"/>
        </w:rPr>
      </w:pPr>
      <w:r>
        <w:rPr>
          <w:rFonts w:hint="eastAsia" w:ascii="仿宋_GB2312" w:hAnsi="仿宋_GB2312" w:eastAsia="仿宋_GB2312" w:cs="仿宋_GB2312"/>
          <w:spacing w:val="-6"/>
          <w:sz w:val="32"/>
          <w:szCs w:val="32"/>
        </w:rPr>
        <w:t>4.</w:t>
      </w:r>
      <w:r>
        <w:rPr>
          <w:rFonts w:ascii="Times New Roman" w:hAnsi="Times New Roman" w:eastAsia="仿宋_GB2312" w:cs="Times New Roman"/>
          <w:sz w:val="32"/>
          <w:szCs w:val="32"/>
        </w:rPr>
        <w:t>做好基本医疗保险、城乡居民大病保险和医疗救助重大疾病保障的衔接，保障药品供应。基层医疗卫生机构配备国家或省相关指南、推荐方案建议的高血压、糖尿病等重点慢性病治疗药品，优先使用基本药物。</w:t>
      </w:r>
      <w:r>
        <w:rPr>
          <w:rFonts w:ascii="楷体" w:hAnsi="楷体" w:eastAsia="楷体" w:cs="Times New Roman"/>
          <w:sz w:val="32"/>
          <w:szCs w:val="32"/>
        </w:rPr>
        <w:t>（牵头单位：</w:t>
      </w:r>
      <w:r>
        <w:rPr>
          <w:rFonts w:hint="eastAsia" w:ascii="楷体" w:hAnsi="楷体" w:eastAsia="楷体" w:cs="Times New Roman"/>
          <w:sz w:val="32"/>
          <w:szCs w:val="32"/>
        </w:rPr>
        <w:t>市</w:t>
      </w:r>
      <w:r>
        <w:rPr>
          <w:rFonts w:ascii="楷体" w:hAnsi="楷体" w:eastAsia="楷体" w:cs="Times New Roman"/>
          <w:sz w:val="32"/>
          <w:szCs w:val="32"/>
        </w:rPr>
        <w:t>医疗保障局</w:t>
      </w:r>
      <w:r>
        <w:rPr>
          <w:rFonts w:hint="eastAsia" w:ascii="楷体" w:hAnsi="楷体" w:eastAsia="楷体" w:cs="Times New Roman"/>
          <w:sz w:val="32"/>
          <w:szCs w:val="32"/>
        </w:rPr>
        <w:t>张店分局</w:t>
      </w:r>
      <w:r>
        <w:rPr>
          <w:rFonts w:ascii="楷体" w:hAnsi="楷体" w:eastAsia="楷体" w:cs="Times New Roman"/>
          <w:sz w:val="32"/>
          <w:szCs w:val="32"/>
        </w:rPr>
        <w:t xml:space="preserve"> 配合单位：区卫生健康局）</w:t>
      </w:r>
    </w:p>
    <w:p>
      <w:pPr>
        <w:spacing w:line="560" w:lineRule="exact"/>
        <w:ind w:firstLine="616" w:firstLineChars="200"/>
        <w:rPr>
          <w:rFonts w:ascii="Times New Roman" w:hAnsi="Times New Roman" w:eastAsia="仿宋_GB2312" w:cs="Times New Roman"/>
          <w:sz w:val="32"/>
          <w:szCs w:val="32"/>
        </w:rPr>
      </w:pPr>
      <w:r>
        <w:rPr>
          <w:rFonts w:hint="eastAsia" w:ascii="仿宋_GB2312" w:hAnsi="仿宋_GB2312" w:eastAsia="仿宋_GB2312" w:cs="仿宋_GB2312"/>
          <w:spacing w:val="-6"/>
          <w:sz w:val="32"/>
          <w:szCs w:val="32"/>
        </w:rPr>
        <w:t>5.</w:t>
      </w:r>
      <w:r>
        <w:rPr>
          <w:rFonts w:ascii="Times New Roman" w:hAnsi="Times New Roman" w:eastAsia="仿宋_GB2312" w:cs="Times New Roman"/>
          <w:sz w:val="32"/>
          <w:szCs w:val="32"/>
        </w:rPr>
        <w:t>动员社会力量参与慢性病防控工作，促进医养结合。政府引导、市场驱动、社会力量参与，为慢性病患者提供健康管理服务；促进慢性病全程防治管理服务与居家养老、社区养老和机构养老服务融合。</w:t>
      </w:r>
      <w:r>
        <w:rPr>
          <w:rFonts w:ascii="楷体" w:hAnsi="楷体" w:eastAsia="楷体" w:cs="Times New Roman"/>
          <w:sz w:val="32"/>
          <w:szCs w:val="32"/>
        </w:rPr>
        <w:t>（牵头单位：区民政局、区卫生健康局、</w:t>
      </w:r>
      <w:r>
        <w:rPr>
          <w:rFonts w:hint="eastAsia" w:ascii="楷体" w:hAnsi="楷体" w:eastAsia="楷体" w:cs="Times New Roman"/>
          <w:sz w:val="32"/>
          <w:szCs w:val="32"/>
        </w:rPr>
        <w:t>市</w:t>
      </w:r>
      <w:r>
        <w:rPr>
          <w:rFonts w:ascii="楷体" w:hAnsi="楷体" w:eastAsia="楷体" w:cs="Times New Roman"/>
          <w:sz w:val="32"/>
          <w:szCs w:val="32"/>
        </w:rPr>
        <w:t>医疗保障局</w:t>
      </w:r>
      <w:r>
        <w:rPr>
          <w:rFonts w:hint="eastAsia" w:ascii="楷体" w:hAnsi="楷体" w:eastAsia="楷体" w:cs="Times New Roman"/>
          <w:sz w:val="32"/>
          <w:szCs w:val="32"/>
        </w:rPr>
        <w:t>张店分局</w:t>
      </w:r>
      <w:r>
        <w:rPr>
          <w:rFonts w:ascii="楷体" w:hAnsi="楷体" w:eastAsia="楷体" w:cs="Times New Roman"/>
          <w:sz w:val="32"/>
          <w:szCs w:val="32"/>
        </w:rPr>
        <w:t xml:space="preserve">  配合单位：各成员单位）</w:t>
      </w:r>
    </w:p>
    <w:p>
      <w:pPr>
        <w:spacing w:line="560" w:lineRule="exact"/>
        <w:rPr>
          <w:rFonts w:ascii="Times New Roman" w:hAnsi="Times New Roman" w:eastAsia="楷体_GB2312" w:cs="Times New Roman"/>
          <w:sz w:val="32"/>
          <w:szCs w:val="32"/>
        </w:rPr>
      </w:pPr>
      <w:r>
        <w:rPr>
          <w:rFonts w:ascii="Times New Roman" w:hAnsi="Times New Roman" w:eastAsia="楷体_GB2312" w:cs="Times New Roman"/>
          <w:sz w:val="32"/>
          <w:szCs w:val="32"/>
        </w:rPr>
        <w:t xml:space="preserve">   （四）完善政策保障机制</w:t>
      </w:r>
    </w:p>
    <w:p>
      <w:pPr>
        <w:spacing w:line="560" w:lineRule="exact"/>
        <w:ind w:firstLine="616" w:firstLineChars="200"/>
        <w:rPr>
          <w:rFonts w:ascii="Times New Roman" w:hAnsi="Times New Roman" w:eastAsia="仿宋_GB2312" w:cs="Times New Roman"/>
          <w:sz w:val="32"/>
          <w:szCs w:val="32"/>
        </w:rPr>
      </w:pPr>
      <w:r>
        <w:rPr>
          <w:rFonts w:hint="eastAsia" w:ascii="仿宋_GB2312" w:hAnsi="仿宋_GB2312" w:eastAsia="仿宋_GB2312" w:cs="仿宋_GB2312"/>
          <w:spacing w:val="-6"/>
          <w:sz w:val="32"/>
          <w:szCs w:val="32"/>
        </w:rPr>
        <w:t>1.</w:t>
      </w:r>
      <w:r>
        <w:rPr>
          <w:rFonts w:ascii="Times New Roman" w:hAnsi="Times New Roman" w:eastAsia="仿宋_GB2312" w:cs="Times New Roman"/>
          <w:sz w:val="32"/>
          <w:szCs w:val="32"/>
        </w:rPr>
        <w:t>发挥政府主导作用，建立多部门协作联动机制。</w:t>
      </w:r>
      <w:r>
        <w:rPr>
          <w:rFonts w:hint="eastAsia" w:ascii="Times New Roman" w:hAnsi="Times New Roman" w:eastAsia="仿宋_GB2312" w:cs="Times New Roman"/>
          <w:sz w:val="32"/>
          <w:szCs w:val="32"/>
          <w:lang w:eastAsia="zh-CN"/>
        </w:rPr>
        <w:t>完善领导机制</w:t>
      </w:r>
      <w:r>
        <w:rPr>
          <w:rFonts w:ascii="Times New Roman" w:hAnsi="Times New Roman" w:eastAsia="仿宋_GB2312" w:cs="Times New Roman"/>
          <w:sz w:val="32"/>
          <w:szCs w:val="32"/>
        </w:rPr>
        <w:t>，明确部门职责，建立完善的信息反馈沟通制度。慢性病防控融入各部门政策，包括烟草控制、降低有害饮酒、营养干预、控制体重、全民健身等慢性病危险因素干预、疾病管理相关的政策和干预措施。建立工作调研或督导制度，开展示范区建设的多部门联合调研或督导。</w:t>
      </w:r>
      <w:r>
        <w:rPr>
          <w:rFonts w:ascii="楷体" w:hAnsi="楷体" w:eastAsia="楷体" w:cs="Times New Roman"/>
          <w:sz w:val="32"/>
          <w:szCs w:val="32"/>
        </w:rPr>
        <w:t>（牵头单位：区政府办公室、区卫生健康局 配合单位：各成员单位）</w:t>
      </w:r>
    </w:p>
    <w:p>
      <w:pPr>
        <w:spacing w:line="560" w:lineRule="exact"/>
        <w:ind w:firstLine="640" w:firstLineChars="200"/>
        <w:rPr>
          <w:rFonts w:ascii="楷体" w:hAnsi="楷体" w:eastAsia="楷体" w:cs="Times New Roman"/>
          <w:sz w:val="32"/>
          <w:szCs w:val="32"/>
        </w:rPr>
      </w:pPr>
      <w:r>
        <w:rPr>
          <w:rFonts w:ascii="Times New Roman" w:hAnsi="Times New Roman" w:eastAsia="仿宋_GB2312" w:cs="Times New Roman"/>
          <w:sz w:val="32"/>
          <w:szCs w:val="32"/>
        </w:rPr>
        <w:t>区政府将慢性病防控工作纳入当地经济社会发展规划。</w:t>
      </w:r>
      <w:r>
        <w:rPr>
          <w:rFonts w:ascii="楷体" w:hAnsi="楷体" w:eastAsia="楷体" w:cs="Times New Roman"/>
          <w:sz w:val="32"/>
          <w:szCs w:val="32"/>
        </w:rPr>
        <w:t>（牵头单位：区</w:t>
      </w:r>
      <w:r>
        <w:rPr>
          <w:rFonts w:hint="eastAsia" w:ascii="楷体" w:hAnsi="楷体" w:eastAsia="楷体" w:cs="Times New Roman"/>
          <w:sz w:val="32"/>
          <w:szCs w:val="32"/>
        </w:rPr>
        <w:t>发展改革</w:t>
      </w:r>
      <w:r>
        <w:rPr>
          <w:rFonts w:ascii="楷体" w:hAnsi="楷体" w:eastAsia="楷体" w:cs="Times New Roman"/>
          <w:sz w:val="32"/>
          <w:szCs w:val="32"/>
        </w:rPr>
        <w:t>局）</w:t>
      </w:r>
    </w:p>
    <w:p>
      <w:pPr>
        <w:spacing w:line="560" w:lineRule="exact"/>
        <w:ind w:firstLine="616" w:firstLineChars="200"/>
        <w:rPr>
          <w:rFonts w:ascii="Times New Roman" w:hAnsi="Times New Roman" w:eastAsia="仿宋_GB2312" w:cs="Times New Roman"/>
          <w:sz w:val="32"/>
          <w:szCs w:val="32"/>
        </w:rPr>
      </w:pPr>
      <w:r>
        <w:rPr>
          <w:rFonts w:hint="eastAsia" w:ascii="仿宋_GB2312" w:hAnsi="仿宋_GB2312" w:eastAsia="仿宋_GB2312" w:cs="仿宋_GB2312"/>
          <w:spacing w:val="-6"/>
          <w:sz w:val="32"/>
          <w:szCs w:val="32"/>
        </w:rPr>
        <w:t>2.</w:t>
      </w:r>
      <w:r>
        <w:rPr>
          <w:rFonts w:ascii="Times New Roman" w:hAnsi="Times New Roman" w:eastAsia="仿宋_GB2312" w:cs="Times New Roman"/>
          <w:sz w:val="32"/>
          <w:szCs w:val="32"/>
        </w:rPr>
        <w:t>保障慢性病防控经费。慢性病防控工作经费纳入政府年度预算、决算管理。按规划、计划拨付示范区建设专项工作经费，专款专用。保障疾控机构的慢性病防控工作经费。</w:t>
      </w:r>
      <w:r>
        <w:rPr>
          <w:rFonts w:ascii="楷体" w:hAnsi="楷体" w:eastAsia="楷体" w:cs="Times New Roman"/>
          <w:sz w:val="32"/>
          <w:szCs w:val="32"/>
        </w:rPr>
        <w:t>（牵头单位：区财政局）</w:t>
      </w:r>
    </w:p>
    <w:p>
      <w:pPr>
        <w:spacing w:line="560" w:lineRule="exact"/>
        <w:ind w:firstLine="616" w:firstLineChars="200"/>
        <w:rPr>
          <w:rFonts w:ascii="Times New Roman" w:hAnsi="Times New Roman" w:eastAsia="仿宋_GB2312" w:cs="Times New Roman"/>
          <w:sz w:val="32"/>
          <w:szCs w:val="32"/>
        </w:rPr>
      </w:pPr>
      <w:r>
        <w:rPr>
          <w:rFonts w:hint="eastAsia" w:ascii="仿宋_GB2312" w:hAnsi="仿宋_GB2312" w:eastAsia="仿宋_GB2312" w:cs="仿宋_GB2312"/>
          <w:spacing w:val="-6"/>
          <w:sz w:val="32"/>
          <w:szCs w:val="32"/>
        </w:rPr>
        <w:t>3.</w:t>
      </w:r>
      <w:r>
        <w:rPr>
          <w:rFonts w:ascii="Times New Roman" w:hAnsi="Times New Roman" w:eastAsia="仿宋_GB2312" w:cs="Times New Roman"/>
          <w:sz w:val="32"/>
          <w:szCs w:val="32"/>
        </w:rPr>
        <w:t>建立有效的评价机制。区政府将示范区建设实施方案相关工作纳入各相关部门年度目标管理。</w:t>
      </w:r>
      <w:r>
        <w:rPr>
          <w:rFonts w:ascii="楷体" w:hAnsi="楷体" w:eastAsia="楷体" w:cs="Times New Roman"/>
          <w:sz w:val="32"/>
          <w:szCs w:val="32"/>
        </w:rPr>
        <w:t>（牵头单位：区政府办公室、区卫生健康局  配合单位：各成员单位）</w:t>
      </w:r>
    </w:p>
    <w:p>
      <w:pPr>
        <w:spacing w:line="560" w:lineRule="exact"/>
        <w:ind w:firstLine="480" w:firstLineChars="150"/>
        <w:rPr>
          <w:rFonts w:ascii="Times New Roman" w:hAnsi="Times New Roman" w:eastAsia="楷体_GB2312" w:cs="Times New Roman"/>
          <w:sz w:val="32"/>
          <w:szCs w:val="32"/>
        </w:rPr>
      </w:pPr>
      <w:r>
        <w:rPr>
          <w:rFonts w:ascii="Times New Roman" w:hAnsi="Times New Roman" w:eastAsia="楷体_GB2312" w:cs="Times New Roman"/>
          <w:sz w:val="32"/>
          <w:szCs w:val="32"/>
        </w:rPr>
        <w:t>（五）构建健康支持环境</w:t>
      </w:r>
    </w:p>
    <w:p>
      <w:pPr>
        <w:spacing w:line="560" w:lineRule="exact"/>
        <w:ind w:firstLine="616" w:firstLineChars="200"/>
        <w:rPr>
          <w:rFonts w:ascii="楷体" w:hAnsi="楷体" w:eastAsia="楷体" w:cs="Times New Roman"/>
          <w:sz w:val="32"/>
          <w:szCs w:val="32"/>
        </w:rPr>
      </w:pPr>
      <w:r>
        <w:rPr>
          <w:rFonts w:hint="eastAsia" w:ascii="仿宋_GB2312" w:hAnsi="仿宋_GB2312" w:eastAsia="仿宋_GB2312" w:cs="仿宋_GB2312"/>
          <w:spacing w:val="-6"/>
          <w:sz w:val="32"/>
          <w:szCs w:val="32"/>
        </w:rPr>
        <w:t>1.</w:t>
      </w:r>
      <w:r>
        <w:rPr>
          <w:rFonts w:ascii="Times New Roman" w:hAnsi="Times New Roman" w:eastAsia="仿宋_GB2312" w:cs="Times New Roman"/>
          <w:sz w:val="32"/>
          <w:szCs w:val="32"/>
        </w:rPr>
        <w:t>开展全民健康生活方式行动，实施健康细胞工程建设，构建全方位健康支持性环境。开展健康家庭、社区（村）、企业、机关（单位）、医院、学校、餐厅（食堂）、市场（超市、商场）建设，数量逐年增加。开展健康主题广场（公园）、步道（健康街道）等健康支持性环境建设，数量逐年增加。</w:t>
      </w:r>
      <w:r>
        <w:rPr>
          <w:rFonts w:ascii="楷体" w:hAnsi="楷体" w:eastAsia="楷体" w:cs="Times New Roman"/>
          <w:sz w:val="32"/>
          <w:szCs w:val="32"/>
        </w:rPr>
        <w:t>（牵头单位：区爱卫办、区卫生健康局,配合单位：各成员单位）</w:t>
      </w:r>
    </w:p>
    <w:p>
      <w:pPr>
        <w:spacing w:line="560" w:lineRule="exact"/>
        <w:ind w:firstLine="640" w:firstLineChars="200"/>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区妇联牵头负责健康家庭建设；</w:t>
      </w:r>
      <w:r>
        <w:rPr>
          <w:rFonts w:hint="eastAsia" w:ascii="Times New Roman" w:hAnsi="Times New Roman" w:eastAsia="仿宋_GB2312" w:cs="Times New Roman"/>
          <w:sz w:val="32"/>
          <w:szCs w:val="32"/>
        </w:rPr>
        <w:t>区工业和信息化局</w:t>
      </w:r>
      <w:r>
        <w:rPr>
          <w:rFonts w:ascii="Times New Roman" w:hAnsi="Times New Roman" w:eastAsia="仿宋_GB2312" w:cs="Times New Roman"/>
          <w:sz w:val="32"/>
          <w:szCs w:val="32"/>
        </w:rPr>
        <w:t>牵头负责健康企业建设；区爱卫办牵头负责健康机关（单位）建设；区卫生健康局牵头负责健康医院建设；区</w:t>
      </w:r>
      <w:r>
        <w:rPr>
          <w:rFonts w:hint="eastAsia" w:ascii="Times New Roman" w:hAnsi="Times New Roman" w:eastAsia="仿宋_GB2312" w:cs="Times New Roman"/>
          <w:sz w:val="32"/>
          <w:szCs w:val="32"/>
        </w:rPr>
        <w:t>教育和体育</w:t>
      </w:r>
      <w:r>
        <w:rPr>
          <w:rFonts w:ascii="Times New Roman" w:hAnsi="Times New Roman" w:eastAsia="仿宋_GB2312" w:cs="Times New Roman"/>
          <w:sz w:val="32"/>
          <w:szCs w:val="32"/>
        </w:rPr>
        <w:t>局牵头负责健康学校建设；区市场监管局牵头负责健康食堂（餐厅、市场）建设；区商务局牵头负责健康超市（商场）建设；区民政局牵头负责健康社团建设；区综合行政执法局、区园林服务中心牵头负责健康主题广场（公园）、健康步道（健康街道）建设;区科协牵头健康科普小屋和健康加油站建设</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各镇政府、街道办事处牵头负责健康社区（村）、健康街区建设</w:t>
      </w:r>
      <w:r>
        <w:rPr>
          <w:rFonts w:hint="eastAsia" w:ascii="Times New Roman" w:hAnsi="Times New Roman" w:eastAsia="仿宋_GB2312" w:cs="Times New Roman"/>
          <w:sz w:val="32"/>
          <w:szCs w:val="32"/>
          <w:lang w:eastAsia="zh-CN"/>
        </w:rPr>
        <w:t>。</w:t>
      </w:r>
    </w:p>
    <w:p>
      <w:pPr>
        <w:spacing w:line="560" w:lineRule="exact"/>
        <w:ind w:firstLine="640" w:firstLineChars="200"/>
        <w:rPr>
          <w:rFonts w:ascii="楷体" w:hAnsi="楷体" w:eastAsia="楷体" w:cs="Times New Roman"/>
          <w:sz w:val="32"/>
          <w:szCs w:val="32"/>
        </w:rPr>
      </w:pPr>
      <w:r>
        <w:rPr>
          <w:rFonts w:ascii="Times New Roman" w:hAnsi="Times New Roman" w:eastAsia="仿宋_GB2312" w:cs="Times New Roman"/>
          <w:sz w:val="32"/>
          <w:szCs w:val="32"/>
        </w:rPr>
        <w:t>开展“一评二控三减四健”（健康评估、控烟、控酒、减盐、减油、减糖、健康口腔、健康体重、健康骨骼、健康心理）专项行动。</w:t>
      </w:r>
      <w:r>
        <w:rPr>
          <w:rFonts w:ascii="楷体" w:hAnsi="楷体" w:eastAsia="楷体" w:cs="Times New Roman"/>
          <w:sz w:val="32"/>
          <w:szCs w:val="32"/>
        </w:rPr>
        <w:t>（牵头单位：区爱卫办,配合单位：各成员单位）</w:t>
      </w:r>
      <w:r>
        <w:rPr>
          <w:rFonts w:ascii="Times New Roman" w:hAnsi="Times New Roman" w:eastAsia="仿宋_GB2312" w:cs="Times New Roman"/>
          <w:sz w:val="32"/>
          <w:szCs w:val="32"/>
        </w:rPr>
        <w:t>培养基层健康指导员</w:t>
      </w:r>
      <w:r>
        <w:rPr>
          <w:rFonts w:ascii="楷体" w:hAnsi="楷体" w:eastAsia="楷体" w:cs="Times New Roman"/>
          <w:sz w:val="32"/>
          <w:szCs w:val="32"/>
        </w:rPr>
        <w:t>（牵头单位：区卫生健康局）。</w:t>
      </w:r>
    </w:p>
    <w:p>
      <w:pPr>
        <w:spacing w:line="560" w:lineRule="exact"/>
        <w:ind w:firstLine="616" w:firstLineChars="200"/>
        <w:rPr>
          <w:rFonts w:ascii="楷体" w:hAnsi="楷体" w:eastAsia="楷体" w:cs="Times New Roman"/>
          <w:sz w:val="32"/>
          <w:szCs w:val="32"/>
        </w:rPr>
      </w:pPr>
      <w:r>
        <w:rPr>
          <w:rFonts w:hint="eastAsia" w:ascii="仿宋_GB2312" w:hAnsi="仿宋_GB2312" w:eastAsia="仿宋_GB2312" w:cs="仿宋_GB2312"/>
          <w:spacing w:val="-6"/>
          <w:sz w:val="32"/>
          <w:szCs w:val="32"/>
        </w:rPr>
        <w:t>2.</w:t>
      </w:r>
      <w:r>
        <w:rPr>
          <w:rFonts w:ascii="Times New Roman" w:hAnsi="Times New Roman" w:eastAsia="仿宋_GB2312" w:cs="Times New Roman"/>
          <w:sz w:val="32"/>
          <w:szCs w:val="32"/>
        </w:rPr>
        <w:t>为群众提供方便、可及的自助式健康检测服务。社区设立自助式健康检测点（不含设在医疗卫生机构内的），检测内容包括身高、体重、腰围、血压等。</w:t>
      </w:r>
      <w:r>
        <w:rPr>
          <w:rFonts w:ascii="楷体" w:hAnsi="楷体" w:eastAsia="楷体" w:cs="Times New Roman"/>
          <w:sz w:val="32"/>
          <w:szCs w:val="32"/>
        </w:rPr>
        <w:t>（牵头单位：各镇政府、街道办事处）</w:t>
      </w:r>
      <w:r>
        <w:rPr>
          <w:rFonts w:ascii="Times New Roman" w:hAnsi="Times New Roman" w:eastAsia="仿宋_GB2312" w:cs="Times New Roman"/>
          <w:sz w:val="32"/>
          <w:szCs w:val="32"/>
        </w:rPr>
        <w:t>社区卫生服务中心和镇卫生院设置自助式健康检测点，并提供个体化健康指导。</w:t>
      </w:r>
      <w:r>
        <w:rPr>
          <w:rFonts w:ascii="楷体" w:hAnsi="楷体" w:eastAsia="楷体" w:cs="Times New Roman"/>
          <w:sz w:val="32"/>
          <w:szCs w:val="32"/>
        </w:rPr>
        <w:t>（牵头单位：区卫生健康局）</w:t>
      </w:r>
    </w:p>
    <w:p>
      <w:pPr>
        <w:spacing w:line="560" w:lineRule="exact"/>
        <w:ind w:firstLine="616" w:firstLineChars="200"/>
        <w:rPr>
          <w:rFonts w:ascii="楷体" w:hAnsi="楷体" w:eastAsia="楷体" w:cs="Times New Roman"/>
          <w:sz w:val="32"/>
          <w:szCs w:val="32"/>
        </w:rPr>
      </w:pPr>
      <w:r>
        <w:rPr>
          <w:rFonts w:hint="eastAsia" w:ascii="仿宋_GB2312" w:hAnsi="仿宋_GB2312" w:eastAsia="仿宋_GB2312" w:cs="仿宋_GB2312"/>
          <w:spacing w:val="-6"/>
          <w:sz w:val="32"/>
          <w:szCs w:val="32"/>
        </w:rPr>
        <w:t>3.</w:t>
      </w:r>
      <w:r>
        <w:rPr>
          <w:rFonts w:ascii="Times New Roman" w:hAnsi="Times New Roman" w:eastAsia="仿宋_GB2312" w:cs="Times New Roman"/>
          <w:sz w:val="32"/>
          <w:szCs w:val="32"/>
        </w:rPr>
        <w:t>开展全民健身运动，普及公共体育设施，提高经常参加体育锻炼人口比例。社区建</w:t>
      </w:r>
      <w:r>
        <w:rPr>
          <w:rFonts w:hint="eastAsia" w:ascii="仿宋_GB2312" w:hAnsi="仿宋_GB2312" w:eastAsia="仿宋_GB2312" w:cs="仿宋_GB2312"/>
          <w:sz w:val="32"/>
          <w:szCs w:val="32"/>
        </w:rPr>
        <w:t>设15分</w:t>
      </w:r>
      <w:r>
        <w:rPr>
          <w:rFonts w:ascii="Times New Roman" w:hAnsi="Times New Roman" w:eastAsia="仿宋_GB2312" w:cs="Times New Roman"/>
          <w:sz w:val="32"/>
          <w:szCs w:val="32"/>
        </w:rPr>
        <w:t>钟健身圈，完善居民健身公共服务体系。公共体育场地、有条件的企事业、学校的体育场地免费或低收费向社区居民开放。机关、企事业单位开展工间（前）健身活动，组织符合单位特点的健身和竞赛活动。实施青少年体育活动促进计划。提倡科学健身，促进体医融合。</w:t>
      </w:r>
      <w:r>
        <w:rPr>
          <w:rFonts w:ascii="楷体" w:hAnsi="楷体" w:eastAsia="楷体" w:cs="Times New Roman"/>
          <w:sz w:val="32"/>
          <w:szCs w:val="32"/>
        </w:rPr>
        <w:t>（牵头单位：区</w:t>
      </w:r>
      <w:r>
        <w:rPr>
          <w:rFonts w:hint="eastAsia" w:ascii="楷体" w:hAnsi="楷体" w:eastAsia="楷体" w:cs="Times New Roman"/>
          <w:sz w:val="32"/>
          <w:szCs w:val="32"/>
        </w:rPr>
        <w:t>教育和体育</w:t>
      </w:r>
      <w:r>
        <w:rPr>
          <w:rFonts w:ascii="楷体" w:hAnsi="楷体" w:eastAsia="楷体" w:cs="Times New Roman"/>
          <w:sz w:val="32"/>
          <w:szCs w:val="32"/>
        </w:rPr>
        <w:t>局  配合单位：区总工会、区</w:t>
      </w:r>
      <w:r>
        <w:rPr>
          <w:rFonts w:hint="eastAsia" w:ascii="楷体" w:hAnsi="楷体" w:eastAsia="楷体" w:cs="Times New Roman"/>
          <w:sz w:val="32"/>
          <w:szCs w:val="32"/>
        </w:rPr>
        <w:t>工业和信息化</w:t>
      </w:r>
      <w:r>
        <w:rPr>
          <w:rFonts w:ascii="楷体" w:hAnsi="楷体" w:eastAsia="楷体" w:cs="Times New Roman"/>
          <w:sz w:val="32"/>
          <w:szCs w:val="32"/>
        </w:rPr>
        <w:t>局、区卫生健康局、各成员单位）</w:t>
      </w:r>
    </w:p>
    <w:p>
      <w:pPr>
        <w:spacing w:line="560" w:lineRule="exact"/>
        <w:ind w:firstLine="616" w:firstLineChars="200"/>
        <w:rPr>
          <w:rFonts w:ascii="楷体" w:hAnsi="楷体" w:eastAsia="楷体" w:cs="Times New Roman"/>
          <w:sz w:val="32"/>
          <w:szCs w:val="32"/>
        </w:rPr>
      </w:pPr>
      <w:r>
        <w:rPr>
          <w:rFonts w:hint="eastAsia" w:ascii="仿宋_GB2312" w:hAnsi="仿宋_GB2312" w:eastAsia="仿宋_GB2312" w:cs="仿宋_GB2312"/>
          <w:spacing w:val="-6"/>
          <w:sz w:val="32"/>
          <w:szCs w:val="32"/>
        </w:rPr>
        <w:t>4.</w:t>
      </w:r>
      <w:r>
        <w:rPr>
          <w:rFonts w:ascii="Times New Roman" w:hAnsi="Times New Roman" w:eastAsia="仿宋_GB2312" w:cs="Times New Roman"/>
          <w:sz w:val="32"/>
          <w:szCs w:val="32"/>
        </w:rPr>
        <w:t>开展烟草控制，降低人群吸烟率。室内公共场所、工作场所和公共交通工具设置禁止吸烟警语和标识。禁止烟草广告。建设无烟党政机关、无烟医疗卫生计生机构、无烟学校。各级医疗机构开展简短戒烟服务培训，二级及以上医疗机构提供简短戒烟服务。降低</w:t>
      </w:r>
      <w:r>
        <w:rPr>
          <w:rFonts w:hint="eastAsia" w:ascii="仿宋_GB2312" w:hAnsi="仿宋_GB2312" w:eastAsia="仿宋_GB2312" w:cs="仿宋_GB2312"/>
          <w:spacing w:val="-6"/>
          <w:sz w:val="32"/>
          <w:szCs w:val="32"/>
        </w:rPr>
        <w:t>15</w:t>
      </w:r>
      <w:r>
        <w:rPr>
          <w:rFonts w:ascii="Times New Roman" w:hAnsi="Times New Roman" w:eastAsia="仿宋_GB2312" w:cs="Times New Roman"/>
          <w:sz w:val="32"/>
          <w:szCs w:val="32"/>
        </w:rPr>
        <w:t>岁以上成年人吸烟率。</w:t>
      </w:r>
      <w:r>
        <w:rPr>
          <w:rFonts w:ascii="楷体" w:hAnsi="楷体" w:eastAsia="楷体" w:cs="Times New Roman"/>
          <w:sz w:val="32"/>
          <w:szCs w:val="32"/>
        </w:rPr>
        <w:t>（牵头单位：区爱卫办  配合单位：各成员单位）</w:t>
      </w:r>
    </w:p>
    <w:p>
      <w:pPr>
        <w:spacing w:line="560" w:lineRule="exact"/>
        <w:rPr>
          <w:rFonts w:ascii="Times New Roman" w:hAnsi="Times New Roman" w:eastAsia="楷体_GB2312" w:cs="Times New Roman"/>
          <w:sz w:val="32"/>
          <w:szCs w:val="32"/>
        </w:rPr>
      </w:pPr>
      <w:r>
        <w:rPr>
          <w:rFonts w:hint="eastAsia" w:ascii="Times New Roman" w:hAnsi="Times New Roman" w:eastAsia="楷体_GB2312" w:cs="Times New Roman"/>
          <w:sz w:val="32"/>
          <w:szCs w:val="32"/>
          <w:lang w:eastAsia="zh-CN"/>
        </w:rPr>
        <w:t>　　</w:t>
      </w:r>
      <w:r>
        <w:rPr>
          <w:rFonts w:ascii="Times New Roman" w:hAnsi="Times New Roman" w:eastAsia="楷体_GB2312" w:cs="Times New Roman"/>
          <w:sz w:val="32"/>
          <w:szCs w:val="32"/>
        </w:rPr>
        <w:t>（六）监测评估</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开展过程质量控制和重点慢性病监测工作。规范开展覆盖慢性病及相关危险因素监测，掌握重点慢性病状况、影响因素和疾病负担。慢性病监测数据互联互通。开展慢性病防控社会因素调查，定期发布调查结果。</w:t>
      </w:r>
      <w:r>
        <w:rPr>
          <w:rFonts w:ascii="楷体" w:hAnsi="楷体" w:eastAsia="楷体" w:cs="Times New Roman"/>
          <w:sz w:val="32"/>
          <w:szCs w:val="32"/>
        </w:rPr>
        <w:t>（牵头单位：区卫生健康局  配合单位：区民政局、区公安分局、区疾控中心）</w:t>
      </w:r>
    </w:p>
    <w:p>
      <w:pPr>
        <w:spacing w:line="560" w:lineRule="exact"/>
        <w:rPr>
          <w:rFonts w:ascii="Times New Roman" w:hAnsi="Times New Roman" w:eastAsia="楷体_GB2312" w:cs="Times New Roman"/>
          <w:sz w:val="32"/>
          <w:szCs w:val="32"/>
        </w:rPr>
      </w:pPr>
      <w:r>
        <w:rPr>
          <w:rFonts w:hint="eastAsia" w:ascii="Times New Roman" w:hAnsi="Times New Roman" w:eastAsia="楷体_GB2312" w:cs="Times New Roman"/>
          <w:sz w:val="32"/>
          <w:szCs w:val="32"/>
          <w:lang w:eastAsia="zh-CN"/>
        </w:rPr>
        <w:t>　　</w:t>
      </w:r>
      <w:r>
        <w:rPr>
          <w:rFonts w:ascii="Times New Roman" w:hAnsi="Times New Roman" w:eastAsia="楷体_GB2312" w:cs="Times New Roman"/>
          <w:sz w:val="32"/>
          <w:szCs w:val="32"/>
        </w:rPr>
        <w:t>（七）创新引领</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慢性病综合防控工作有特色、可复制、可推广。倡导慢性病综合防控工作与当地社会、文化等建设和公共服务、公共产品供给相结合。总结有创新、特色案例。示范区建设经验做法起到示范引领作用。</w:t>
      </w:r>
      <w:r>
        <w:rPr>
          <w:rFonts w:ascii="楷体" w:hAnsi="楷体" w:eastAsia="楷体" w:cs="Times New Roman"/>
          <w:sz w:val="32"/>
          <w:szCs w:val="32"/>
        </w:rPr>
        <w:t>（牵头单位：区卫生健康局 配合单位：各成员单位）</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四、工作步骤</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（一）</w:t>
      </w:r>
      <w:r>
        <w:rPr>
          <w:rFonts w:hint="eastAsia" w:ascii="楷体_GB2312" w:hAnsi="楷体_GB2312" w:eastAsia="楷体_GB2312" w:cs="楷体_GB2312"/>
          <w:sz w:val="32"/>
          <w:szCs w:val="32"/>
        </w:rPr>
        <w:t>准备阶段</w:t>
      </w:r>
      <w:r>
        <w:rPr>
          <w:rFonts w:hint="eastAsia" w:ascii="楷体_GB2312" w:hAnsi="楷体_GB2312" w:eastAsia="楷体_GB2312" w:cs="楷体_GB2312"/>
          <w:spacing w:val="-6"/>
          <w:sz w:val="32"/>
          <w:szCs w:val="32"/>
        </w:rPr>
        <w:t>（</w:t>
      </w:r>
      <w:r>
        <w:rPr>
          <w:rFonts w:hint="eastAsia" w:ascii="仿宋_GB2312" w:hAnsi="仿宋_GB2312" w:eastAsia="仿宋_GB2312" w:cs="仿宋_GB2312"/>
          <w:spacing w:val="-6"/>
          <w:sz w:val="32"/>
          <w:szCs w:val="32"/>
        </w:rPr>
        <w:t>2020</w:t>
      </w:r>
      <w:r>
        <w:rPr>
          <w:rFonts w:hint="eastAsia" w:ascii="楷体_GB2312" w:hAnsi="楷体_GB2312" w:eastAsia="楷体_GB2312" w:cs="楷体_GB2312"/>
          <w:spacing w:val="-6"/>
          <w:sz w:val="32"/>
          <w:szCs w:val="32"/>
        </w:rPr>
        <w:t>年</w:t>
      </w:r>
      <w:r>
        <w:rPr>
          <w:rFonts w:hint="eastAsia" w:ascii="仿宋_GB2312" w:hAnsi="仿宋_GB2312" w:eastAsia="仿宋_GB2312" w:cs="仿宋_GB2312"/>
          <w:spacing w:val="-6"/>
          <w:sz w:val="32"/>
          <w:szCs w:val="32"/>
        </w:rPr>
        <w:t>6</w:t>
      </w:r>
      <w:r>
        <w:rPr>
          <w:rFonts w:hint="eastAsia" w:ascii="楷体_GB2312" w:hAnsi="楷体_GB2312" w:eastAsia="楷体_GB2312" w:cs="楷体_GB2312"/>
          <w:spacing w:val="-6"/>
          <w:sz w:val="32"/>
          <w:szCs w:val="32"/>
        </w:rPr>
        <w:t>月前）</w:t>
      </w:r>
      <w:r>
        <w:rPr>
          <w:rFonts w:ascii="Times New Roman" w:hAnsi="Times New Roman" w:eastAsia="楷体_GB2312" w:cs="Times New Roman"/>
          <w:sz w:val="32"/>
          <w:szCs w:val="32"/>
        </w:rPr>
        <w:t>。</w:t>
      </w:r>
      <w:r>
        <w:rPr>
          <w:rFonts w:ascii="Times New Roman" w:hAnsi="Times New Roman" w:eastAsia="仿宋_GB2312" w:cs="Times New Roman"/>
          <w:sz w:val="32"/>
          <w:szCs w:val="32"/>
        </w:rPr>
        <w:t>制定全区慢性病综合防控示范区建设工作方案，成立组织机构，充实慢性病防控队伍，组织召开慢性病综合防控示范区建设工作会议，全面推动慢性病综合防控工作开展。</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（二）</w:t>
      </w:r>
      <w:r>
        <w:rPr>
          <w:rFonts w:hint="eastAsia" w:ascii="楷体_GB2312" w:hAnsi="楷体_GB2312" w:eastAsia="楷体_GB2312" w:cs="楷体_GB2312"/>
          <w:sz w:val="32"/>
          <w:szCs w:val="32"/>
        </w:rPr>
        <w:t>建设推进阶段</w:t>
      </w:r>
      <w:r>
        <w:rPr>
          <w:rFonts w:hint="eastAsia" w:ascii="楷体_GB2312" w:hAnsi="楷体_GB2312" w:eastAsia="楷体_GB2312" w:cs="楷体_GB2312"/>
          <w:spacing w:val="-6"/>
          <w:sz w:val="32"/>
          <w:szCs w:val="32"/>
        </w:rPr>
        <w:t>（2020年6-12月</w:t>
      </w:r>
      <w:r>
        <w:rPr>
          <w:rFonts w:hint="eastAsia" w:ascii="楷体_GB2312" w:hAnsi="楷体_GB2312" w:eastAsia="楷体_GB2312" w:cs="楷体_GB2312"/>
          <w:sz w:val="32"/>
          <w:szCs w:val="32"/>
        </w:rPr>
        <w:t>）</w:t>
      </w:r>
      <w:r>
        <w:rPr>
          <w:rFonts w:ascii="Times New Roman" w:hAnsi="Times New Roman" w:eastAsia="楷体_GB2312" w:cs="Times New Roman"/>
          <w:sz w:val="32"/>
          <w:szCs w:val="32"/>
        </w:rPr>
        <w:t>。</w:t>
      </w:r>
      <w:r>
        <w:rPr>
          <w:rFonts w:ascii="Times New Roman" w:hAnsi="Times New Roman" w:eastAsia="仿宋_GB2312" w:cs="Times New Roman"/>
          <w:sz w:val="32"/>
          <w:szCs w:val="32"/>
        </w:rPr>
        <w:t>根据慢性病综合防控示范区建设工作方案要求，全面落实慢性病综合防控政策和措施，努力实现示范区建设工作目标任务。</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（三）争创提升阶段</w:t>
      </w:r>
      <w:r>
        <w:rPr>
          <w:rFonts w:hint="eastAsia" w:ascii="楷体_GB2312" w:hAnsi="楷体_GB2312" w:eastAsia="楷体_GB2312" w:cs="楷体_GB2312"/>
          <w:spacing w:val="-6"/>
          <w:sz w:val="32"/>
          <w:szCs w:val="32"/>
        </w:rPr>
        <w:t>（</w:t>
      </w:r>
      <w:r>
        <w:rPr>
          <w:rFonts w:hint="eastAsia" w:ascii="仿宋_GB2312" w:hAnsi="仿宋_GB2312" w:eastAsia="仿宋_GB2312" w:cs="仿宋_GB2312"/>
          <w:spacing w:val="-6"/>
          <w:sz w:val="32"/>
          <w:szCs w:val="32"/>
        </w:rPr>
        <w:t>2021</w:t>
      </w:r>
      <w:r>
        <w:rPr>
          <w:rFonts w:hint="eastAsia" w:ascii="楷体_GB2312" w:hAnsi="楷体_GB2312" w:eastAsia="楷体_GB2312" w:cs="楷体_GB2312"/>
          <w:spacing w:val="-6"/>
          <w:sz w:val="32"/>
          <w:szCs w:val="32"/>
        </w:rPr>
        <w:t>年1月起）</w:t>
      </w:r>
      <w:r>
        <w:rPr>
          <w:rFonts w:hint="eastAsia" w:ascii="仿宋_GB2312" w:hAnsi="仿宋_GB2312" w:eastAsia="仿宋_GB2312" w:cs="仿宋_GB2312"/>
          <w:spacing w:val="-6"/>
          <w:sz w:val="32"/>
          <w:szCs w:val="32"/>
        </w:rPr>
        <w:t>。</w:t>
      </w:r>
      <w:r>
        <w:rPr>
          <w:rFonts w:ascii="Times New Roman" w:hAnsi="Times New Roman" w:eastAsia="仿宋_GB2312" w:cs="Times New Roman"/>
          <w:sz w:val="32"/>
          <w:szCs w:val="32"/>
        </w:rPr>
        <w:t>巩固省级慢性病综合防控示范区建设工作成果，对标自查，全力争创国家级慢性病综合防控示范区。</w:t>
      </w:r>
    </w:p>
    <w:p>
      <w:pPr>
        <w:pStyle w:val="8"/>
        <w:spacing w:beforeAutospacing="0" w:afterAutospacing="0" w:line="560" w:lineRule="exact"/>
        <w:ind w:firstLine="640" w:firstLineChars="200"/>
        <w:jc w:val="both"/>
        <w:textAlignment w:val="baseline"/>
        <w:rPr>
          <w:rFonts w:ascii="Times New Roman" w:hAnsi="Times New Roman" w:eastAsia="黑体" w:cs="Times New Roman"/>
          <w:sz w:val="32"/>
          <w:szCs w:val="32"/>
        </w:rPr>
      </w:pPr>
      <w:r>
        <w:rPr>
          <w:rFonts w:ascii="Times New Roman" w:hAnsi="Times New Roman" w:eastAsia="黑体" w:cs="Times New Roman"/>
          <w:sz w:val="32"/>
          <w:szCs w:val="32"/>
        </w:rPr>
        <w:t>五、保障措施</w:t>
      </w:r>
    </w:p>
    <w:p>
      <w:pPr>
        <w:pStyle w:val="8"/>
        <w:spacing w:beforeAutospacing="0" w:afterAutospacing="0" w:line="560" w:lineRule="exact"/>
        <w:ind w:firstLine="480"/>
        <w:jc w:val="both"/>
        <w:textAlignment w:val="baseline"/>
        <w:rPr>
          <w:rFonts w:ascii="Times New Roman" w:hAnsi="Times New Roman" w:eastAsia="仿宋_GB2312" w:cs="Times New Roman"/>
          <w:kern w:val="2"/>
          <w:sz w:val="32"/>
          <w:szCs w:val="32"/>
        </w:rPr>
      </w:pPr>
      <w:r>
        <w:rPr>
          <w:rFonts w:ascii="Times New Roman" w:hAnsi="Times New Roman" w:eastAsia="楷体_GB2312" w:cs="Times New Roman"/>
          <w:sz w:val="32"/>
          <w:szCs w:val="32"/>
        </w:rPr>
        <w:t>（一）加强领导，健全机制。</w:t>
      </w:r>
      <w:r>
        <w:rPr>
          <w:rFonts w:ascii="Times New Roman" w:hAnsi="Times New Roman" w:eastAsia="仿宋_GB2312" w:cs="Times New Roman"/>
          <w:kern w:val="2"/>
          <w:sz w:val="32"/>
          <w:szCs w:val="32"/>
        </w:rPr>
        <w:t>调整</w:t>
      </w:r>
      <w:r>
        <w:rPr>
          <w:rFonts w:hint="eastAsia" w:ascii="Times New Roman" w:hAnsi="Times New Roman" w:eastAsia="仿宋_GB2312" w:cs="Times New Roman"/>
          <w:kern w:val="2"/>
          <w:sz w:val="32"/>
          <w:szCs w:val="32"/>
          <w:lang w:eastAsia="zh-CN"/>
        </w:rPr>
        <w:t>成立</w:t>
      </w:r>
      <w:r>
        <w:rPr>
          <w:rFonts w:ascii="Times New Roman" w:hAnsi="Times New Roman" w:eastAsia="仿宋_GB2312" w:cs="Times New Roman"/>
          <w:kern w:val="2"/>
          <w:sz w:val="32"/>
          <w:szCs w:val="32"/>
        </w:rPr>
        <w:t>由区政府区长任组长，区委宣传部、区</w:t>
      </w:r>
      <w:r>
        <w:rPr>
          <w:rFonts w:hint="eastAsia" w:ascii="Times New Roman" w:hAnsi="Times New Roman" w:eastAsia="仿宋_GB2312" w:cs="Times New Roman"/>
          <w:kern w:val="2"/>
          <w:sz w:val="32"/>
          <w:szCs w:val="32"/>
        </w:rPr>
        <w:t>发展改革</w:t>
      </w:r>
      <w:r>
        <w:rPr>
          <w:rFonts w:ascii="Times New Roman" w:hAnsi="Times New Roman" w:eastAsia="仿宋_GB2312" w:cs="Times New Roman"/>
          <w:kern w:val="2"/>
          <w:sz w:val="32"/>
          <w:szCs w:val="32"/>
        </w:rPr>
        <w:t>局、区财政局、区卫生健康局、区</w:t>
      </w:r>
      <w:r>
        <w:rPr>
          <w:rFonts w:hint="eastAsia" w:ascii="Times New Roman" w:hAnsi="Times New Roman" w:eastAsia="仿宋_GB2312" w:cs="Times New Roman"/>
          <w:kern w:val="2"/>
          <w:sz w:val="32"/>
          <w:szCs w:val="32"/>
        </w:rPr>
        <w:t>教育和体育</w:t>
      </w:r>
      <w:r>
        <w:rPr>
          <w:rFonts w:ascii="Times New Roman" w:hAnsi="Times New Roman" w:eastAsia="仿宋_GB2312" w:cs="Times New Roman"/>
          <w:kern w:val="2"/>
          <w:sz w:val="32"/>
          <w:szCs w:val="32"/>
        </w:rPr>
        <w:t>局、区市场监管局等单位为成员的创建国家级慢性病综合防控示范区领导小组，及时解决创建工作中遇到的困难和问题。</w:t>
      </w:r>
      <w:r>
        <w:rPr>
          <w:rFonts w:hint="eastAsia" w:ascii="Times New Roman" w:hAnsi="Times New Roman" w:eastAsia="仿宋_GB2312" w:cs="Times New Roman"/>
          <w:kern w:val="2"/>
          <w:sz w:val="32"/>
          <w:szCs w:val="32"/>
        </w:rPr>
        <w:t>各镇政府（街道办事处）</w:t>
      </w:r>
      <w:r>
        <w:rPr>
          <w:rFonts w:ascii="Times New Roman" w:hAnsi="Times New Roman" w:eastAsia="仿宋_GB2312" w:cs="Times New Roman"/>
          <w:kern w:val="2"/>
          <w:sz w:val="32"/>
          <w:szCs w:val="32"/>
        </w:rPr>
        <w:t>、各部门要把慢性病综合防控示范区创建工作列入重要议事日程，完善工作制度，加大推进力度，保障创建工作顺利开展。</w:t>
      </w:r>
    </w:p>
    <w:p>
      <w:pPr>
        <w:pStyle w:val="8"/>
        <w:spacing w:beforeAutospacing="0" w:afterAutospacing="0" w:line="560" w:lineRule="exact"/>
        <w:ind w:firstLine="480"/>
        <w:jc w:val="both"/>
        <w:textAlignment w:val="baseline"/>
        <w:rPr>
          <w:rFonts w:ascii="Times New Roman" w:hAnsi="Times New Roman" w:eastAsia="仿宋_GB2312" w:cs="Times New Roman"/>
          <w:kern w:val="2"/>
          <w:sz w:val="32"/>
          <w:szCs w:val="32"/>
        </w:rPr>
      </w:pPr>
      <w:r>
        <w:rPr>
          <w:rFonts w:ascii="Times New Roman" w:hAnsi="Times New Roman" w:eastAsia="楷体_GB2312" w:cs="Times New Roman"/>
          <w:sz w:val="32"/>
          <w:szCs w:val="32"/>
        </w:rPr>
        <w:t>（二）明确分工，落实责任。</w:t>
      </w:r>
      <w:r>
        <w:rPr>
          <w:rFonts w:ascii="Times New Roman" w:hAnsi="Times New Roman" w:eastAsia="仿宋_GB2312" w:cs="Times New Roman"/>
          <w:kern w:val="2"/>
          <w:sz w:val="32"/>
          <w:szCs w:val="32"/>
        </w:rPr>
        <w:t>创建工作领导小组办公室要发挥好总体安排、协调调度、检查督导作用，及时跟进工作落实情况。</w:t>
      </w:r>
      <w:r>
        <w:rPr>
          <w:rFonts w:hint="eastAsia" w:ascii="Times New Roman" w:hAnsi="Times New Roman" w:eastAsia="仿宋_GB2312" w:cs="Times New Roman"/>
          <w:kern w:val="2"/>
          <w:sz w:val="32"/>
          <w:szCs w:val="32"/>
        </w:rPr>
        <w:t>各镇政府（街道办事处）</w:t>
      </w:r>
      <w:r>
        <w:rPr>
          <w:rFonts w:ascii="Times New Roman" w:hAnsi="Times New Roman" w:eastAsia="仿宋_GB2312" w:cs="Times New Roman"/>
          <w:kern w:val="2"/>
          <w:sz w:val="32"/>
          <w:szCs w:val="32"/>
        </w:rPr>
        <w:t>、各部门要严格落实工作要求，细化目标任务，明确职责分工，严格落实主体责任，务必按照时间节点进度完成指标任务，争取创建工作顺利完成。</w:t>
      </w:r>
    </w:p>
    <w:p>
      <w:pPr>
        <w:pStyle w:val="8"/>
        <w:spacing w:beforeAutospacing="0" w:afterAutospacing="0" w:line="560" w:lineRule="exact"/>
        <w:ind w:firstLine="480"/>
        <w:jc w:val="both"/>
        <w:textAlignment w:val="baseline"/>
        <w:rPr>
          <w:rFonts w:ascii="Times New Roman" w:hAnsi="Times New Roman" w:eastAsia="仿宋_GB2312" w:cs="Times New Roman"/>
          <w:kern w:val="2"/>
          <w:sz w:val="32"/>
          <w:szCs w:val="32"/>
        </w:rPr>
      </w:pPr>
      <w:r>
        <w:rPr>
          <w:rFonts w:ascii="Times New Roman" w:hAnsi="Times New Roman" w:eastAsia="楷体_GB2312" w:cs="Times New Roman"/>
          <w:sz w:val="32"/>
          <w:szCs w:val="32"/>
        </w:rPr>
        <w:t>（三）广泛宣传，全民动员。</w:t>
      </w:r>
      <w:r>
        <w:rPr>
          <w:rFonts w:hint="eastAsia" w:ascii="Times New Roman" w:hAnsi="Times New Roman" w:eastAsia="仿宋_GB2312" w:cs="Times New Roman"/>
          <w:kern w:val="2"/>
          <w:sz w:val="32"/>
          <w:szCs w:val="32"/>
        </w:rPr>
        <w:t>各镇政府（街道办事处）</w:t>
      </w:r>
      <w:r>
        <w:rPr>
          <w:rFonts w:ascii="Times New Roman" w:hAnsi="Times New Roman" w:eastAsia="仿宋_GB2312" w:cs="Times New Roman"/>
          <w:kern w:val="2"/>
          <w:sz w:val="32"/>
          <w:szCs w:val="32"/>
        </w:rPr>
        <w:t>、各部门要充分利用媒体、微博、微信等多种形式，广泛宣传，充分调动群众参与慢性病综合防控示范区创建积极性和主动性，营造浓厚的创建氛围。</w:t>
      </w:r>
    </w:p>
    <w:p>
      <w:pPr>
        <w:pStyle w:val="8"/>
        <w:spacing w:beforeAutospacing="0" w:afterAutospacing="0" w:line="560" w:lineRule="exact"/>
        <w:ind w:firstLine="480"/>
        <w:jc w:val="both"/>
        <w:textAlignment w:val="baseline"/>
        <w:rPr>
          <w:rFonts w:ascii="Times New Roman" w:hAnsi="Times New Roman" w:eastAsia="仿宋_GB2312" w:cs="Times New Roman"/>
          <w:sz w:val="32"/>
          <w:szCs w:val="32"/>
        </w:rPr>
      </w:pPr>
      <w:r>
        <w:rPr>
          <w:rFonts w:ascii="Times New Roman" w:hAnsi="Times New Roman" w:eastAsia="楷体_GB2312" w:cs="Times New Roman"/>
          <w:sz w:val="32"/>
          <w:szCs w:val="32"/>
        </w:rPr>
        <w:t>（四）强化督导，严格考评。</w:t>
      </w:r>
      <w:r>
        <w:rPr>
          <w:rFonts w:ascii="Times New Roman" w:hAnsi="Times New Roman" w:eastAsia="仿宋_GB2312" w:cs="Times New Roman"/>
          <w:kern w:val="2"/>
          <w:sz w:val="32"/>
          <w:szCs w:val="32"/>
        </w:rPr>
        <w:t>区政府将创建工作纳入政府</w:t>
      </w:r>
      <w:r>
        <w:rPr>
          <w:rFonts w:hint="eastAsia" w:ascii="Times New Roman" w:hAnsi="Times New Roman" w:eastAsia="仿宋_GB2312" w:cs="Times New Roman"/>
          <w:kern w:val="2"/>
          <w:sz w:val="32"/>
          <w:szCs w:val="32"/>
          <w:lang w:eastAsia="zh-CN"/>
        </w:rPr>
        <w:t>年度目标</w:t>
      </w:r>
      <w:r>
        <w:rPr>
          <w:rFonts w:ascii="Times New Roman" w:hAnsi="Times New Roman" w:eastAsia="仿宋_GB2312" w:cs="Times New Roman"/>
          <w:kern w:val="2"/>
          <w:sz w:val="32"/>
          <w:szCs w:val="32"/>
        </w:rPr>
        <w:t>管理，创建领导小组要加强情况调度，对照创建工作任务、时间节点进行检查督导，对工作进展快、成绩明显的通报表彰，对行动迟缓、工作不力的进行通报批评，对严重影响全区创建工作进度的</w:t>
      </w:r>
      <w:r>
        <w:rPr>
          <w:rFonts w:hint="eastAsia" w:ascii="Times New Roman" w:hAnsi="Times New Roman" w:eastAsia="仿宋_GB2312" w:cs="Times New Roman"/>
          <w:kern w:val="2"/>
          <w:sz w:val="32"/>
          <w:szCs w:val="32"/>
          <w:lang w:eastAsia="zh-CN"/>
        </w:rPr>
        <w:t>严肃</w:t>
      </w:r>
      <w:r>
        <w:rPr>
          <w:rFonts w:ascii="Times New Roman" w:hAnsi="Times New Roman" w:eastAsia="仿宋_GB2312" w:cs="Times New Roman"/>
          <w:kern w:val="2"/>
          <w:sz w:val="32"/>
          <w:szCs w:val="32"/>
        </w:rPr>
        <w:t>追究责任，确保打赢创建总体战。</w:t>
      </w:r>
    </w:p>
    <w:p>
      <w:pPr>
        <w:pStyle w:val="8"/>
        <w:spacing w:beforeAutospacing="0" w:afterAutospacing="0" w:line="560" w:lineRule="exact"/>
        <w:ind w:firstLine="480"/>
        <w:jc w:val="both"/>
        <w:textAlignment w:val="baseline"/>
        <w:rPr>
          <w:rFonts w:ascii="Times New Roman" w:hAnsi="Times New Roman" w:eastAsia="仿宋_GB2312" w:cs="Times New Roman"/>
          <w:sz w:val="32"/>
          <w:szCs w:val="32"/>
        </w:rPr>
      </w:pPr>
    </w:p>
    <w:p>
      <w:pPr>
        <w:pStyle w:val="8"/>
        <w:spacing w:beforeAutospacing="0" w:afterAutospacing="0" w:line="560" w:lineRule="exact"/>
        <w:ind w:firstLine="640" w:firstLineChars="200"/>
        <w:jc w:val="left"/>
        <w:textAlignment w:val="baseline"/>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附件</w:t>
      </w:r>
      <w:r>
        <w:rPr>
          <w:rFonts w:hint="eastAsia" w:ascii="Times New Roman" w:hAnsi="Times New Roman" w:eastAsia="仿宋_GB2312" w:cs="Times New Roman"/>
          <w:kern w:val="2"/>
          <w:sz w:val="32"/>
          <w:szCs w:val="32"/>
          <w:lang w:eastAsia="zh-CN"/>
        </w:rPr>
        <w:t>：</w:t>
      </w:r>
      <w:r>
        <w:rPr>
          <w:rFonts w:hint="eastAsia" w:ascii="仿宋_GB2312" w:hAnsi="仿宋_GB2312" w:eastAsia="仿宋_GB2312" w:cs="仿宋_GB2312"/>
          <w:kern w:val="2"/>
          <w:sz w:val="32"/>
          <w:szCs w:val="32"/>
          <w:lang w:val="en-US" w:eastAsia="zh-CN"/>
        </w:rPr>
        <w:t>1.</w:t>
      </w:r>
      <w:r>
        <w:rPr>
          <w:rFonts w:ascii="Times New Roman" w:hAnsi="Times New Roman" w:eastAsia="仿宋_GB2312" w:cs="Times New Roman"/>
          <w:kern w:val="2"/>
          <w:sz w:val="32"/>
          <w:szCs w:val="32"/>
        </w:rPr>
        <w:t>张店区创建国家级慢性病综合防控示范区领导小</w:t>
      </w:r>
    </w:p>
    <w:p>
      <w:pPr>
        <w:pStyle w:val="8"/>
        <w:spacing w:beforeAutospacing="0" w:afterAutospacing="0" w:line="560" w:lineRule="exact"/>
        <w:jc w:val="left"/>
        <w:textAlignment w:val="baseline"/>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lang w:eastAsia="zh-CN"/>
        </w:rPr>
        <w:t>　　　　　　</w:t>
      </w:r>
      <w:r>
        <w:rPr>
          <w:rFonts w:ascii="Times New Roman" w:hAnsi="Times New Roman" w:eastAsia="仿宋_GB2312" w:cs="Times New Roman"/>
          <w:kern w:val="2"/>
          <w:sz w:val="32"/>
          <w:szCs w:val="32"/>
        </w:rPr>
        <w:t>组成员名单</w:t>
      </w:r>
    </w:p>
    <w:p>
      <w:pPr>
        <w:pStyle w:val="8"/>
        <w:spacing w:beforeAutospacing="0" w:afterAutospacing="0" w:line="560" w:lineRule="exact"/>
        <w:ind w:firstLine="640" w:firstLineChars="200"/>
        <w:jc w:val="left"/>
        <w:textAlignment w:val="baseline"/>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lang w:eastAsia="zh-CN"/>
        </w:rPr>
        <w:t>　　　</w:t>
      </w:r>
      <w:r>
        <w:rPr>
          <w:rFonts w:hint="eastAsia" w:ascii="仿宋_GB2312" w:hAnsi="仿宋_GB2312" w:eastAsia="仿宋_GB2312" w:cs="仿宋_GB2312"/>
          <w:kern w:val="2"/>
          <w:sz w:val="32"/>
          <w:szCs w:val="32"/>
          <w:lang w:val="en-US" w:eastAsia="zh-CN"/>
        </w:rPr>
        <w:t>2.</w:t>
      </w:r>
      <w:r>
        <w:rPr>
          <w:rFonts w:ascii="Times New Roman" w:hAnsi="Times New Roman" w:eastAsia="仿宋_GB2312" w:cs="Times New Roman"/>
          <w:kern w:val="2"/>
          <w:sz w:val="32"/>
          <w:szCs w:val="32"/>
        </w:rPr>
        <w:t>张店区创建国家级慢性病综合防控示范区任务分</w:t>
      </w:r>
    </w:p>
    <w:p>
      <w:pPr>
        <w:pStyle w:val="8"/>
        <w:spacing w:beforeAutospacing="0" w:afterAutospacing="0" w:line="560" w:lineRule="exact"/>
        <w:ind w:firstLine="640" w:firstLineChars="200"/>
        <w:jc w:val="left"/>
        <w:textAlignment w:val="baseline"/>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lang w:eastAsia="zh-CN"/>
        </w:rPr>
        <w:t>　　　　解</w:t>
      </w:r>
      <w:r>
        <w:rPr>
          <w:rFonts w:ascii="Times New Roman" w:hAnsi="Times New Roman" w:eastAsia="仿宋_GB2312" w:cs="Times New Roman"/>
          <w:kern w:val="2"/>
          <w:sz w:val="32"/>
          <w:szCs w:val="32"/>
        </w:rPr>
        <w:t>表</w:t>
      </w:r>
    </w:p>
    <w:p>
      <w:pPr>
        <w:spacing w:line="560" w:lineRule="exact"/>
        <w:rPr>
          <w:rFonts w:ascii="Times New Roman" w:hAnsi="Times New Roman" w:eastAsia="黑体" w:cs="Times New Roman"/>
          <w:sz w:val="32"/>
          <w:szCs w:val="32"/>
        </w:rPr>
      </w:pPr>
    </w:p>
    <w:p>
      <w:pPr>
        <w:spacing w:line="560" w:lineRule="exact"/>
        <w:rPr>
          <w:rFonts w:ascii="Times New Roman" w:hAnsi="Times New Roman" w:eastAsia="黑体" w:cs="Times New Roman"/>
          <w:sz w:val="32"/>
          <w:szCs w:val="32"/>
        </w:rPr>
      </w:pPr>
    </w:p>
    <w:p>
      <w:pPr>
        <w:pStyle w:val="2"/>
        <w:spacing w:line="560" w:lineRule="exact"/>
        <w:jc w:val="both"/>
      </w:pPr>
    </w:p>
    <w:p>
      <w:pPr>
        <w:pStyle w:val="2"/>
        <w:spacing w:line="560" w:lineRule="exact"/>
        <w:jc w:val="both"/>
      </w:pPr>
    </w:p>
    <w:p>
      <w:pPr>
        <w:pStyle w:val="8"/>
        <w:spacing w:beforeAutospacing="0" w:afterAutospacing="0" w:line="560" w:lineRule="exact"/>
        <w:textAlignment w:val="baseline"/>
        <w:rPr>
          <w:rFonts w:ascii="Times New Roman" w:hAnsi="Times New Roman" w:eastAsia="黑体" w:cs="Times New Roman"/>
          <w:sz w:val="32"/>
          <w:szCs w:val="32"/>
        </w:rPr>
      </w:pPr>
      <w:r>
        <w:rPr>
          <w:rFonts w:ascii="Times New Roman" w:hAnsi="Times New Roman" w:eastAsia="黑体" w:cs="Times New Roman"/>
          <w:sz w:val="32"/>
          <w:szCs w:val="32"/>
        </w:rPr>
        <w:t>附件1</w:t>
      </w:r>
    </w:p>
    <w:p>
      <w:pPr>
        <w:pStyle w:val="8"/>
        <w:spacing w:beforeAutospacing="0" w:afterAutospacing="0" w:line="560" w:lineRule="exact"/>
        <w:textAlignment w:val="baseline"/>
        <w:rPr>
          <w:rFonts w:ascii="Times New Roman" w:hAnsi="Times New Roman" w:eastAsia="黑体" w:cs="Times New Roman"/>
          <w:sz w:val="32"/>
          <w:szCs w:val="32"/>
        </w:rPr>
      </w:pPr>
    </w:p>
    <w:p>
      <w:pPr>
        <w:pStyle w:val="8"/>
        <w:spacing w:beforeAutospacing="0" w:afterAutospacing="0" w:line="560" w:lineRule="exact"/>
        <w:jc w:val="center"/>
        <w:textAlignment w:val="baseline"/>
        <w:rPr>
          <w:rFonts w:ascii="Times New Roman" w:hAnsi="Times New Roman" w:eastAsia="方正小标宋简体" w:cs="Times New Roman"/>
          <w:color w:val="333333"/>
          <w:sz w:val="44"/>
          <w:szCs w:val="44"/>
        </w:rPr>
      </w:pPr>
      <w:r>
        <w:rPr>
          <w:rFonts w:ascii="Times New Roman" w:hAnsi="Times New Roman" w:eastAsia="方正小标宋简体" w:cs="Times New Roman"/>
          <w:color w:val="333333"/>
          <w:sz w:val="44"/>
          <w:szCs w:val="44"/>
        </w:rPr>
        <w:t>张店区创建国家级慢性病综合防控示范区</w:t>
      </w:r>
    </w:p>
    <w:p>
      <w:pPr>
        <w:pStyle w:val="8"/>
        <w:spacing w:beforeAutospacing="0" w:afterAutospacing="0" w:line="560" w:lineRule="exact"/>
        <w:jc w:val="center"/>
        <w:textAlignment w:val="baseline"/>
        <w:rPr>
          <w:rFonts w:ascii="Times New Roman" w:hAnsi="Times New Roman" w:eastAsia="方正小标宋简体" w:cs="Times New Roman"/>
          <w:color w:val="333333"/>
          <w:sz w:val="44"/>
          <w:szCs w:val="44"/>
        </w:rPr>
      </w:pPr>
      <w:r>
        <w:rPr>
          <w:rFonts w:ascii="Times New Roman" w:hAnsi="Times New Roman" w:eastAsia="方正小标宋简体" w:cs="Times New Roman"/>
          <w:color w:val="333333"/>
          <w:sz w:val="44"/>
          <w:szCs w:val="44"/>
        </w:rPr>
        <w:t>领导小组成员</w:t>
      </w:r>
    </w:p>
    <w:p>
      <w:pPr>
        <w:spacing w:line="560" w:lineRule="exact"/>
        <w:rPr>
          <w:rFonts w:ascii="Times New Roman" w:hAnsi="Times New Roman" w:cs="Times New Roman"/>
        </w:rPr>
      </w:pP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组  长：王学刚  区委副书记、区长</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副组长：于  洪  区政府副区长</w:t>
      </w:r>
    </w:p>
    <w:p>
      <w:pPr>
        <w:snapToGrid w:val="0"/>
        <w:spacing w:line="560" w:lineRule="exact"/>
        <w:ind w:left="3198" w:leftChars="304" w:hanging="2560" w:hangingChars="800"/>
        <w:rPr>
          <w:rFonts w:ascii="Times New Roman" w:hAnsi="Times New Roman" w:eastAsia="仿宋_GB2312" w:cs="Times New Roman"/>
          <w:sz w:val="32"/>
          <w:szCs w:val="32"/>
        </w:rPr>
      </w:pPr>
      <w:r>
        <w:rPr>
          <w:rFonts w:ascii="Times New Roman" w:hAnsi="Times New Roman" w:eastAsia="仿宋_GB2312" w:cs="Times New Roman"/>
          <w:sz w:val="32"/>
          <w:szCs w:val="32"/>
        </w:rPr>
        <w:t>成  员：邢乐峥</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区政府办公室主任</w:t>
      </w:r>
    </w:p>
    <w:p>
      <w:pPr>
        <w:snapToGrid w:val="0"/>
        <w:spacing w:line="560" w:lineRule="exact"/>
        <w:ind w:firstLine="1920" w:firstLineChars="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峰</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区卫生健康局局长</w:t>
      </w:r>
    </w:p>
    <w:p>
      <w:pPr>
        <w:snapToGrid w:val="0"/>
        <w:spacing w:line="560" w:lineRule="exact"/>
        <w:ind w:left="2538" w:leftChars="904" w:hanging="640" w:hangingChars="200"/>
        <w:rPr>
          <w:rFonts w:ascii="Times New Roman" w:hAnsi="Times New Roman" w:eastAsia="仿宋_GB2312" w:cs="Times New Roman"/>
          <w:sz w:val="32"/>
          <w:szCs w:val="32"/>
        </w:rPr>
      </w:pPr>
      <w:r>
        <w:rPr>
          <w:rFonts w:ascii="Times New Roman" w:hAnsi="Times New Roman" w:eastAsia="仿宋_GB2312" w:cs="Times New Roman"/>
          <w:sz w:val="32"/>
          <w:szCs w:val="32"/>
        </w:rPr>
        <w:t>王</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雷</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张店公安分局政委</w:t>
      </w:r>
    </w:p>
    <w:p>
      <w:pPr>
        <w:snapToGrid w:val="0"/>
        <w:spacing w:line="560" w:lineRule="exact"/>
        <w:ind w:firstLine="1920" w:firstLineChars="600"/>
        <w:rPr>
          <w:rFonts w:ascii="Times New Roman" w:hAnsi="Times New Roman" w:eastAsia="仿宋_GB2312" w:cs="Times New Roman"/>
          <w:sz w:val="32"/>
          <w:szCs w:val="32"/>
        </w:rPr>
      </w:pPr>
      <w:r>
        <w:rPr>
          <w:rFonts w:ascii="Times New Roman" w:hAnsi="Times New Roman" w:eastAsia="仿宋_GB2312" w:cs="Times New Roman"/>
          <w:sz w:val="32"/>
          <w:szCs w:val="32"/>
        </w:rPr>
        <w:t>吴晓炜</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张店交警大队大队长</w:t>
      </w:r>
    </w:p>
    <w:p>
      <w:pPr>
        <w:snapToGrid w:val="0"/>
        <w:spacing w:line="560" w:lineRule="exact"/>
        <w:ind w:left="3195" w:leftChars="912" w:hanging="1280" w:hangingChars="400"/>
        <w:rPr>
          <w:rFonts w:ascii="Times New Roman" w:hAnsi="Times New Roman" w:eastAsia="仿宋_GB2312" w:cs="Times New Roman"/>
          <w:sz w:val="32"/>
          <w:szCs w:val="32"/>
        </w:rPr>
      </w:pPr>
      <w:r>
        <w:rPr>
          <w:rFonts w:ascii="Times New Roman" w:hAnsi="Times New Roman" w:eastAsia="仿宋_GB2312" w:cs="Times New Roman"/>
          <w:sz w:val="32"/>
          <w:szCs w:val="32"/>
        </w:rPr>
        <w:t>张洪波  区委宣传部副部长、区融媒体中心主任</w:t>
      </w:r>
    </w:p>
    <w:p>
      <w:pPr>
        <w:snapToGrid w:val="0"/>
        <w:spacing w:line="560" w:lineRule="exact"/>
        <w:ind w:firstLine="1920" w:firstLineChars="600"/>
        <w:rPr>
          <w:rFonts w:ascii="Times New Roman" w:hAnsi="Times New Roman" w:eastAsia="仿宋_GB2312" w:cs="Times New Roman"/>
          <w:sz w:val="32"/>
          <w:szCs w:val="32"/>
        </w:rPr>
      </w:pPr>
      <w:r>
        <w:rPr>
          <w:rFonts w:ascii="Times New Roman" w:hAnsi="Times New Roman" w:eastAsia="仿宋_GB2312" w:cs="Times New Roman"/>
          <w:sz w:val="32"/>
          <w:szCs w:val="32"/>
        </w:rPr>
        <w:t>郑亚飞  区总工会主席</w:t>
      </w:r>
    </w:p>
    <w:p>
      <w:pPr>
        <w:snapToGrid w:val="0"/>
        <w:spacing w:line="560" w:lineRule="exact"/>
        <w:ind w:firstLine="1920" w:firstLineChars="600"/>
        <w:rPr>
          <w:rFonts w:ascii="Times New Roman" w:hAnsi="Times New Roman" w:eastAsia="仿宋_GB2312" w:cs="Times New Roman"/>
          <w:sz w:val="32"/>
          <w:szCs w:val="32"/>
        </w:rPr>
      </w:pPr>
      <w:r>
        <w:rPr>
          <w:rFonts w:ascii="Times New Roman" w:hAnsi="Times New Roman" w:eastAsia="仿宋_GB2312" w:cs="Times New Roman"/>
          <w:sz w:val="32"/>
          <w:szCs w:val="32"/>
        </w:rPr>
        <w:t>杨  超  团区委书记</w:t>
      </w:r>
    </w:p>
    <w:p>
      <w:pPr>
        <w:snapToGrid w:val="0"/>
        <w:spacing w:line="560" w:lineRule="exact"/>
        <w:ind w:firstLine="1920" w:firstLineChars="600"/>
        <w:rPr>
          <w:rFonts w:ascii="Times New Roman" w:hAnsi="Times New Roman" w:eastAsia="仿宋_GB2312" w:cs="Times New Roman"/>
          <w:sz w:val="32"/>
          <w:szCs w:val="32"/>
        </w:rPr>
      </w:pPr>
      <w:r>
        <w:rPr>
          <w:rFonts w:ascii="Times New Roman" w:hAnsi="Times New Roman" w:eastAsia="仿宋_GB2312" w:cs="Times New Roman"/>
          <w:sz w:val="32"/>
          <w:szCs w:val="32"/>
        </w:rPr>
        <w:t>苑  坤  区妇联主席</w:t>
      </w:r>
    </w:p>
    <w:p>
      <w:pPr>
        <w:snapToGrid w:val="0"/>
        <w:spacing w:line="560" w:lineRule="exact"/>
        <w:ind w:firstLine="1920" w:firstLineChars="600"/>
        <w:rPr>
          <w:rFonts w:ascii="Times New Roman" w:hAnsi="Times New Roman" w:eastAsia="仿宋_GB2312" w:cs="Times New Roman"/>
          <w:sz w:val="32"/>
          <w:szCs w:val="32"/>
        </w:rPr>
      </w:pPr>
      <w:r>
        <w:rPr>
          <w:rFonts w:ascii="Times New Roman" w:hAnsi="Times New Roman" w:eastAsia="仿宋_GB2312" w:cs="Times New Roman"/>
          <w:sz w:val="32"/>
          <w:szCs w:val="32"/>
        </w:rPr>
        <w:t>齐  聘  区残联理事长</w:t>
      </w:r>
    </w:p>
    <w:p>
      <w:pPr>
        <w:snapToGrid w:val="0"/>
        <w:spacing w:line="560" w:lineRule="exact"/>
        <w:ind w:firstLine="1920" w:firstLineChars="600"/>
        <w:rPr>
          <w:rFonts w:ascii="Times New Roman" w:hAnsi="Times New Roman" w:eastAsia="仿宋_GB2312" w:cs="Times New Roman"/>
          <w:sz w:val="32"/>
          <w:szCs w:val="32"/>
        </w:rPr>
      </w:pPr>
      <w:r>
        <w:rPr>
          <w:rFonts w:ascii="Times New Roman" w:hAnsi="Times New Roman" w:eastAsia="仿宋_GB2312" w:cs="Times New Roman"/>
          <w:sz w:val="32"/>
          <w:szCs w:val="32"/>
        </w:rPr>
        <w:t>张文东  区科协主席</w:t>
      </w:r>
    </w:p>
    <w:p>
      <w:pPr>
        <w:snapToGrid w:val="0"/>
        <w:spacing w:line="560" w:lineRule="exact"/>
        <w:ind w:firstLine="1920" w:firstLineChars="600"/>
        <w:rPr>
          <w:rFonts w:ascii="Times New Roman" w:hAnsi="Times New Roman" w:eastAsia="仿宋_GB2312" w:cs="Times New Roman"/>
          <w:sz w:val="32"/>
          <w:szCs w:val="32"/>
        </w:rPr>
      </w:pPr>
      <w:r>
        <w:rPr>
          <w:rFonts w:ascii="Times New Roman" w:hAnsi="Times New Roman" w:eastAsia="仿宋_GB2312" w:cs="Times New Roman"/>
          <w:sz w:val="32"/>
          <w:szCs w:val="32"/>
        </w:rPr>
        <w:t>田太军  区发展改革局局长</w:t>
      </w:r>
    </w:p>
    <w:p>
      <w:pPr>
        <w:snapToGrid w:val="0"/>
        <w:spacing w:line="560" w:lineRule="exact"/>
        <w:ind w:firstLine="1920" w:firstLineChars="600"/>
        <w:rPr>
          <w:rFonts w:ascii="Times New Roman" w:hAnsi="Times New Roman" w:eastAsia="仿宋_GB2312" w:cs="Times New Roman"/>
          <w:sz w:val="32"/>
          <w:szCs w:val="32"/>
        </w:rPr>
      </w:pPr>
      <w:r>
        <w:rPr>
          <w:rFonts w:ascii="Times New Roman" w:hAnsi="Times New Roman" w:eastAsia="仿宋_GB2312" w:cs="Times New Roman"/>
          <w:sz w:val="32"/>
          <w:szCs w:val="32"/>
        </w:rPr>
        <w:t>李三红  区财政局局长</w:t>
      </w:r>
    </w:p>
    <w:p>
      <w:pPr>
        <w:snapToGrid w:val="0"/>
        <w:spacing w:line="560" w:lineRule="exact"/>
        <w:ind w:firstLine="1920" w:firstLineChars="600"/>
        <w:rPr>
          <w:rFonts w:ascii="Times New Roman" w:hAnsi="Times New Roman" w:eastAsia="仿宋_GB2312" w:cs="Times New Roman"/>
          <w:sz w:val="32"/>
          <w:szCs w:val="32"/>
        </w:rPr>
      </w:pPr>
      <w:r>
        <w:rPr>
          <w:rFonts w:ascii="Times New Roman" w:hAnsi="Times New Roman" w:eastAsia="仿宋_GB2312" w:cs="Times New Roman"/>
          <w:sz w:val="32"/>
          <w:szCs w:val="32"/>
        </w:rPr>
        <w:t>王  磊  区科技局局长</w:t>
      </w:r>
    </w:p>
    <w:p>
      <w:pPr>
        <w:snapToGrid w:val="0"/>
        <w:spacing w:line="560" w:lineRule="exact"/>
        <w:ind w:firstLine="1920" w:firstLineChars="600"/>
        <w:rPr>
          <w:rFonts w:ascii="Times New Roman" w:hAnsi="Times New Roman" w:eastAsia="仿宋_GB2312" w:cs="Times New Roman"/>
          <w:sz w:val="32"/>
          <w:szCs w:val="32"/>
        </w:rPr>
      </w:pPr>
      <w:r>
        <w:rPr>
          <w:rFonts w:ascii="Times New Roman" w:hAnsi="Times New Roman" w:eastAsia="仿宋_GB2312" w:cs="Times New Roman"/>
          <w:sz w:val="32"/>
          <w:szCs w:val="32"/>
        </w:rPr>
        <w:t>王  雷  区</w:t>
      </w:r>
      <w:r>
        <w:rPr>
          <w:rFonts w:hint="eastAsia" w:ascii="Times New Roman" w:hAnsi="Times New Roman" w:eastAsia="仿宋_GB2312" w:cs="Times New Roman"/>
          <w:sz w:val="32"/>
          <w:szCs w:val="32"/>
        </w:rPr>
        <w:t>人力资源社会保障</w:t>
      </w:r>
      <w:r>
        <w:rPr>
          <w:rFonts w:ascii="Times New Roman" w:hAnsi="Times New Roman" w:eastAsia="仿宋_GB2312" w:cs="Times New Roman"/>
          <w:sz w:val="32"/>
          <w:szCs w:val="32"/>
        </w:rPr>
        <w:t>局局长</w:t>
      </w:r>
    </w:p>
    <w:p>
      <w:pPr>
        <w:snapToGrid w:val="0"/>
        <w:spacing w:line="560" w:lineRule="exact"/>
        <w:ind w:firstLine="1920" w:firstLineChars="600"/>
        <w:rPr>
          <w:rFonts w:ascii="Times New Roman" w:hAnsi="Times New Roman" w:eastAsia="仿宋_GB2312" w:cs="Times New Roman"/>
          <w:sz w:val="32"/>
          <w:szCs w:val="32"/>
        </w:rPr>
      </w:pPr>
      <w:r>
        <w:rPr>
          <w:rFonts w:ascii="Times New Roman" w:hAnsi="Times New Roman" w:eastAsia="仿宋_GB2312" w:cs="Times New Roman"/>
          <w:sz w:val="32"/>
          <w:szCs w:val="32"/>
        </w:rPr>
        <w:t>朱训勇  区民政局局长</w:t>
      </w:r>
    </w:p>
    <w:p>
      <w:pPr>
        <w:snapToGrid w:val="0"/>
        <w:spacing w:line="560" w:lineRule="exact"/>
        <w:ind w:firstLine="1920" w:firstLineChars="600"/>
        <w:rPr>
          <w:rFonts w:ascii="Times New Roman" w:hAnsi="Times New Roman" w:eastAsia="仿宋_GB2312" w:cs="Times New Roman"/>
          <w:sz w:val="32"/>
          <w:szCs w:val="32"/>
        </w:rPr>
      </w:pPr>
      <w:r>
        <w:rPr>
          <w:rFonts w:ascii="Times New Roman" w:hAnsi="Times New Roman" w:eastAsia="仿宋_GB2312" w:cs="Times New Roman"/>
          <w:sz w:val="32"/>
          <w:szCs w:val="32"/>
        </w:rPr>
        <w:t>王建军  区商务局局长</w:t>
      </w:r>
    </w:p>
    <w:p>
      <w:pPr>
        <w:snapToGrid w:val="0"/>
        <w:spacing w:line="560" w:lineRule="exact"/>
        <w:ind w:firstLine="1920" w:firstLineChars="600"/>
        <w:rPr>
          <w:rFonts w:ascii="Times New Roman" w:hAnsi="Times New Roman" w:eastAsia="仿宋_GB2312" w:cs="Times New Roman"/>
          <w:sz w:val="32"/>
          <w:szCs w:val="32"/>
        </w:rPr>
      </w:pPr>
      <w:r>
        <w:rPr>
          <w:rFonts w:ascii="Times New Roman" w:hAnsi="Times New Roman" w:eastAsia="仿宋_GB2312" w:cs="Times New Roman"/>
          <w:sz w:val="32"/>
          <w:szCs w:val="32"/>
        </w:rPr>
        <w:t>王焕金  区</w:t>
      </w:r>
      <w:r>
        <w:rPr>
          <w:rFonts w:hint="eastAsia" w:ascii="Times New Roman" w:hAnsi="Times New Roman" w:eastAsia="仿宋_GB2312" w:cs="Times New Roman"/>
          <w:sz w:val="32"/>
          <w:szCs w:val="32"/>
        </w:rPr>
        <w:t>住房城乡建设</w:t>
      </w:r>
      <w:r>
        <w:rPr>
          <w:rFonts w:ascii="Times New Roman" w:hAnsi="Times New Roman" w:eastAsia="仿宋_GB2312" w:cs="Times New Roman"/>
          <w:sz w:val="32"/>
          <w:szCs w:val="32"/>
        </w:rPr>
        <w:t>局局长</w:t>
      </w:r>
    </w:p>
    <w:p>
      <w:pPr>
        <w:snapToGrid w:val="0"/>
        <w:spacing w:line="560" w:lineRule="exact"/>
        <w:ind w:firstLine="1920" w:firstLineChars="600"/>
        <w:rPr>
          <w:rFonts w:ascii="Times New Roman" w:hAnsi="Times New Roman" w:eastAsia="仿宋_GB2312" w:cs="Times New Roman"/>
          <w:sz w:val="32"/>
          <w:szCs w:val="32"/>
        </w:rPr>
      </w:pPr>
      <w:r>
        <w:rPr>
          <w:rFonts w:ascii="Times New Roman" w:hAnsi="Times New Roman" w:eastAsia="仿宋_GB2312" w:cs="Times New Roman"/>
          <w:sz w:val="32"/>
          <w:szCs w:val="32"/>
        </w:rPr>
        <w:t>杨延龄  区交通运输局局长</w:t>
      </w:r>
    </w:p>
    <w:p>
      <w:pPr>
        <w:snapToGrid w:val="0"/>
        <w:spacing w:line="560" w:lineRule="exact"/>
        <w:ind w:firstLine="1920" w:firstLineChars="600"/>
        <w:rPr>
          <w:rFonts w:ascii="Times New Roman" w:hAnsi="Times New Roman" w:eastAsia="仿宋_GB2312" w:cs="Times New Roman"/>
          <w:sz w:val="32"/>
          <w:szCs w:val="32"/>
        </w:rPr>
      </w:pPr>
      <w:r>
        <w:rPr>
          <w:rFonts w:ascii="Times New Roman" w:hAnsi="Times New Roman" w:eastAsia="仿宋_GB2312" w:cs="Times New Roman"/>
          <w:sz w:val="32"/>
          <w:szCs w:val="32"/>
        </w:rPr>
        <w:t>石光锋  区综合行政执法局局长</w:t>
      </w:r>
    </w:p>
    <w:p>
      <w:pPr>
        <w:snapToGrid w:val="0"/>
        <w:spacing w:line="560" w:lineRule="exact"/>
        <w:ind w:firstLine="1920" w:firstLineChars="600"/>
        <w:rPr>
          <w:rFonts w:ascii="Times New Roman" w:hAnsi="Times New Roman" w:eastAsia="仿宋_GB2312" w:cs="Times New Roman"/>
          <w:sz w:val="32"/>
          <w:szCs w:val="32"/>
        </w:rPr>
      </w:pPr>
      <w:r>
        <w:rPr>
          <w:rFonts w:ascii="Times New Roman" w:hAnsi="Times New Roman" w:eastAsia="仿宋_GB2312" w:cs="Times New Roman"/>
          <w:sz w:val="32"/>
          <w:szCs w:val="32"/>
        </w:rPr>
        <w:t>郑立国  区园林绿化服务中心主任</w:t>
      </w:r>
    </w:p>
    <w:p>
      <w:pPr>
        <w:snapToGrid w:val="0"/>
        <w:spacing w:line="560" w:lineRule="exact"/>
        <w:ind w:firstLine="1920" w:firstLineChars="600"/>
        <w:rPr>
          <w:rFonts w:ascii="Times New Roman" w:hAnsi="Times New Roman" w:eastAsia="仿宋_GB2312" w:cs="Times New Roman"/>
          <w:sz w:val="32"/>
          <w:szCs w:val="32"/>
        </w:rPr>
      </w:pPr>
      <w:r>
        <w:rPr>
          <w:rFonts w:ascii="Times New Roman" w:hAnsi="Times New Roman" w:eastAsia="仿宋_GB2312" w:cs="Times New Roman"/>
          <w:sz w:val="32"/>
          <w:szCs w:val="32"/>
        </w:rPr>
        <w:t>李纯永  区教育和体育局局长</w:t>
      </w:r>
    </w:p>
    <w:p>
      <w:pPr>
        <w:snapToGrid w:val="0"/>
        <w:spacing w:line="560" w:lineRule="exact"/>
        <w:ind w:firstLine="1920" w:firstLineChars="600"/>
        <w:rPr>
          <w:rFonts w:ascii="Times New Roman" w:hAnsi="Times New Roman" w:eastAsia="仿宋_GB2312" w:cs="Times New Roman"/>
          <w:sz w:val="32"/>
          <w:szCs w:val="32"/>
        </w:rPr>
      </w:pPr>
      <w:r>
        <w:rPr>
          <w:rFonts w:ascii="Times New Roman" w:hAnsi="Times New Roman" w:eastAsia="仿宋_GB2312" w:cs="Times New Roman"/>
          <w:sz w:val="32"/>
          <w:szCs w:val="32"/>
        </w:rPr>
        <w:t>周立群  市医疗保障局张店分局局长</w:t>
      </w:r>
    </w:p>
    <w:p>
      <w:pPr>
        <w:snapToGrid w:val="0"/>
        <w:spacing w:line="560" w:lineRule="exact"/>
        <w:ind w:firstLine="1920" w:firstLineChars="600"/>
        <w:rPr>
          <w:rFonts w:ascii="Times New Roman" w:hAnsi="Times New Roman" w:eastAsia="仿宋_GB2312" w:cs="Times New Roman"/>
          <w:sz w:val="32"/>
          <w:szCs w:val="32"/>
        </w:rPr>
      </w:pPr>
      <w:r>
        <w:rPr>
          <w:rFonts w:ascii="Times New Roman" w:hAnsi="Times New Roman" w:eastAsia="仿宋_GB2312" w:cs="Times New Roman"/>
          <w:sz w:val="32"/>
          <w:szCs w:val="32"/>
        </w:rPr>
        <w:t>刘  华  区市场</w:t>
      </w:r>
      <w:r>
        <w:rPr>
          <w:rFonts w:hint="eastAsia" w:ascii="Times New Roman" w:hAnsi="Times New Roman" w:eastAsia="仿宋_GB2312" w:cs="Times New Roman"/>
          <w:sz w:val="32"/>
          <w:szCs w:val="32"/>
        </w:rPr>
        <w:t>监管</w:t>
      </w:r>
      <w:r>
        <w:rPr>
          <w:rFonts w:ascii="Times New Roman" w:hAnsi="Times New Roman" w:eastAsia="仿宋_GB2312" w:cs="Times New Roman"/>
          <w:sz w:val="32"/>
          <w:szCs w:val="32"/>
        </w:rPr>
        <w:t>局局长</w:t>
      </w:r>
    </w:p>
    <w:p>
      <w:pPr>
        <w:snapToGrid w:val="0"/>
        <w:spacing w:line="560" w:lineRule="exact"/>
        <w:ind w:firstLine="1920" w:firstLineChars="600"/>
        <w:rPr>
          <w:rFonts w:ascii="Times New Roman" w:hAnsi="Times New Roman" w:eastAsia="仿宋_GB2312" w:cs="Times New Roman"/>
          <w:sz w:val="32"/>
          <w:szCs w:val="32"/>
        </w:rPr>
      </w:pPr>
      <w:r>
        <w:rPr>
          <w:rFonts w:ascii="Times New Roman" w:hAnsi="Times New Roman" w:eastAsia="仿宋_GB2312" w:cs="Times New Roman"/>
          <w:sz w:val="32"/>
          <w:szCs w:val="32"/>
        </w:rPr>
        <w:t>王睿丰  区</w:t>
      </w:r>
      <w:r>
        <w:rPr>
          <w:rFonts w:hint="eastAsia" w:ascii="Times New Roman" w:hAnsi="Times New Roman" w:eastAsia="仿宋_GB2312" w:cs="Times New Roman"/>
          <w:sz w:val="32"/>
          <w:szCs w:val="32"/>
        </w:rPr>
        <w:t>工业和信息化</w:t>
      </w:r>
      <w:r>
        <w:rPr>
          <w:rFonts w:ascii="Times New Roman" w:hAnsi="Times New Roman" w:eastAsia="仿宋_GB2312" w:cs="Times New Roman"/>
          <w:sz w:val="32"/>
          <w:szCs w:val="32"/>
        </w:rPr>
        <w:t>局局长</w:t>
      </w:r>
    </w:p>
    <w:p>
      <w:pPr>
        <w:snapToGrid w:val="0"/>
        <w:spacing w:line="560" w:lineRule="exact"/>
        <w:ind w:firstLine="1920" w:firstLineChars="600"/>
        <w:rPr>
          <w:rFonts w:ascii="Times New Roman" w:hAnsi="Times New Roman" w:eastAsia="仿宋_GB2312" w:cs="Times New Roman"/>
          <w:sz w:val="32"/>
          <w:szCs w:val="32"/>
        </w:rPr>
      </w:pPr>
      <w:r>
        <w:rPr>
          <w:rFonts w:ascii="Times New Roman" w:hAnsi="Times New Roman" w:eastAsia="仿宋_GB2312" w:cs="Times New Roman"/>
          <w:sz w:val="32"/>
          <w:szCs w:val="32"/>
        </w:rPr>
        <w:t>文士利  区文化和旅游局局长</w:t>
      </w:r>
    </w:p>
    <w:p>
      <w:pPr>
        <w:snapToGrid w:val="0"/>
        <w:spacing w:line="560" w:lineRule="exact"/>
        <w:ind w:firstLine="1920" w:firstLineChars="600"/>
        <w:rPr>
          <w:rFonts w:ascii="Times New Roman" w:hAnsi="Times New Roman" w:eastAsia="仿宋_GB2312" w:cs="Times New Roman"/>
          <w:sz w:val="32"/>
          <w:szCs w:val="32"/>
        </w:rPr>
      </w:pPr>
      <w:r>
        <w:rPr>
          <w:rFonts w:ascii="Times New Roman" w:hAnsi="Times New Roman" w:eastAsia="仿宋_GB2312" w:cs="Times New Roman"/>
          <w:sz w:val="32"/>
          <w:szCs w:val="32"/>
        </w:rPr>
        <w:t>钱  军  区统计局局长</w:t>
      </w:r>
    </w:p>
    <w:p>
      <w:pPr>
        <w:snapToGrid w:val="0"/>
        <w:spacing w:line="560" w:lineRule="exact"/>
        <w:ind w:firstLine="1920" w:firstLineChars="600"/>
        <w:rPr>
          <w:rFonts w:ascii="Times New Roman" w:hAnsi="Times New Roman" w:eastAsia="仿宋_GB2312" w:cs="Times New Roman"/>
          <w:sz w:val="32"/>
          <w:szCs w:val="32"/>
        </w:rPr>
      </w:pPr>
      <w:r>
        <w:rPr>
          <w:rFonts w:ascii="Times New Roman" w:hAnsi="Times New Roman" w:eastAsia="仿宋_GB2312" w:cs="Times New Roman"/>
          <w:sz w:val="32"/>
          <w:szCs w:val="32"/>
        </w:rPr>
        <w:t>魏俊光  区大数据中心主任</w:t>
      </w:r>
    </w:p>
    <w:p>
      <w:pPr>
        <w:snapToGrid w:val="0"/>
        <w:spacing w:line="560" w:lineRule="exact"/>
        <w:ind w:firstLine="1920" w:firstLineChars="600"/>
        <w:rPr>
          <w:rFonts w:ascii="Times New Roman" w:hAnsi="Times New Roman" w:eastAsia="仿宋_GB2312" w:cs="Times New Roman"/>
          <w:sz w:val="32"/>
          <w:szCs w:val="32"/>
        </w:rPr>
      </w:pPr>
      <w:r>
        <w:rPr>
          <w:rFonts w:ascii="Times New Roman" w:hAnsi="Times New Roman" w:eastAsia="仿宋_GB2312" w:cs="Times New Roman"/>
          <w:sz w:val="32"/>
          <w:szCs w:val="32"/>
        </w:rPr>
        <w:t>曹  峰  区卫生健康局副局长、区爱卫办主任</w:t>
      </w:r>
    </w:p>
    <w:p>
      <w:pPr>
        <w:snapToGrid w:val="0"/>
        <w:spacing w:line="560" w:lineRule="exact"/>
        <w:ind w:firstLine="1920" w:firstLineChars="600"/>
        <w:rPr>
          <w:rFonts w:ascii="Times New Roman" w:hAnsi="Times New Roman" w:eastAsia="仿宋_GB2312" w:cs="Times New Roman"/>
          <w:sz w:val="32"/>
          <w:szCs w:val="32"/>
        </w:rPr>
      </w:pPr>
      <w:r>
        <w:rPr>
          <w:rFonts w:ascii="Times New Roman" w:hAnsi="Times New Roman" w:eastAsia="仿宋_GB2312" w:cs="Times New Roman"/>
          <w:sz w:val="32"/>
          <w:szCs w:val="32"/>
        </w:rPr>
        <w:t>李慎梅  区</w:t>
      </w:r>
      <w:r>
        <w:rPr>
          <w:rFonts w:hint="eastAsia" w:ascii="Times New Roman" w:hAnsi="Times New Roman" w:eastAsia="仿宋_GB2312" w:cs="Times New Roman"/>
          <w:sz w:val="32"/>
          <w:szCs w:val="32"/>
        </w:rPr>
        <w:t>疾控中心</w:t>
      </w:r>
      <w:r>
        <w:rPr>
          <w:rFonts w:ascii="Times New Roman" w:hAnsi="Times New Roman" w:eastAsia="仿宋_GB2312" w:cs="Times New Roman"/>
          <w:sz w:val="32"/>
          <w:szCs w:val="32"/>
        </w:rPr>
        <w:t>主任</w:t>
      </w:r>
    </w:p>
    <w:p>
      <w:pPr>
        <w:snapToGrid w:val="0"/>
        <w:spacing w:line="560" w:lineRule="exact"/>
        <w:ind w:firstLine="1760" w:firstLineChars="55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左登峰  马尚镇镇长</w:t>
      </w:r>
    </w:p>
    <w:p>
      <w:pPr>
        <w:snapToGrid w:val="0"/>
        <w:spacing w:line="560" w:lineRule="exact"/>
        <w:ind w:firstLine="1920" w:firstLineChars="600"/>
        <w:rPr>
          <w:rFonts w:ascii="Times New Roman" w:hAnsi="Times New Roman" w:eastAsia="仿宋_GB2312" w:cs="Times New Roman"/>
          <w:sz w:val="32"/>
          <w:szCs w:val="32"/>
        </w:rPr>
      </w:pPr>
      <w:r>
        <w:rPr>
          <w:rFonts w:ascii="Times New Roman" w:hAnsi="Times New Roman" w:eastAsia="仿宋_GB2312" w:cs="Times New Roman"/>
          <w:sz w:val="32"/>
          <w:szCs w:val="32"/>
        </w:rPr>
        <w:t>宋守孝  房镇镇镇长</w:t>
      </w:r>
    </w:p>
    <w:p>
      <w:pPr>
        <w:snapToGrid w:val="0"/>
        <w:spacing w:line="560" w:lineRule="exact"/>
        <w:ind w:firstLine="1920" w:firstLineChars="600"/>
        <w:rPr>
          <w:rFonts w:ascii="Times New Roman" w:hAnsi="Times New Roman" w:eastAsia="仿宋_GB2312" w:cs="Times New Roman"/>
          <w:sz w:val="32"/>
          <w:szCs w:val="32"/>
        </w:rPr>
      </w:pPr>
      <w:r>
        <w:rPr>
          <w:rFonts w:ascii="Times New Roman" w:hAnsi="Times New Roman" w:eastAsia="仿宋_GB2312" w:cs="Times New Roman"/>
          <w:sz w:val="32"/>
          <w:szCs w:val="32"/>
        </w:rPr>
        <w:t>乔  兵  车站街道办事处主任</w:t>
      </w:r>
    </w:p>
    <w:p>
      <w:pPr>
        <w:snapToGrid w:val="0"/>
        <w:spacing w:line="560" w:lineRule="exact"/>
        <w:ind w:firstLine="1920" w:firstLineChars="600"/>
        <w:rPr>
          <w:rFonts w:ascii="Times New Roman" w:hAnsi="Times New Roman" w:eastAsia="仿宋_GB2312" w:cs="Times New Roman"/>
          <w:sz w:val="32"/>
          <w:szCs w:val="32"/>
        </w:rPr>
      </w:pPr>
      <w:r>
        <w:rPr>
          <w:rFonts w:ascii="Times New Roman" w:hAnsi="Times New Roman" w:eastAsia="仿宋_GB2312" w:cs="Times New Roman"/>
          <w:sz w:val="32"/>
          <w:szCs w:val="32"/>
        </w:rPr>
        <w:t>唐琨鹏  和平街道办事处主任</w:t>
      </w:r>
    </w:p>
    <w:p>
      <w:pPr>
        <w:snapToGrid w:val="0"/>
        <w:spacing w:line="560" w:lineRule="exact"/>
        <w:ind w:firstLine="1920" w:firstLineChars="600"/>
        <w:rPr>
          <w:rFonts w:ascii="Times New Roman" w:hAnsi="Times New Roman" w:eastAsia="仿宋_GB2312" w:cs="Times New Roman"/>
          <w:sz w:val="32"/>
          <w:szCs w:val="32"/>
        </w:rPr>
      </w:pPr>
      <w:r>
        <w:rPr>
          <w:rFonts w:ascii="Times New Roman" w:hAnsi="Times New Roman" w:eastAsia="仿宋_GB2312" w:cs="Times New Roman"/>
          <w:sz w:val="32"/>
          <w:szCs w:val="32"/>
        </w:rPr>
        <w:t>白  涛  公园街道办事处主任</w:t>
      </w:r>
    </w:p>
    <w:p>
      <w:pPr>
        <w:snapToGrid w:val="0"/>
        <w:spacing w:line="560" w:lineRule="exact"/>
        <w:ind w:firstLine="1920" w:firstLineChars="600"/>
        <w:rPr>
          <w:rFonts w:ascii="Times New Roman" w:hAnsi="Times New Roman" w:eastAsia="仿宋_GB2312" w:cs="Times New Roman"/>
          <w:sz w:val="32"/>
          <w:szCs w:val="32"/>
        </w:rPr>
      </w:pPr>
      <w:r>
        <w:rPr>
          <w:rFonts w:ascii="Times New Roman" w:hAnsi="Times New Roman" w:eastAsia="仿宋_GB2312" w:cs="Times New Roman"/>
          <w:sz w:val="32"/>
          <w:szCs w:val="32"/>
        </w:rPr>
        <w:t>范祥玉  科苑街道办事处主任</w:t>
      </w:r>
    </w:p>
    <w:p>
      <w:pPr>
        <w:snapToGrid w:val="0"/>
        <w:spacing w:line="560" w:lineRule="exact"/>
        <w:ind w:firstLine="1920" w:firstLineChars="600"/>
        <w:rPr>
          <w:rFonts w:ascii="Times New Roman" w:hAnsi="Times New Roman" w:eastAsia="仿宋_GB2312" w:cs="Times New Roman"/>
          <w:sz w:val="32"/>
          <w:szCs w:val="32"/>
        </w:rPr>
      </w:pPr>
      <w:r>
        <w:rPr>
          <w:rFonts w:ascii="Times New Roman" w:hAnsi="Times New Roman" w:eastAsia="仿宋_GB2312" w:cs="Times New Roman"/>
          <w:sz w:val="32"/>
          <w:szCs w:val="32"/>
        </w:rPr>
        <w:t>石  璐  体育场街道办事处主任</w:t>
      </w:r>
    </w:p>
    <w:p>
      <w:pPr>
        <w:snapToGrid w:val="0"/>
        <w:spacing w:line="560" w:lineRule="exact"/>
        <w:ind w:firstLine="1920" w:firstLineChars="600"/>
        <w:rPr>
          <w:rFonts w:ascii="Times New Roman" w:hAnsi="Times New Roman" w:eastAsia="仿宋_GB2312" w:cs="Times New Roman"/>
          <w:sz w:val="32"/>
          <w:szCs w:val="32"/>
        </w:rPr>
      </w:pPr>
      <w:r>
        <w:rPr>
          <w:rFonts w:ascii="Times New Roman" w:hAnsi="Times New Roman" w:eastAsia="仿宋_GB2312" w:cs="Times New Roman"/>
          <w:sz w:val="32"/>
          <w:szCs w:val="32"/>
        </w:rPr>
        <w:t>刘其通  湖田街道办事处主任</w:t>
      </w:r>
    </w:p>
    <w:p>
      <w:pPr>
        <w:pStyle w:val="8"/>
        <w:spacing w:beforeAutospacing="0" w:afterAutospacing="0" w:line="560" w:lineRule="exact"/>
        <w:ind w:firstLine="640" w:firstLineChars="200"/>
        <w:textAlignment w:val="baseline"/>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领导小组办公室设在区卫生健康局，国峰同志兼任办公室主任，曹峰、李慎梅同志任办公室副主任。</w:t>
      </w:r>
    </w:p>
    <w:p>
      <w:pPr>
        <w:pStyle w:val="8"/>
        <w:spacing w:beforeAutospacing="0" w:afterAutospacing="0" w:line="560" w:lineRule="exact"/>
        <w:ind w:firstLine="640" w:firstLineChars="200"/>
        <w:textAlignment w:val="baseline"/>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办公室的主要职责是：组织实施工作规划、方案和措施；承办示范区各类会议和重要活动，协调解决具体问题，开展信息沟通和联络工作；组织开展慢性病防治信息化技术推广、防治效果评价和课题研究；组织开展督导检查，督查落实会议议定事项；承办领导小组交办的其他事项。</w:t>
      </w:r>
    </w:p>
    <w:p>
      <w:pPr>
        <w:spacing w:line="560" w:lineRule="exact"/>
        <w:rPr>
          <w:rFonts w:ascii="Times New Roman" w:hAnsi="Times New Roman" w:eastAsia="仿宋" w:cs="Times New Roman"/>
          <w:sz w:val="32"/>
          <w:szCs w:val="32"/>
        </w:rPr>
      </w:pPr>
    </w:p>
    <w:p>
      <w:pPr>
        <w:pStyle w:val="2"/>
        <w:spacing w:line="560" w:lineRule="exact"/>
        <w:sectPr>
          <w:footerReference r:id="rId6" w:type="first"/>
          <w:headerReference r:id="rId3" w:type="default"/>
          <w:footerReference r:id="rId4" w:type="default"/>
          <w:footerReference r:id="rId5" w:type="even"/>
          <w:pgSz w:w="11906" w:h="16838"/>
          <w:pgMar w:top="2098" w:right="1474" w:bottom="1984" w:left="1587" w:header="851" w:footer="1191" w:gutter="0"/>
          <w:cols w:space="0" w:num="1"/>
          <w:titlePg/>
          <w:docGrid w:linePitch="319" w:charSpace="0"/>
        </w:sectPr>
      </w:pPr>
    </w:p>
    <w:p>
      <w:pPr>
        <w:spacing w:line="560" w:lineRule="exact"/>
        <w:jc w:val="left"/>
        <w:rPr>
          <w:rFonts w:ascii="Times New Roman" w:hAnsi="Times New Roman" w:eastAsia="黑体" w:cs="Times New Roman"/>
          <w:sz w:val="32"/>
          <w:szCs w:val="32"/>
        </w:rPr>
      </w:pPr>
      <w:r>
        <w:rPr>
          <w:rFonts w:ascii="Times New Roman" w:hAnsi="Times New Roman" w:eastAsia="黑体" w:cs="Times New Roman"/>
          <w:sz w:val="32"/>
          <w:szCs w:val="32"/>
        </w:rPr>
        <w:t>附件2</w:t>
      </w:r>
    </w:p>
    <w:p>
      <w:pPr>
        <w:spacing w:beforeLines="50"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张店区创建国家级慢性病综合防控示范区任务分解表</w:t>
      </w:r>
    </w:p>
    <w:p>
      <w:pPr>
        <w:spacing w:line="560" w:lineRule="exact"/>
        <w:jc w:val="center"/>
        <w:rPr>
          <w:rFonts w:ascii="Times New Roman" w:hAnsi="Times New Roman" w:eastAsia="方正小标宋简体" w:cs="Times New Roman"/>
          <w:b/>
          <w:sz w:val="44"/>
          <w:szCs w:val="44"/>
        </w:rPr>
      </w:pPr>
    </w:p>
    <w:tbl>
      <w:tblPr>
        <w:tblStyle w:val="9"/>
        <w:tblpPr w:leftFromText="180" w:rightFromText="180" w:vertAnchor="text" w:tblpXSpec="center" w:tblpY="1"/>
        <w:tblOverlap w:val="never"/>
        <w:tblW w:w="152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1837"/>
        <w:gridCol w:w="3946"/>
        <w:gridCol w:w="5331"/>
        <w:gridCol w:w="1206"/>
        <w:gridCol w:w="1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8" w:type="dxa"/>
            <w:vAlign w:val="center"/>
          </w:tcPr>
          <w:p>
            <w:pPr>
              <w:widowControl/>
              <w:snapToGrid w:val="0"/>
              <w:spacing w:line="4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指标</w:t>
            </w:r>
          </w:p>
          <w:p>
            <w:pPr>
              <w:widowControl/>
              <w:snapToGrid w:val="0"/>
              <w:spacing w:line="4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分类</w:t>
            </w:r>
          </w:p>
        </w:tc>
        <w:tc>
          <w:tcPr>
            <w:tcW w:w="1837" w:type="dxa"/>
            <w:vAlign w:val="center"/>
          </w:tcPr>
          <w:p>
            <w:pPr>
              <w:widowControl/>
              <w:snapToGrid w:val="0"/>
              <w:spacing w:line="4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指标内容</w:t>
            </w:r>
          </w:p>
        </w:tc>
        <w:tc>
          <w:tcPr>
            <w:tcW w:w="3946" w:type="dxa"/>
            <w:vAlign w:val="center"/>
          </w:tcPr>
          <w:p>
            <w:pPr>
              <w:widowControl/>
              <w:snapToGrid w:val="0"/>
              <w:spacing w:line="4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指标要求</w:t>
            </w:r>
          </w:p>
        </w:tc>
        <w:tc>
          <w:tcPr>
            <w:tcW w:w="5331" w:type="dxa"/>
            <w:vAlign w:val="center"/>
          </w:tcPr>
          <w:p>
            <w:pPr>
              <w:widowControl/>
              <w:snapToGrid w:val="0"/>
              <w:spacing w:line="4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赋分标准</w:t>
            </w:r>
          </w:p>
        </w:tc>
        <w:tc>
          <w:tcPr>
            <w:tcW w:w="1206" w:type="dxa"/>
            <w:vAlign w:val="center"/>
          </w:tcPr>
          <w:p>
            <w:pPr>
              <w:widowControl/>
              <w:snapToGrid w:val="0"/>
              <w:spacing w:line="4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职责部门</w:t>
            </w:r>
          </w:p>
        </w:tc>
        <w:tc>
          <w:tcPr>
            <w:tcW w:w="1579" w:type="dxa"/>
            <w:vAlign w:val="center"/>
          </w:tcPr>
          <w:p>
            <w:pPr>
              <w:widowControl/>
              <w:snapToGrid w:val="0"/>
              <w:spacing w:line="4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完成期限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8" w:type="dxa"/>
            <w:vMerge w:val="restart"/>
            <w:vAlign w:val="center"/>
          </w:tcPr>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一、政策完善</w:t>
            </w:r>
          </w:p>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（45分）</w:t>
            </w:r>
          </w:p>
        </w:tc>
        <w:tc>
          <w:tcPr>
            <w:tcW w:w="1837" w:type="dxa"/>
            <w:vMerge w:val="restart"/>
            <w:vAlign w:val="center"/>
          </w:tcPr>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（一）发挥政府主导作用，建立多部门协作联动机制。</w:t>
            </w:r>
          </w:p>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（25分）</w:t>
            </w:r>
          </w:p>
        </w:tc>
        <w:tc>
          <w:tcPr>
            <w:tcW w:w="3946" w:type="dxa"/>
            <w:vAlign w:val="center"/>
          </w:tcPr>
          <w:p>
            <w:pPr>
              <w:pStyle w:val="20"/>
              <w:widowControl/>
              <w:numPr>
                <w:ilvl w:val="0"/>
                <w:numId w:val="1"/>
              </w:numPr>
              <w:snapToGrid w:val="0"/>
              <w:spacing w:line="400" w:lineRule="exact"/>
              <w:ind w:firstLineChars="0"/>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政府成立示范区建设领</w:t>
            </w:r>
          </w:p>
          <w:p>
            <w:pPr>
              <w:pStyle w:val="20"/>
              <w:widowControl/>
              <w:snapToGrid w:val="0"/>
              <w:spacing w:line="400" w:lineRule="exact"/>
              <w:ind w:firstLine="0" w:firstLineChars="0"/>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导小组，明确部门职责，建立完善的信息反馈沟通制度。</w:t>
            </w:r>
          </w:p>
        </w:tc>
        <w:tc>
          <w:tcPr>
            <w:tcW w:w="5331" w:type="dxa"/>
            <w:vAlign w:val="center"/>
          </w:tcPr>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（1）成立示范区建设领导小组，明确各部门职责与分工，4分。</w:t>
            </w:r>
          </w:p>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（2）设立示范区建设工作办公室，2分。</w:t>
            </w:r>
          </w:p>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（3）每年召开1次及以上领导小组工作会议，2分。</w:t>
            </w:r>
          </w:p>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（4）根</w:t>
            </w:r>
            <w:r>
              <w:rPr>
                <w:rFonts w:hint="eastAsia" w:ascii="仿宋_GB2312" w:hAnsi="仿宋_GB2312" w:eastAsia="仿宋_GB2312" w:cs="仿宋_GB2312"/>
                <w:color w:val="000000" w:themeColor="text1"/>
                <w:spacing w:val="-8"/>
                <w:sz w:val="24"/>
                <w:szCs w:val="24"/>
              </w:rPr>
              <w:t>据实际工作需要及时召开联络员会议，2分。</w:t>
            </w:r>
          </w:p>
        </w:tc>
        <w:tc>
          <w:tcPr>
            <w:tcW w:w="120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区政府办公室、区卫生健康局</w:t>
            </w:r>
          </w:p>
        </w:tc>
        <w:tc>
          <w:tcPr>
            <w:tcW w:w="1579" w:type="dxa"/>
            <w:vAlign w:val="center"/>
          </w:tcPr>
          <w:p>
            <w:pPr>
              <w:pStyle w:val="2"/>
              <w:widowControl/>
              <w:snapToGrid w:val="0"/>
              <w:spacing w:line="40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2020年6月长期保持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8" w:type="dxa"/>
            <w:vMerge w:val="continue"/>
            <w:vAlign w:val="center"/>
          </w:tcPr>
          <w:p>
            <w:pPr>
              <w:widowControl/>
              <w:snapToGrid w:val="0"/>
              <w:spacing w:line="400" w:lineRule="exact"/>
              <w:rPr>
                <w:rFonts w:ascii="仿宋_GB2312" w:hAnsi="仿宋_GB2312" w:eastAsia="仿宋_GB2312" w:cs="仿宋_GB2312"/>
                <w:color w:val="000000" w:themeColor="text1"/>
                <w:sz w:val="24"/>
                <w:szCs w:val="24"/>
              </w:rPr>
            </w:pPr>
          </w:p>
        </w:tc>
        <w:tc>
          <w:tcPr>
            <w:tcW w:w="1837" w:type="dxa"/>
            <w:vMerge w:val="continue"/>
            <w:vAlign w:val="center"/>
          </w:tcPr>
          <w:p>
            <w:pPr>
              <w:widowControl/>
              <w:snapToGrid w:val="0"/>
              <w:spacing w:line="400" w:lineRule="exact"/>
              <w:rPr>
                <w:rFonts w:ascii="仿宋_GB2312" w:hAnsi="仿宋_GB2312" w:eastAsia="仿宋_GB2312" w:cs="仿宋_GB2312"/>
                <w:color w:val="000000" w:themeColor="text1"/>
                <w:sz w:val="24"/>
                <w:szCs w:val="24"/>
              </w:rPr>
            </w:pPr>
          </w:p>
        </w:tc>
        <w:tc>
          <w:tcPr>
            <w:tcW w:w="394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2.政府将慢性病防控工作纳入当地经济社会发展规划。</w:t>
            </w:r>
          </w:p>
        </w:tc>
        <w:tc>
          <w:tcPr>
            <w:tcW w:w="5331" w:type="dxa"/>
            <w:vAlign w:val="center"/>
          </w:tcPr>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（1）慢性病防控工作纳入社会经济发展规划，3分。</w:t>
            </w:r>
          </w:p>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（2）政府制定慢性病综合防控示范区建设实施方案，2分。</w:t>
            </w:r>
          </w:p>
        </w:tc>
        <w:tc>
          <w:tcPr>
            <w:tcW w:w="120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区政府办公室、区发展改革局、区卫生健康局</w:t>
            </w:r>
          </w:p>
        </w:tc>
        <w:tc>
          <w:tcPr>
            <w:tcW w:w="1579" w:type="dxa"/>
            <w:vAlign w:val="center"/>
          </w:tcPr>
          <w:p>
            <w:pPr>
              <w:pStyle w:val="2"/>
              <w:widowControl/>
              <w:snapToGrid w:val="0"/>
              <w:spacing w:line="40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2020年6月长期保持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8" w:type="dxa"/>
            <w:vMerge w:val="continue"/>
            <w:vAlign w:val="center"/>
          </w:tcPr>
          <w:p>
            <w:pPr>
              <w:widowControl/>
              <w:snapToGrid w:val="0"/>
              <w:spacing w:line="400" w:lineRule="exact"/>
              <w:rPr>
                <w:rFonts w:ascii="仿宋_GB2312" w:hAnsi="仿宋_GB2312" w:eastAsia="仿宋_GB2312" w:cs="仿宋_GB2312"/>
                <w:color w:val="000000" w:themeColor="text1"/>
                <w:sz w:val="24"/>
                <w:szCs w:val="24"/>
              </w:rPr>
            </w:pPr>
          </w:p>
        </w:tc>
        <w:tc>
          <w:tcPr>
            <w:tcW w:w="1837" w:type="dxa"/>
            <w:vMerge w:val="continue"/>
            <w:vAlign w:val="center"/>
          </w:tcPr>
          <w:p>
            <w:pPr>
              <w:widowControl/>
              <w:snapToGrid w:val="0"/>
              <w:spacing w:line="400" w:lineRule="exact"/>
              <w:rPr>
                <w:rFonts w:ascii="仿宋_GB2312" w:hAnsi="仿宋_GB2312" w:eastAsia="仿宋_GB2312" w:cs="仿宋_GB2312"/>
                <w:color w:val="000000" w:themeColor="text1"/>
                <w:sz w:val="24"/>
                <w:szCs w:val="24"/>
              </w:rPr>
            </w:pPr>
          </w:p>
        </w:tc>
        <w:tc>
          <w:tcPr>
            <w:tcW w:w="394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3.慢</w:t>
            </w:r>
            <w:r>
              <w:rPr>
                <w:rFonts w:hint="eastAsia" w:ascii="仿宋_GB2312" w:hAnsi="仿宋_GB2312" w:eastAsia="仿宋_GB2312" w:cs="仿宋_GB2312"/>
                <w:color w:val="000000" w:themeColor="text1"/>
                <w:spacing w:val="-8"/>
                <w:kern w:val="0"/>
                <w:sz w:val="24"/>
                <w:szCs w:val="24"/>
              </w:rPr>
              <w:t>性病防控融入各部门政策，包括烟草控制、降低有害饮酒、营养干预、控制体重、全民健身等慢性病危险因素干预、疾病管理相关的政策和干预措施</w:t>
            </w:r>
            <w:r>
              <w:rPr>
                <w:rFonts w:hint="eastAsia" w:ascii="仿宋_GB2312" w:hAnsi="仿宋_GB2312" w:eastAsia="仿宋_GB2312" w:cs="仿宋_GB2312"/>
                <w:color w:val="000000" w:themeColor="text1"/>
                <w:kern w:val="0"/>
                <w:sz w:val="24"/>
                <w:szCs w:val="24"/>
              </w:rPr>
              <w:t>。</w:t>
            </w:r>
          </w:p>
        </w:tc>
        <w:tc>
          <w:tcPr>
            <w:tcW w:w="5331" w:type="dxa"/>
            <w:vAlign w:val="center"/>
          </w:tcPr>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抽查5个部门制定落实相关健康政策情况。</w:t>
            </w:r>
          </w:p>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（1）凡制定并落实，每个部门得1分，满分5分。</w:t>
            </w:r>
          </w:p>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（2）制定但没有落实，每个部门得0.5分。</w:t>
            </w:r>
          </w:p>
        </w:tc>
        <w:tc>
          <w:tcPr>
            <w:tcW w:w="120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区卫生健康局、各成员单位</w:t>
            </w:r>
          </w:p>
        </w:tc>
        <w:tc>
          <w:tcPr>
            <w:tcW w:w="1579" w:type="dxa"/>
            <w:vAlign w:val="center"/>
          </w:tcPr>
          <w:p>
            <w:pPr>
              <w:pStyle w:val="2"/>
              <w:widowControl/>
              <w:snapToGrid w:val="0"/>
              <w:spacing w:line="40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2020年12月长期保持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8" w:type="dxa"/>
            <w:vMerge w:val="continue"/>
            <w:vAlign w:val="center"/>
          </w:tcPr>
          <w:p>
            <w:pPr>
              <w:widowControl/>
              <w:snapToGrid w:val="0"/>
              <w:spacing w:line="400" w:lineRule="exact"/>
              <w:rPr>
                <w:rFonts w:ascii="仿宋_GB2312" w:hAnsi="仿宋_GB2312" w:eastAsia="仿宋_GB2312" w:cs="仿宋_GB2312"/>
                <w:color w:val="000000" w:themeColor="text1"/>
                <w:sz w:val="24"/>
                <w:szCs w:val="24"/>
              </w:rPr>
            </w:pPr>
          </w:p>
        </w:tc>
        <w:tc>
          <w:tcPr>
            <w:tcW w:w="1837" w:type="dxa"/>
            <w:vMerge w:val="continue"/>
            <w:vAlign w:val="center"/>
          </w:tcPr>
          <w:p>
            <w:pPr>
              <w:widowControl/>
              <w:snapToGrid w:val="0"/>
              <w:spacing w:line="400" w:lineRule="exact"/>
              <w:rPr>
                <w:rFonts w:ascii="仿宋_GB2312" w:hAnsi="仿宋_GB2312" w:eastAsia="仿宋_GB2312" w:cs="仿宋_GB2312"/>
                <w:color w:val="000000" w:themeColor="text1"/>
                <w:sz w:val="24"/>
                <w:szCs w:val="24"/>
              </w:rPr>
            </w:pPr>
          </w:p>
        </w:tc>
        <w:tc>
          <w:tcPr>
            <w:tcW w:w="394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4.示范区建设领导小组建立工作调研或督导制度，开展示范区建设的多部门联合调研或督导。</w:t>
            </w:r>
          </w:p>
        </w:tc>
        <w:tc>
          <w:tcPr>
            <w:tcW w:w="5331" w:type="dxa"/>
            <w:vAlign w:val="center"/>
          </w:tcPr>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每年组织2次多部门参与的联合调研或督导，每次得1分。</w:t>
            </w:r>
          </w:p>
        </w:tc>
        <w:tc>
          <w:tcPr>
            <w:tcW w:w="120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区卫生健康局</w:t>
            </w:r>
          </w:p>
        </w:tc>
        <w:tc>
          <w:tcPr>
            <w:tcW w:w="1579"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sz w:val="24"/>
                <w:szCs w:val="24"/>
              </w:rPr>
              <w:t>2020年12月长期保持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8" w:type="dxa"/>
            <w:vMerge w:val="continue"/>
            <w:vAlign w:val="center"/>
          </w:tcPr>
          <w:p>
            <w:pPr>
              <w:widowControl/>
              <w:snapToGrid w:val="0"/>
              <w:spacing w:line="400" w:lineRule="exact"/>
              <w:rPr>
                <w:rFonts w:ascii="仿宋_GB2312" w:hAnsi="仿宋_GB2312" w:eastAsia="仿宋_GB2312" w:cs="仿宋_GB2312"/>
                <w:color w:val="000000" w:themeColor="text1"/>
                <w:sz w:val="24"/>
                <w:szCs w:val="24"/>
              </w:rPr>
            </w:pPr>
          </w:p>
        </w:tc>
        <w:tc>
          <w:tcPr>
            <w:tcW w:w="1837" w:type="dxa"/>
            <w:vMerge w:val="restart"/>
            <w:vAlign w:val="center"/>
          </w:tcPr>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（二）保障慢性病防控经费。</w:t>
            </w:r>
          </w:p>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（10分）</w:t>
            </w:r>
          </w:p>
        </w:tc>
        <w:tc>
          <w:tcPr>
            <w:tcW w:w="394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1.慢性病防控工作经费纳入政府年度预算、决算管理。</w:t>
            </w:r>
          </w:p>
        </w:tc>
        <w:tc>
          <w:tcPr>
            <w:tcW w:w="5331" w:type="dxa"/>
            <w:vAlign w:val="center"/>
          </w:tcPr>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（1）慢性病防控工作经费纳入政府预算、决算管理，各1分。</w:t>
            </w:r>
          </w:p>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（2）经</w:t>
            </w:r>
            <w:r>
              <w:rPr>
                <w:rFonts w:hint="eastAsia" w:ascii="仿宋_GB2312" w:hAnsi="仿宋_GB2312" w:eastAsia="仿宋_GB2312" w:cs="仿宋_GB2312"/>
                <w:color w:val="000000" w:themeColor="text1"/>
                <w:spacing w:val="-14"/>
                <w:sz w:val="24"/>
                <w:szCs w:val="24"/>
              </w:rPr>
              <w:t>费预算执行率达到100%， 1分。</w:t>
            </w:r>
          </w:p>
        </w:tc>
        <w:tc>
          <w:tcPr>
            <w:tcW w:w="120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区财政局</w:t>
            </w:r>
          </w:p>
        </w:tc>
        <w:tc>
          <w:tcPr>
            <w:tcW w:w="1579"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sz w:val="24"/>
                <w:szCs w:val="24"/>
              </w:rPr>
              <w:t>2020年12月长期保持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8" w:type="dxa"/>
            <w:vMerge w:val="continue"/>
            <w:vAlign w:val="center"/>
          </w:tcPr>
          <w:p>
            <w:pPr>
              <w:widowControl/>
              <w:snapToGrid w:val="0"/>
              <w:spacing w:line="400" w:lineRule="exact"/>
              <w:rPr>
                <w:rFonts w:ascii="仿宋_GB2312" w:hAnsi="仿宋_GB2312" w:eastAsia="仿宋_GB2312" w:cs="仿宋_GB2312"/>
                <w:color w:val="000000" w:themeColor="text1"/>
                <w:sz w:val="24"/>
                <w:szCs w:val="24"/>
              </w:rPr>
            </w:pPr>
          </w:p>
        </w:tc>
        <w:tc>
          <w:tcPr>
            <w:tcW w:w="1837" w:type="dxa"/>
            <w:vMerge w:val="continue"/>
            <w:vAlign w:val="center"/>
          </w:tcPr>
          <w:p>
            <w:pPr>
              <w:widowControl/>
              <w:snapToGrid w:val="0"/>
              <w:spacing w:line="400" w:lineRule="exact"/>
              <w:rPr>
                <w:rFonts w:ascii="仿宋_GB2312" w:hAnsi="仿宋_GB2312" w:eastAsia="仿宋_GB2312" w:cs="仿宋_GB2312"/>
                <w:color w:val="000000" w:themeColor="text1"/>
                <w:sz w:val="24"/>
                <w:szCs w:val="24"/>
              </w:rPr>
            </w:pPr>
          </w:p>
        </w:tc>
        <w:tc>
          <w:tcPr>
            <w:tcW w:w="394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2.政府按规划、计划拨付示范区建设专项工作经费，专款专用。</w:t>
            </w:r>
          </w:p>
        </w:tc>
        <w:tc>
          <w:tcPr>
            <w:tcW w:w="5331" w:type="dxa"/>
            <w:vAlign w:val="center"/>
          </w:tcPr>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（1）拨付示范区建设专项工作经费，3分。</w:t>
            </w:r>
          </w:p>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（2）慢性病防控经费专项管理，确保专款专用，2分。</w:t>
            </w:r>
          </w:p>
        </w:tc>
        <w:tc>
          <w:tcPr>
            <w:tcW w:w="120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区财政局、区卫生健康局</w:t>
            </w:r>
          </w:p>
        </w:tc>
        <w:tc>
          <w:tcPr>
            <w:tcW w:w="1579"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sz w:val="24"/>
                <w:szCs w:val="24"/>
              </w:rPr>
              <w:t>2020年12月长期保持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8" w:type="dxa"/>
            <w:vMerge w:val="continue"/>
            <w:vAlign w:val="center"/>
          </w:tcPr>
          <w:p>
            <w:pPr>
              <w:widowControl/>
              <w:snapToGrid w:val="0"/>
              <w:spacing w:line="400" w:lineRule="exact"/>
              <w:rPr>
                <w:rFonts w:ascii="仿宋_GB2312" w:hAnsi="仿宋_GB2312" w:eastAsia="仿宋_GB2312" w:cs="仿宋_GB2312"/>
                <w:color w:val="000000" w:themeColor="text1"/>
                <w:sz w:val="24"/>
                <w:szCs w:val="24"/>
              </w:rPr>
            </w:pPr>
          </w:p>
        </w:tc>
        <w:tc>
          <w:tcPr>
            <w:tcW w:w="1837" w:type="dxa"/>
            <w:vMerge w:val="continue"/>
            <w:vAlign w:val="center"/>
          </w:tcPr>
          <w:p>
            <w:pPr>
              <w:widowControl/>
              <w:snapToGrid w:val="0"/>
              <w:spacing w:line="400" w:lineRule="exact"/>
              <w:rPr>
                <w:rFonts w:ascii="仿宋_GB2312" w:hAnsi="仿宋_GB2312" w:eastAsia="仿宋_GB2312" w:cs="仿宋_GB2312"/>
                <w:color w:val="000000" w:themeColor="text1"/>
                <w:sz w:val="24"/>
                <w:szCs w:val="24"/>
              </w:rPr>
            </w:pPr>
          </w:p>
        </w:tc>
        <w:tc>
          <w:tcPr>
            <w:tcW w:w="394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3.保障疾控机构的慢性病防控工作经费。</w:t>
            </w:r>
          </w:p>
        </w:tc>
        <w:tc>
          <w:tcPr>
            <w:tcW w:w="5331" w:type="dxa"/>
            <w:vAlign w:val="center"/>
          </w:tcPr>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慢性病防控工作经费占疾控机构业务总经费的比例＞10%， 2分；10%，1分；10%以下不得分。</w:t>
            </w:r>
          </w:p>
        </w:tc>
        <w:tc>
          <w:tcPr>
            <w:tcW w:w="120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区财政局、区卫生健康局</w:t>
            </w:r>
          </w:p>
        </w:tc>
        <w:tc>
          <w:tcPr>
            <w:tcW w:w="1579"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sz w:val="24"/>
                <w:szCs w:val="24"/>
              </w:rPr>
              <w:t>2020年12月长期保持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8" w:type="dxa"/>
            <w:vMerge w:val="continue"/>
            <w:vAlign w:val="center"/>
          </w:tcPr>
          <w:p>
            <w:pPr>
              <w:widowControl/>
              <w:snapToGrid w:val="0"/>
              <w:spacing w:line="400" w:lineRule="exact"/>
              <w:rPr>
                <w:rFonts w:ascii="仿宋_GB2312" w:hAnsi="仿宋_GB2312" w:eastAsia="仿宋_GB2312" w:cs="仿宋_GB2312"/>
                <w:color w:val="000000" w:themeColor="text1"/>
                <w:sz w:val="24"/>
                <w:szCs w:val="24"/>
              </w:rPr>
            </w:pPr>
          </w:p>
        </w:tc>
        <w:tc>
          <w:tcPr>
            <w:tcW w:w="1837" w:type="dxa"/>
            <w:vMerge w:val="restart"/>
            <w:vAlign w:val="center"/>
          </w:tcPr>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（三）建立有效的绩效管理及评价机制。</w:t>
            </w:r>
          </w:p>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（10分）</w:t>
            </w:r>
          </w:p>
        </w:tc>
        <w:tc>
          <w:tcPr>
            <w:tcW w:w="394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1.政府将示范区建设实施方案相关工作纳入各相关部门年度目标管理。</w:t>
            </w:r>
          </w:p>
        </w:tc>
        <w:tc>
          <w:tcPr>
            <w:tcW w:w="5331" w:type="dxa"/>
            <w:vAlign w:val="center"/>
          </w:tcPr>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（1）政府将示范区建设工作纳入各相关部门年度目标管理，2分。</w:t>
            </w:r>
          </w:p>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（2）抽查5个部门执行情况，有2个及以上部门没纳入目标管理者不得分。</w:t>
            </w:r>
          </w:p>
        </w:tc>
        <w:tc>
          <w:tcPr>
            <w:tcW w:w="120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区政府办公室、区卫生健康局</w:t>
            </w:r>
          </w:p>
        </w:tc>
        <w:tc>
          <w:tcPr>
            <w:tcW w:w="1579"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sz w:val="24"/>
                <w:szCs w:val="24"/>
              </w:rPr>
              <w:t>2020年12月长期保持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8" w:type="dxa"/>
            <w:vMerge w:val="continue"/>
            <w:vAlign w:val="center"/>
          </w:tcPr>
          <w:p>
            <w:pPr>
              <w:widowControl/>
              <w:snapToGrid w:val="0"/>
              <w:spacing w:line="400" w:lineRule="exact"/>
              <w:rPr>
                <w:rFonts w:ascii="仿宋_GB2312" w:hAnsi="仿宋_GB2312" w:eastAsia="仿宋_GB2312" w:cs="仿宋_GB2312"/>
                <w:color w:val="000000" w:themeColor="text1"/>
                <w:sz w:val="24"/>
                <w:szCs w:val="24"/>
              </w:rPr>
            </w:pPr>
          </w:p>
        </w:tc>
        <w:tc>
          <w:tcPr>
            <w:tcW w:w="1837" w:type="dxa"/>
            <w:vMerge w:val="continue"/>
            <w:vAlign w:val="center"/>
          </w:tcPr>
          <w:p>
            <w:pPr>
              <w:widowControl/>
              <w:snapToGrid w:val="0"/>
              <w:spacing w:line="400" w:lineRule="exact"/>
              <w:rPr>
                <w:rFonts w:ascii="仿宋_GB2312" w:hAnsi="仿宋_GB2312" w:eastAsia="仿宋_GB2312" w:cs="仿宋_GB2312"/>
                <w:color w:val="000000" w:themeColor="text1"/>
                <w:sz w:val="24"/>
                <w:szCs w:val="24"/>
              </w:rPr>
            </w:pPr>
          </w:p>
        </w:tc>
        <w:tc>
          <w:tcPr>
            <w:tcW w:w="394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2.政府将示范区建设实施方案相关工作纳入各部门绩效考核。</w:t>
            </w:r>
          </w:p>
        </w:tc>
        <w:tc>
          <w:tcPr>
            <w:tcW w:w="5331" w:type="dxa"/>
            <w:vAlign w:val="center"/>
          </w:tcPr>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抽取2-3个相关部门职能科室，询问相关职责知晓与执行情况。部门履职率达100%，8分。</w:t>
            </w:r>
          </w:p>
        </w:tc>
        <w:tc>
          <w:tcPr>
            <w:tcW w:w="120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区政府办公室、区卫生健康局</w:t>
            </w:r>
          </w:p>
        </w:tc>
        <w:tc>
          <w:tcPr>
            <w:tcW w:w="1579"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sz w:val="24"/>
                <w:szCs w:val="24"/>
              </w:rPr>
              <w:t>2020年12月长期保持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78" w:type="dxa"/>
            <w:vMerge w:val="restart"/>
            <w:vAlign w:val="center"/>
          </w:tcPr>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二、环境支持</w:t>
            </w:r>
          </w:p>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（50分）</w:t>
            </w:r>
          </w:p>
        </w:tc>
        <w:tc>
          <w:tcPr>
            <w:tcW w:w="1837" w:type="dxa"/>
            <w:vMerge w:val="restart"/>
            <w:vAlign w:val="center"/>
          </w:tcPr>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（一）开展全民健康生活方式行动，实施健康细胞工程建设，构建全方位健康支持性环境。</w:t>
            </w:r>
          </w:p>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（22分）</w:t>
            </w:r>
          </w:p>
        </w:tc>
        <w:tc>
          <w:tcPr>
            <w:tcW w:w="394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sz w:val="24"/>
                <w:szCs w:val="24"/>
              </w:rPr>
              <w:t>★</w:t>
            </w:r>
            <w:r>
              <w:rPr>
                <w:rFonts w:hint="eastAsia" w:ascii="仿宋_GB2312" w:hAnsi="仿宋_GB2312" w:eastAsia="仿宋_GB2312" w:cs="仿宋_GB2312"/>
                <w:color w:val="000000" w:themeColor="text1"/>
                <w:kern w:val="0"/>
                <w:sz w:val="24"/>
                <w:szCs w:val="24"/>
              </w:rPr>
              <w:t>1.开展健康家庭、社区（村）、企业、机关（单位）、医院、学校、餐厅（食堂）、市场（超市、商场）建设，数量逐年增加。</w:t>
            </w:r>
          </w:p>
        </w:tc>
        <w:tc>
          <w:tcPr>
            <w:tcW w:w="5331" w:type="dxa"/>
            <w:vAlign w:val="center"/>
          </w:tcPr>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（1）开展健康家庭创建活动的社区（村）占社区（村）总数的30%以上，2分；20-30%，1分；20%以下不得分。每个社区至少评选 10 个及以上健康家庭，不达标者酌情扣分。</w:t>
            </w:r>
          </w:p>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（2）创建健康社区（村）、企业、机关（单位）、医院、学校、餐厅（食堂）、市场（超市、商场）占同类单位总数的30%以上，每类得1分；20-30%，每类得0.5分，20%以下不得分。</w:t>
            </w:r>
          </w:p>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（3）查阅名单，随机抽查每类1个单位，发现有1个不达标的该类别不得分。</w:t>
            </w:r>
          </w:p>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（4）复审：开展健康家庭评选活动的社区（村）占社区（村）总数的比例每年递增3%或达到40%以上得2分；其他健康细胞占同类单位总数的比例每年递增3% 或达到30%以上，每类1分，每年增加比例未达到要求者该类不得分。</w:t>
            </w:r>
          </w:p>
        </w:tc>
        <w:tc>
          <w:tcPr>
            <w:tcW w:w="120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区妇联、各镇政府（街道办事处）、区工业和信息化局、区爱卫办、区卫生健康局、区教育和体育局、区市场监管局、区商务局</w:t>
            </w:r>
          </w:p>
        </w:tc>
        <w:tc>
          <w:tcPr>
            <w:tcW w:w="1579"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sz w:val="24"/>
                <w:szCs w:val="24"/>
              </w:rPr>
              <w:t>2020年12月长期保持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8" w:type="dxa"/>
            <w:vMerge w:val="continue"/>
            <w:vAlign w:val="center"/>
          </w:tcPr>
          <w:p>
            <w:pPr>
              <w:widowControl/>
              <w:snapToGrid w:val="0"/>
              <w:spacing w:line="400" w:lineRule="exact"/>
              <w:rPr>
                <w:rFonts w:ascii="仿宋_GB2312" w:hAnsi="仿宋_GB2312" w:eastAsia="仿宋_GB2312" w:cs="仿宋_GB2312"/>
                <w:color w:val="000000" w:themeColor="text1"/>
                <w:sz w:val="24"/>
                <w:szCs w:val="24"/>
              </w:rPr>
            </w:pPr>
          </w:p>
        </w:tc>
        <w:tc>
          <w:tcPr>
            <w:tcW w:w="1837" w:type="dxa"/>
            <w:vMerge w:val="continue"/>
            <w:vAlign w:val="center"/>
          </w:tcPr>
          <w:p>
            <w:pPr>
              <w:widowControl/>
              <w:snapToGrid w:val="0"/>
              <w:spacing w:line="400" w:lineRule="exact"/>
              <w:rPr>
                <w:rFonts w:ascii="仿宋_GB2312" w:hAnsi="仿宋_GB2312" w:eastAsia="仿宋_GB2312" w:cs="仿宋_GB2312"/>
                <w:color w:val="000000" w:themeColor="text1"/>
                <w:sz w:val="24"/>
                <w:szCs w:val="24"/>
              </w:rPr>
            </w:pPr>
          </w:p>
        </w:tc>
        <w:tc>
          <w:tcPr>
            <w:tcW w:w="394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sz w:val="24"/>
                <w:szCs w:val="24"/>
              </w:rPr>
              <w:t>★</w:t>
            </w:r>
            <w:r>
              <w:rPr>
                <w:rFonts w:hint="eastAsia" w:ascii="仿宋_GB2312" w:hAnsi="仿宋_GB2312" w:eastAsia="仿宋_GB2312" w:cs="仿宋_GB2312"/>
                <w:color w:val="000000" w:themeColor="text1"/>
                <w:kern w:val="0"/>
                <w:sz w:val="24"/>
                <w:szCs w:val="24"/>
              </w:rPr>
              <w:t>2.开展健康主题广场（公园）、步道（健康街道）等健康支持性环境建设，数量逐年增加。</w:t>
            </w:r>
          </w:p>
        </w:tc>
        <w:tc>
          <w:tcPr>
            <w:tcW w:w="5331" w:type="dxa"/>
            <w:vAlign w:val="center"/>
          </w:tcPr>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（1）规划建设健康主题广场（公园）、步道（健康街道）等，每建设1类，得1分，满分2分。</w:t>
            </w:r>
          </w:p>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（2）现场评估发现1个不达标，该类别不得分。</w:t>
            </w:r>
          </w:p>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（3）复审：健康主 题广场（公园）、步道（健康街道）等数量逐年有增加或每类建设数量达到3个，每类1分，满分2分，未达到要求者该类别不得分。</w:t>
            </w:r>
          </w:p>
        </w:tc>
        <w:tc>
          <w:tcPr>
            <w:tcW w:w="120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区综合行政执法局、区园林绿化服务中心、区住房城乡建设局、区科协、区卫生健康局、各镇政府（街道办事处）、各成员单位</w:t>
            </w:r>
          </w:p>
        </w:tc>
        <w:tc>
          <w:tcPr>
            <w:tcW w:w="1579"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sz w:val="24"/>
                <w:szCs w:val="24"/>
              </w:rPr>
              <w:t>2020年12月长期保持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378" w:type="dxa"/>
            <w:vMerge w:val="continue"/>
            <w:vAlign w:val="center"/>
          </w:tcPr>
          <w:p>
            <w:pPr>
              <w:widowControl/>
              <w:snapToGrid w:val="0"/>
              <w:spacing w:line="400" w:lineRule="exact"/>
              <w:rPr>
                <w:rFonts w:ascii="仿宋_GB2312" w:hAnsi="仿宋_GB2312" w:eastAsia="仿宋_GB2312" w:cs="仿宋_GB2312"/>
                <w:color w:val="000000" w:themeColor="text1"/>
                <w:sz w:val="24"/>
                <w:szCs w:val="24"/>
              </w:rPr>
            </w:pPr>
          </w:p>
        </w:tc>
        <w:tc>
          <w:tcPr>
            <w:tcW w:w="1837" w:type="dxa"/>
            <w:vMerge w:val="continue"/>
            <w:vAlign w:val="center"/>
          </w:tcPr>
          <w:p>
            <w:pPr>
              <w:widowControl/>
              <w:snapToGrid w:val="0"/>
              <w:spacing w:line="400" w:lineRule="exact"/>
              <w:rPr>
                <w:rFonts w:ascii="仿宋_GB2312" w:hAnsi="仿宋_GB2312" w:eastAsia="仿宋_GB2312" w:cs="仿宋_GB2312"/>
                <w:color w:val="000000" w:themeColor="text1"/>
                <w:sz w:val="24"/>
                <w:szCs w:val="24"/>
              </w:rPr>
            </w:pPr>
          </w:p>
        </w:tc>
        <w:tc>
          <w:tcPr>
            <w:tcW w:w="394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sz w:val="24"/>
                <w:szCs w:val="24"/>
              </w:rPr>
              <w:t>★</w:t>
            </w:r>
            <w:r>
              <w:rPr>
                <w:rFonts w:hint="eastAsia" w:ascii="仿宋_GB2312" w:hAnsi="仿宋_GB2312" w:eastAsia="仿宋_GB2312" w:cs="仿宋_GB2312"/>
                <w:color w:val="000000" w:themeColor="text1"/>
                <w:kern w:val="0"/>
                <w:sz w:val="24"/>
                <w:szCs w:val="24"/>
              </w:rPr>
              <w:t>3.开展“一评二控三减四健”（健康评估、控烟、控酒、减盐、减油、减糖、健康口腔、健康体重、健康骨骼、健康心理）专项行动。</w:t>
            </w:r>
          </w:p>
        </w:tc>
        <w:tc>
          <w:tcPr>
            <w:tcW w:w="5331" w:type="dxa"/>
            <w:vAlign w:val="center"/>
          </w:tcPr>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（1）开展专项行动, 每开展一项得0.5分，获得省级及以上奖励1次得1分，满分7分。减盐行动为必选项，未开展该项不得分。</w:t>
            </w:r>
          </w:p>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（2）食盐与食用油的摄入量低于全省平均水平10%以上,各1分。</w:t>
            </w:r>
          </w:p>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（3）复审：开展专项行动、每开展一项得0.7分。食盐与食用油的摄入量5年下降10%或低于全省平均水平10%以上，各1分，未达到要求者不得分。</w:t>
            </w:r>
          </w:p>
        </w:tc>
        <w:tc>
          <w:tcPr>
            <w:tcW w:w="120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区爱卫办、区卫生健康局、区总工会、区妇联、区教育和体育局、区市场监管局、区商务局、各成员单位</w:t>
            </w:r>
          </w:p>
        </w:tc>
        <w:tc>
          <w:tcPr>
            <w:tcW w:w="1579"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sz w:val="24"/>
                <w:szCs w:val="24"/>
              </w:rPr>
              <w:t>2020年12月长期保持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8" w:type="dxa"/>
            <w:vMerge w:val="continue"/>
            <w:vAlign w:val="center"/>
          </w:tcPr>
          <w:p>
            <w:pPr>
              <w:widowControl/>
              <w:snapToGrid w:val="0"/>
              <w:spacing w:line="400" w:lineRule="exact"/>
              <w:rPr>
                <w:rFonts w:ascii="仿宋_GB2312" w:hAnsi="仿宋_GB2312" w:eastAsia="仿宋_GB2312" w:cs="仿宋_GB2312"/>
                <w:color w:val="000000" w:themeColor="text1"/>
                <w:sz w:val="24"/>
                <w:szCs w:val="24"/>
              </w:rPr>
            </w:pPr>
          </w:p>
        </w:tc>
        <w:tc>
          <w:tcPr>
            <w:tcW w:w="1837" w:type="dxa"/>
            <w:vMerge w:val="continue"/>
            <w:vAlign w:val="center"/>
          </w:tcPr>
          <w:p>
            <w:pPr>
              <w:widowControl/>
              <w:snapToGrid w:val="0"/>
              <w:spacing w:line="400" w:lineRule="exact"/>
              <w:rPr>
                <w:rFonts w:ascii="仿宋_GB2312" w:hAnsi="仿宋_GB2312" w:eastAsia="仿宋_GB2312" w:cs="仿宋_GB2312"/>
                <w:color w:val="000000" w:themeColor="text1"/>
                <w:sz w:val="24"/>
                <w:szCs w:val="24"/>
              </w:rPr>
            </w:pPr>
          </w:p>
        </w:tc>
        <w:tc>
          <w:tcPr>
            <w:tcW w:w="394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sz w:val="24"/>
                <w:szCs w:val="24"/>
              </w:rPr>
              <w:t>4.培养基层健康指导员</w:t>
            </w:r>
          </w:p>
        </w:tc>
        <w:tc>
          <w:tcPr>
            <w:tcW w:w="5331" w:type="dxa"/>
            <w:vAlign w:val="center"/>
          </w:tcPr>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（1）配备健康指导员的村（社区）比例达到60%，得2分，不达标不得分。</w:t>
            </w:r>
          </w:p>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（2）</w:t>
            </w:r>
            <w:r>
              <w:rPr>
                <w:rFonts w:hint="eastAsia" w:ascii="仿宋_GB2312" w:hAnsi="仿宋_GB2312" w:eastAsia="仿宋_GB2312" w:cs="仿宋_GB2312"/>
                <w:color w:val="000000" w:themeColor="text1"/>
                <w:spacing w:val="-10"/>
                <w:sz w:val="24"/>
                <w:szCs w:val="24"/>
              </w:rPr>
              <w:t>复审：配备健康指导员的村（社区）比例年增加10%或达到90%以上，得2分，未达到要求者不得分。</w:t>
            </w:r>
          </w:p>
        </w:tc>
        <w:tc>
          <w:tcPr>
            <w:tcW w:w="1206" w:type="dxa"/>
            <w:vAlign w:val="center"/>
          </w:tcPr>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区卫生健康局、各镇政府（街道办事处）</w:t>
            </w:r>
          </w:p>
        </w:tc>
        <w:tc>
          <w:tcPr>
            <w:tcW w:w="1579" w:type="dxa"/>
            <w:vAlign w:val="center"/>
          </w:tcPr>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sz w:val="24"/>
                <w:szCs w:val="24"/>
              </w:rPr>
              <w:t>2020年12月长期保持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8" w:type="dxa"/>
            <w:vMerge w:val="continue"/>
            <w:vAlign w:val="center"/>
          </w:tcPr>
          <w:p>
            <w:pPr>
              <w:widowControl/>
              <w:snapToGrid w:val="0"/>
              <w:spacing w:line="400" w:lineRule="exact"/>
              <w:rPr>
                <w:rFonts w:ascii="仿宋_GB2312" w:hAnsi="仿宋_GB2312" w:eastAsia="仿宋_GB2312" w:cs="仿宋_GB2312"/>
                <w:color w:val="000000" w:themeColor="text1"/>
                <w:sz w:val="24"/>
                <w:szCs w:val="24"/>
              </w:rPr>
            </w:pPr>
          </w:p>
        </w:tc>
        <w:tc>
          <w:tcPr>
            <w:tcW w:w="1837" w:type="dxa"/>
            <w:vMerge w:val="restart"/>
            <w:vAlign w:val="center"/>
          </w:tcPr>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（二）为群众提供方便、可及的自助式健康检测服务。（8分）</w:t>
            </w:r>
          </w:p>
        </w:tc>
        <w:tc>
          <w:tcPr>
            <w:tcW w:w="394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1.社区设立自助式健康检测点，检测内容包括身高、体重、腰围、血压等。（不含设在医疗卫生机构内的）</w:t>
            </w:r>
          </w:p>
        </w:tc>
        <w:tc>
          <w:tcPr>
            <w:tcW w:w="5331" w:type="dxa"/>
            <w:vAlign w:val="center"/>
          </w:tcPr>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（1）设置</w:t>
            </w:r>
            <w:r>
              <w:rPr>
                <w:rFonts w:hint="eastAsia" w:ascii="仿宋_GB2312" w:hAnsi="仿宋_GB2312" w:eastAsia="仿宋_GB2312" w:cs="仿宋_GB2312"/>
                <w:color w:val="000000" w:themeColor="text1"/>
                <w:spacing w:val="-6"/>
                <w:sz w:val="24"/>
                <w:szCs w:val="24"/>
              </w:rPr>
              <w:t>自助式健康检测点的社区比例不低于30%，4分； 20-30%，2分；20%以下不得分。</w:t>
            </w:r>
          </w:p>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（2）复审：自助式健康检测点逐年增加5%或达到40%，4分，未达到要求者不得分。</w:t>
            </w:r>
          </w:p>
        </w:tc>
        <w:tc>
          <w:tcPr>
            <w:tcW w:w="120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各镇政府（街道办事处）</w:t>
            </w:r>
          </w:p>
        </w:tc>
        <w:tc>
          <w:tcPr>
            <w:tcW w:w="1579"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sz w:val="24"/>
                <w:szCs w:val="24"/>
              </w:rPr>
              <w:t>2020年12月长期保持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8" w:type="dxa"/>
            <w:vMerge w:val="continue"/>
            <w:vAlign w:val="center"/>
          </w:tcPr>
          <w:p>
            <w:pPr>
              <w:widowControl/>
              <w:snapToGrid w:val="0"/>
              <w:spacing w:line="400" w:lineRule="exact"/>
              <w:rPr>
                <w:rFonts w:ascii="仿宋_GB2312" w:hAnsi="仿宋_GB2312" w:eastAsia="仿宋_GB2312" w:cs="仿宋_GB2312"/>
                <w:color w:val="000000" w:themeColor="text1"/>
                <w:sz w:val="24"/>
                <w:szCs w:val="24"/>
              </w:rPr>
            </w:pPr>
          </w:p>
        </w:tc>
        <w:tc>
          <w:tcPr>
            <w:tcW w:w="1837" w:type="dxa"/>
            <w:vMerge w:val="continue"/>
            <w:vAlign w:val="center"/>
          </w:tcPr>
          <w:p>
            <w:pPr>
              <w:widowControl/>
              <w:snapToGrid w:val="0"/>
              <w:spacing w:line="400" w:lineRule="exact"/>
              <w:rPr>
                <w:rFonts w:ascii="仿宋_GB2312" w:hAnsi="仿宋_GB2312" w:eastAsia="仿宋_GB2312" w:cs="仿宋_GB2312"/>
                <w:color w:val="000000" w:themeColor="text1"/>
                <w:sz w:val="24"/>
                <w:szCs w:val="24"/>
              </w:rPr>
            </w:pPr>
          </w:p>
        </w:tc>
        <w:tc>
          <w:tcPr>
            <w:tcW w:w="394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2.社区卫生服务中心和乡镇卫生院设置自助式健康检测点，并提供个体化健康指导。</w:t>
            </w:r>
          </w:p>
        </w:tc>
        <w:tc>
          <w:tcPr>
            <w:tcW w:w="5331" w:type="dxa"/>
            <w:vAlign w:val="center"/>
          </w:tcPr>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（1）设置健康检测点的机构覆盖率＞80%，2分；70-80%，1分；70%以下不得分。</w:t>
            </w:r>
            <w:r>
              <w:rPr>
                <w:rFonts w:hint="eastAsia" w:ascii="仿宋_GB2312" w:hAnsi="仿宋_GB2312" w:eastAsia="仿宋_GB2312" w:cs="仿宋_GB2312"/>
                <w:color w:val="000000" w:themeColor="text1"/>
                <w:sz w:val="24"/>
                <w:szCs w:val="24"/>
              </w:rPr>
              <w:br w:type="textWrapping"/>
            </w:r>
            <w:r>
              <w:rPr>
                <w:rFonts w:hint="eastAsia" w:ascii="仿宋_GB2312" w:hAnsi="仿宋_GB2312" w:eastAsia="仿宋_GB2312" w:cs="仿宋_GB2312"/>
                <w:color w:val="000000" w:themeColor="text1"/>
                <w:sz w:val="24"/>
                <w:szCs w:val="24"/>
              </w:rPr>
              <w:t>（2）</w:t>
            </w:r>
            <w:r>
              <w:rPr>
                <w:rFonts w:hint="eastAsia" w:ascii="仿宋_GB2312" w:hAnsi="仿宋_GB2312" w:eastAsia="仿宋_GB2312" w:cs="仿宋_GB2312"/>
                <w:color w:val="000000" w:themeColor="text1"/>
                <w:spacing w:val="-6"/>
                <w:sz w:val="24"/>
                <w:szCs w:val="24"/>
              </w:rPr>
              <w:t>提供个性化健康指导的机构比例＞50%，2分；30-50%，1分；30%以下不得分。</w:t>
            </w:r>
          </w:p>
        </w:tc>
        <w:tc>
          <w:tcPr>
            <w:tcW w:w="120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区卫生健康局</w:t>
            </w:r>
          </w:p>
        </w:tc>
        <w:tc>
          <w:tcPr>
            <w:tcW w:w="1579"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sz w:val="24"/>
                <w:szCs w:val="24"/>
              </w:rPr>
              <w:t>2020年12月长期保持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8" w:type="dxa"/>
            <w:vMerge w:val="continue"/>
            <w:vAlign w:val="center"/>
          </w:tcPr>
          <w:p>
            <w:pPr>
              <w:widowControl/>
              <w:snapToGrid w:val="0"/>
              <w:spacing w:line="400" w:lineRule="exact"/>
              <w:rPr>
                <w:rFonts w:ascii="仿宋_GB2312" w:hAnsi="仿宋_GB2312" w:eastAsia="仿宋_GB2312" w:cs="仿宋_GB2312"/>
                <w:color w:val="000000" w:themeColor="text1"/>
                <w:sz w:val="24"/>
                <w:szCs w:val="24"/>
              </w:rPr>
            </w:pPr>
          </w:p>
        </w:tc>
        <w:tc>
          <w:tcPr>
            <w:tcW w:w="1837" w:type="dxa"/>
            <w:vMerge w:val="restart"/>
            <w:vAlign w:val="center"/>
          </w:tcPr>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（三）开展全民健身运动，普及公共体育设施，提高经常参加体育锻炼人口比例。</w:t>
            </w:r>
          </w:p>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（10分）</w:t>
            </w:r>
          </w:p>
        </w:tc>
        <w:tc>
          <w:tcPr>
            <w:tcW w:w="394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1.社区建设15分钟健身圈，完善居民健身公共服务体系。</w:t>
            </w:r>
          </w:p>
        </w:tc>
        <w:tc>
          <w:tcPr>
            <w:tcW w:w="5331" w:type="dxa"/>
            <w:vAlign w:val="center"/>
          </w:tcPr>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（1）社区15分钟健身圈的覆盖率≥90%，1分；70-90%，0.5分；70%以下不得分。</w:t>
            </w:r>
          </w:p>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（2）设备完好100%，0.5分；其余0分。</w:t>
            </w:r>
          </w:p>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（3）人均体育场地面积不低于2平米，0.5分。</w:t>
            </w:r>
          </w:p>
        </w:tc>
        <w:tc>
          <w:tcPr>
            <w:tcW w:w="120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区教育和体育局</w:t>
            </w:r>
          </w:p>
        </w:tc>
        <w:tc>
          <w:tcPr>
            <w:tcW w:w="1579"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sz w:val="24"/>
                <w:szCs w:val="24"/>
              </w:rPr>
              <w:t>2020年12月长期保持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8" w:type="dxa"/>
            <w:vMerge w:val="continue"/>
            <w:vAlign w:val="center"/>
          </w:tcPr>
          <w:p>
            <w:pPr>
              <w:widowControl/>
              <w:snapToGrid w:val="0"/>
              <w:spacing w:line="400" w:lineRule="exact"/>
              <w:rPr>
                <w:rFonts w:ascii="仿宋_GB2312" w:hAnsi="仿宋_GB2312" w:eastAsia="仿宋_GB2312" w:cs="仿宋_GB2312"/>
                <w:color w:val="000000" w:themeColor="text1"/>
                <w:sz w:val="24"/>
                <w:szCs w:val="24"/>
              </w:rPr>
            </w:pPr>
          </w:p>
        </w:tc>
        <w:tc>
          <w:tcPr>
            <w:tcW w:w="1837" w:type="dxa"/>
            <w:vMerge w:val="continue"/>
            <w:vAlign w:val="center"/>
          </w:tcPr>
          <w:p>
            <w:pPr>
              <w:widowControl/>
              <w:snapToGrid w:val="0"/>
              <w:spacing w:line="400" w:lineRule="exact"/>
              <w:rPr>
                <w:rFonts w:ascii="仿宋_GB2312" w:hAnsi="仿宋_GB2312" w:eastAsia="仿宋_GB2312" w:cs="仿宋_GB2312"/>
                <w:color w:val="000000" w:themeColor="text1"/>
                <w:sz w:val="24"/>
                <w:szCs w:val="24"/>
              </w:rPr>
            </w:pPr>
          </w:p>
        </w:tc>
        <w:tc>
          <w:tcPr>
            <w:tcW w:w="394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2. 公共体育场地、有条件的企事业、学校的体育场地免费或低收费向社区居民开放。</w:t>
            </w:r>
          </w:p>
        </w:tc>
        <w:tc>
          <w:tcPr>
            <w:tcW w:w="5331" w:type="dxa"/>
            <w:vAlign w:val="center"/>
          </w:tcPr>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（1）公共体育场地、设施免费或低收费开放比例100%，1分；其余0分。</w:t>
            </w:r>
            <w:r>
              <w:rPr>
                <w:rFonts w:hint="eastAsia" w:ascii="仿宋_GB2312" w:hAnsi="仿宋_GB2312" w:eastAsia="仿宋_GB2312" w:cs="仿宋_GB2312"/>
                <w:color w:val="000000" w:themeColor="text1"/>
                <w:sz w:val="24"/>
                <w:szCs w:val="24"/>
              </w:rPr>
              <w:br w:type="textWrapping"/>
            </w:r>
            <w:r>
              <w:rPr>
                <w:rFonts w:hint="eastAsia" w:ascii="仿宋_GB2312" w:hAnsi="仿宋_GB2312" w:eastAsia="仿宋_GB2312" w:cs="仿宋_GB2312"/>
                <w:color w:val="000000" w:themeColor="text1"/>
                <w:sz w:val="24"/>
                <w:szCs w:val="24"/>
              </w:rPr>
              <w:t>（2）有条件的单位免费或低收费开放比例≥30%，1分；30%以下不得分。</w:t>
            </w:r>
          </w:p>
        </w:tc>
        <w:tc>
          <w:tcPr>
            <w:tcW w:w="120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区教育和体育局</w:t>
            </w:r>
          </w:p>
        </w:tc>
        <w:tc>
          <w:tcPr>
            <w:tcW w:w="1579"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sz w:val="24"/>
                <w:szCs w:val="24"/>
              </w:rPr>
              <w:t>2020年12月长期保持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8" w:type="dxa"/>
            <w:vMerge w:val="continue"/>
            <w:vAlign w:val="center"/>
          </w:tcPr>
          <w:p>
            <w:pPr>
              <w:widowControl/>
              <w:snapToGrid w:val="0"/>
              <w:spacing w:line="400" w:lineRule="exact"/>
              <w:rPr>
                <w:rFonts w:ascii="仿宋_GB2312" w:hAnsi="仿宋_GB2312" w:eastAsia="仿宋_GB2312" w:cs="仿宋_GB2312"/>
                <w:color w:val="000000" w:themeColor="text1"/>
                <w:sz w:val="24"/>
                <w:szCs w:val="24"/>
              </w:rPr>
            </w:pPr>
          </w:p>
        </w:tc>
        <w:tc>
          <w:tcPr>
            <w:tcW w:w="1837" w:type="dxa"/>
            <w:vMerge w:val="continue"/>
            <w:vAlign w:val="center"/>
          </w:tcPr>
          <w:p>
            <w:pPr>
              <w:widowControl/>
              <w:snapToGrid w:val="0"/>
              <w:spacing w:line="400" w:lineRule="exact"/>
              <w:rPr>
                <w:rFonts w:ascii="仿宋_GB2312" w:hAnsi="仿宋_GB2312" w:eastAsia="仿宋_GB2312" w:cs="仿宋_GB2312"/>
                <w:color w:val="000000" w:themeColor="text1"/>
                <w:sz w:val="24"/>
                <w:szCs w:val="24"/>
              </w:rPr>
            </w:pPr>
          </w:p>
        </w:tc>
        <w:tc>
          <w:tcPr>
            <w:tcW w:w="394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3.机关</w:t>
            </w:r>
            <w:r>
              <w:rPr>
                <w:rFonts w:hint="eastAsia" w:ascii="仿宋_GB2312" w:hAnsi="仿宋_GB2312" w:eastAsia="仿宋_GB2312" w:cs="仿宋_GB2312"/>
                <w:color w:val="000000" w:themeColor="text1"/>
                <w:spacing w:val="-10"/>
                <w:kern w:val="0"/>
                <w:sz w:val="24"/>
                <w:szCs w:val="24"/>
              </w:rPr>
              <w:t>、企事业单位开展工间（前）健身活动，组织符合单位特点的健身和竞赛活动。</w:t>
            </w:r>
          </w:p>
        </w:tc>
        <w:tc>
          <w:tcPr>
            <w:tcW w:w="5331" w:type="dxa"/>
            <w:vAlign w:val="center"/>
          </w:tcPr>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（1）开展工间（前）健身活动单位覆盖率≥80%，1分；80%以下不得分。</w:t>
            </w:r>
          </w:p>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（2）每年机关、企事业单位组织开展至少1次健身竞赛活动，1分；未开展不得分。</w:t>
            </w:r>
          </w:p>
        </w:tc>
        <w:tc>
          <w:tcPr>
            <w:tcW w:w="120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区总工会</w:t>
            </w:r>
          </w:p>
        </w:tc>
        <w:tc>
          <w:tcPr>
            <w:tcW w:w="1579"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sz w:val="24"/>
                <w:szCs w:val="24"/>
              </w:rPr>
              <w:t>2020年12月长期保持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8" w:type="dxa"/>
            <w:vMerge w:val="continue"/>
            <w:vAlign w:val="center"/>
          </w:tcPr>
          <w:p>
            <w:pPr>
              <w:widowControl/>
              <w:snapToGrid w:val="0"/>
              <w:spacing w:line="400" w:lineRule="exact"/>
              <w:rPr>
                <w:rFonts w:ascii="仿宋_GB2312" w:hAnsi="仿宋_GB2312" w:eastAsia="仿宋_GB2312" w:cs="仿宋_GB2312"/>
                <w:color w:val="000000" w:themeColor="text1"/>
                <w:sz w:val="24"/>
                <w:szCs w:val="24"/>
              </w:rPr>
            </w:pPr>
          </w:p>
        </w:tc>
        <w:tc>
          <w:tcPr>
            <w:tcW w:w="1837" w:type="dxa"/>
            <w:vMerge w:val="continue"/>
            <w:vAlign w:val="center"/>
          </w:tcPr>
          <w:p>
            <w:pPr>
              <w:widowControl/>
              <w:snapToGrid w:val="0"/>
              <w:spacing w:line="400" w:lineRule="exact"/>
              <w:rPr>
                <w:rFonts w:ascii="仿宋_GB2312" w:hAnsi="仿宋_GB2312" w:eastAsia="仿宋_GB2312" w:cs="仿宋_GB2312"/>
                <w:color w:val="000000" w:themeColor="text1"/>
                <w:sz w:val="24"/>
                <w:szCs w:val="24"/>
              </w:rPr>
            </w:pPr>
          </w:p>
        </w:tc>
        <w:tc>
          <w:tcPr>
            <w:tcW w:w="394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4.实施青少年体育活动促进计划。</w:t>
            </w:r>
          </w:p>
        </w:tc>
        <w:tc>
          <w:tcPr>
            <w:tcW w:w="5331" w:type="dxa"/>
            <w:vAlign w:val="center"/>
          </w:tcPr>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中、小学生每天锻炼1小时的比例达到100%，2分；80-100%，1分；80%以下不得分。</w:t>
            </w:r>
          </w:p>
        </w:tc>
        <w:tc>
          <w:tcPr>
            <w:tcW w:w="120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区教育和体育局</w:t>
            </w:r>
          </w:p>
        </w:tc>
        <w:tc>
          <w:tcPr>
            <w:tcW w:w="1579" w:type="dxa"/>
            <w:vAlign w:val="center"/>
          </w:tcPr>
          <w:p>
            <w:pPr>
              <w:widowControl/>
              <w:snapToGrid w:val="0"/>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2020年12月</w:t>
            </w:r>
          </w:p>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sz w:val="24"/>
                <w:szCs w:val="24"/>
              </w:rPr>
              <w:t>长期保持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8" w:type="dxa"/>
            <w:vMerge w:val="continue"/>
            <w:vAlign w:val="center"/>
          </w:tcPr>
          <w:p>
            <w:pPr>
              <w:widowControl/>
              <w:snapToGrid w:val="0"/>
              <w:spacing w:line="400" w:lineRule="exact"/>
              <w:rPr>
                <w:rFonts w:ascii="仿宋_GB2312" w:hAnsi="仿宋_GB2312" w:eastAsia="仿宋_GB2312" w:cs="仿宋_GB2312"/>
                <w:color w:val="000000" w:themeColor="text1"/>
                <w:sz w:val="24"/>
                <w:szCs w:val="24"/>
              </w:rPr>
            </w:pPr>
          </w:p>
        </w:tc>
        <w:tc>
          <w:tcPr>
            <w:tcW w:w="1837" w:type="dxa"/>
            <w:vMerge w:val="continue"/>
            <w:vAlign w:val="center"/>
          </w:tcPr>
          <w:p>
            <w:pPr>
              <w:widowControl/>
              <w:snapToGrid w:val="0"/>
              <w:spacing w:line="400" w:lineRule="exact"/>
              <w:rPr>
                <w:rFonts w:ascii="仿宋_GB2312" w:hAnsi="仿宋_GB2312" w:eastAsia="仿宋_GB2312" w:cs="仿宋_GB2312"/>
                <w:color w:val="000000" w:themeColor="text1"/>
                <w:sz w:val="24"/>
                <w:szCs w:val="24"/>
              </w:rPr>
            </w:pPr>
          </w:p>
        </w:tc>
        <w:tc>
          <w:tcPr>
            <w:tcW w:w="394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sz w:val="24"/>
                <w:szCs w:val="24"/>
              </w:rPr>
              <w:t>5.提高经常参加体育锻炼人口比例，提倡科学健身，促进体医融合。</w:t>
            </w:r>
          </w:p>
        </w:tc>
        <w:tc>
          <w:tcPr>
            <w:tcW w:w="5331" w:type="dxa"/>
            <w:vAlign w:val="center"/>
          </w:tcPr>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（1）经常参加体育锻炼人口比例≥40%,1分； 35-40%，0.5分；35%以下不得分。</w:t>
            </w:r>
          </w:p>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（2）开展国民体质健康监测，为居民提供个体化运动处方，1分；未开展不得分。</w:t>
            </w:r>
          </w:p>
        </w:tc>
        <w:tc>
          <w:tcPr>
            <w:tcW w:w="120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区教育和体育局</w:t>
            </w:r>
          </w:p>
        </w:tc>
        <w:tc>
          <w:tcPr>
            <w:tcW w:w="1579"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sz w:val="24"/>
                <w:szCs w:val="24"/>
              </w:rPr>
              <w:t>2020年12月长期保持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8" w:type="dxa"/>
            <w:vMerge w:val="continue"/>
            <w:vAlign w:val="center"/>
          </w:tcPr>
          <w:p>
            <w:pPr>
              <w:widowControl/>
              <w:snapToGrid w:val="0"/>
              <w:spacing w:line="400" w:lineRule="exact"/>
              <w:rPr>
                <w:rFonts w:ascii="仿宋_GB2312" w:hAnsi="仿宋_GB2312" w:eastAsia="仿宋_GB2312" w:cs="仿宋_GB2312"/>
                <w:color w:val="000000" w:themeColor="text1"/>
                <w:sz w:val="24"/>
                <w:szCs w:val="24"/>
              </w:rPr>
            </w:pPr>
          </w:p>
        </w:tc>
        <w:tc>
          <w:tcPr>
            <w:tcW w:w="1837" w:type="dxa"/>
            <w:vMerge w:val="restart"/>
            <w:vAlign w:val="center"/>
          </w:tcPr>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（四）开展烟草控制，降低人群吸烟率。</w:t>
            </w:r>
          </w:p>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（10分）</w:t>
            </w:r>
          </w:p>
        </w:tc>
        <w:tc>
          <w:tcPr>
            <w:tcW w:w="394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1.室内公共场所、工作场所和公共交通工具设置禁止吸烟警语和标识。</w:t>
            </w:r>
          </w:p>
        </w:tc>
        <w:tc>
          <w:tcPr>
            <w:tcW w:w="5331" w:type="dxa"/>
            <w:vAlign w:val="center"/>
          </w:tcPr>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100%的室内公共场所和工作场所设置禁止吸烟警语和标识，3分；95%-100%,1分；95%以下不得分。</w:t>
            </w:r>
          </w:p>
        </w:tc>
        <w:tc>
          <w:tcPr>
            <w:tcW w:w="120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区爱卫办、各成员单位</w:t>
            </w:r>
          </w:p>
        </w:tc>
        <w:tc>
          <w:tcPr>
            <w:tcW w:w="1579"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sz w:val="24"/>
                <w:szCs w:val="24"/>
              </w:rPr>
              <w:t>2020年12月长期保持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8" w:type="dxa"/>
            <w:vMerge w:val="continue"/>
            <w:vAlign w:val="center"/>
          </w:tcPr>
          <w:p>
            <w:pPr>
              <w:widowControl/>
              <w:snapToGrid w:val="0"/>
              <w:spacing w:line="400" w:lineRule="exact"/>
              <w:rPr>
                <w:rFonts w:ascii="仿宋_GB2312" w:hAnsi="仿宋_GB2312" w:eastAsia="仿宋_GB2312" w:cs="仿宋_GB2312"/>
                <w:color w:val="000000" w:themeColor="text1"/>
                <w:sz w:val="24"/>
                <w:szCs w:val="24"/>
              </w:rPr>
            </w:pPr>
          </w:p>
        </w:tc>
        <w:tc>
          <w:tcPr>
            <w:tcW w:w="1837" w:type="dxa"/>
            <w:vMerge w:val="continue"/>
            <w:vAlign w:val="center"/>
          </w:tcPr>
          <w:p>
            <w:pPr>
              <w:widowControl/>
              <w:snapToGrid w:val="0"/>
              <w:spacing w:line="400" w:lineRule="exact"/>
              <w:rPr>
                <w:rFonts w:ascii="仿宋_GB2312" w:hAnsi="仿宋_GB2312" w:eastAsia="仿宋_GB2312" w:cs="仿宋_GB2312"/>
                <w:color w:val="000000" w:themeColor="text1"/>
                <w:sz w:val="24"/>
                <w:szCs w:val="24"/>
              </w:rPr>
            </w:pPr>
          </w:p>
        </w:tc>
        <w:tc>
          <w:tcPr>
            <w:tcW w:w="394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2.禁止烟草广告。</w:t>
            </w:r>
          </w:p>
        </w:tc>
        <w:tc>
          <w:tcPr>
            <w:tcW w:w="5331" w:type="dxa"/>
            <w:vAlign w:val="center"/>
          </w:tcPr>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（1）有禁止烟草广告的政策文件，0.5分。</w:t>
            </w:r>
          </w:p>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（2）未发现烟草广告，0.5分。</w:t>
            </w:r>
          </w:p>
        </w:tc>
        <w:tc>
          <w:tcPr>
            <w:tcW w:w="120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区爱卫办、区市场监管局</w:t>
            </w:r>
          </w:p>
        </w:tc>
        <w:tc>
          <w:tcPr>
            <w:tcW w:w="1579"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sz w:val="24"/>
                <w:szCs w:val="24"/>
              </w:rPr>
              <w:t>2020年12月长期保持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8" w:type="dxa"/>
            <w:vMerge w:val="continue"/>
            <w:vAlign w:val="center"/>
          </w:tcPr>
          <w:p>
            <w:pPr>
              <w:widowControl/>
              <w:snapToGrid w:val="0"/>
              <w:spacing w:line="400" w:lineRule="exact"/>
              <w:rPr>
                <w:rFonts w:ascii="仿宋_GB2312" w:hAnsi="仿宋_GB2312" w:eastAsia="仿宋_GB2312" w:cs="仿宋_GB2312"/>
                <w:color w:val="000000" w:themeColor="text1"/>
                <w:sz w:val="24"/>
                <w:szCs w:val="24"/>
              </w:rPr>
            </w:pPr>
          </w:p>
        </w:tc>
        <w:tc>
          <w:tcPr>
            <w:tcW w:w="1837" w:type="dxa"/>
            <w:vMerge w:val="continue"/>
            <w:vAlign w:val="center"/>
          </w:tcPr>
          <w:p>
            <w:pPr>
              <w:widowControl/>
              <w:snapToGrid w:val="0"/>
              <w:spacing w:line="400" w:lineRule="exact"/>
              <w:rPr>
                <w:rFonts w:ascii="仿宋_GB2312" w:hAnsi="仿宋_GB2312" w:eastAsia="仿宋_GB2312" w:cs="仿宋_GB2312"/>
                <w:color w:val="000000" w:themeColor="text1"/>
                <w:sz w:val="24"/>
                <w:szCs w:val="24"/>
              </w:rPr>
            </w:pPr>
          </w:p>
        </w:tc>
        <w:tc>
          <w:tcPr>
            <w:tcW w:w="394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3.建设无烟党政机关、无烟医疗卫生计生机构、无烟学校。</w:t>
            </w:r>
          </w:p>
        </w:tc>
        <w:tc>
          <w:tcPr>
            <w:tcW w:w="5331" w:type="dxa"/>
            <w:vAlign w:val="center"/>
          </w:tcPr>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（1）覆盖率均达100%，2分；低于100%不得分。</w:t>
            </w:r>
          </w:p>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（2）抽查发现1个单位不合格，不得分。</w:t>
            </w:r>
          </w:p>
        </w:tc>
        <w:tc>
          <w:tcPr>
            <w:tcW w:w="120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区爱卫办、区卫生健康局、区教育和体育局、各成员单位</w:t>
            </w:r>
          </w:p>
        </w:tc>
        <w:tc>
          <w:tcPr>
            <w:tcW w:w="1579"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sz w:val="24"/>
                <w:szCs w:val="24"/>
              </w:rPr>
              <w:t>2020年12月长期保持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8" w:type="dxa"/>
            <w:vMerge w:val="continue"/>
            <w:vAlign w:val="center"/>
          </w:tcPr>
          <w:p>
            <w:pPr>
              <w:widowControl/>
              <w:snapToGrid w:val="0"/>
              <w:spacing w:line="400" w:lineRule="exact"/>
              <w:rPr>
                <w:rFonts w:ascii="仿宋_GB2312" w:hAnsi="仿宋_GB2312" w:eastAsia="仿宋_GB2312" w:cs="仿宋_GB2312"/>
                <w:color w:val="000000" w:themeColor="text1"/>
                <w:sz w:val="24"/>
                <w:szCs w:val="24"/>
              </w:rPr>
            </w:pPr>
          </w:p>
        </w:tc>
        <w:tc>
          <w:tcPr>
            <w:tcW w:w="1837" w:type="dxa"/>
            <w:vMerge w:val="continue"/>
            <w:vAlign w:val="center"/>
          </w:tcPr>
          <w:p>
            <w:pPr>
              <w:widowControl/>
              <w:snapToGrid w:val="0"/>
              <w:spacing w:line="400" w:lineRule="exact"/>
              <w:rPr>
                <w:rFonts w:ascii="仿宋_GB2312" w:hAnsi="仿宋_GB2312" w:eastAsia="仿宋_GB2312" w:cs="仿宋_GB2312"/>
                <w:color w:val="000000" w:themeColor="text1"/>
                <w:sz w:val="24"/>
                <w:szCs w:val="24"/>
              </w:rPr>
            </w:pPr>
          </w:p>
        </w:tc>
        <w:tc>
          <w:tcPr>
            <w:tcW w:w="394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4.各级医疗机构开展简短戒烟服务培训，二级及以上医疗机构提供简短戒烟服务。</w:t>
            </w:r>
          </w:p>
        </w:tc>
        <w:tc>
          <w:tcPr>
            <w:tcW w:w="5331" w:type="dxa"/>
            <w:vAlign w:val="center"/>
          </w:tcPr>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(1)开展简短戒烟服务培训的医疗机构比例≥80%，1分；80%以下不得分。</w:t>
            </w:r>
          </w:p>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(2)提供简短戒烟服务的医疗机构比例100%，1分；100%以下不得分。</w:t>
            </w:r>
          </w:p>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医疗机构包括驻地的一、二、三级医疗机构和妇幼保健院。</w:t>
            </w:r>
          </w:p>
        </w:tc>
        <w:tc>
          <w:tcPr>
            <w:tcW w:w="120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区爱卫办、区卫生健康局</w:t>
            </w:r>
          </w:p>
        </w:tc>
        <w:tc>
          <w:tcPr>
            <w:tcW w:w="1579"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sz w:val="24"/>
                <w:szCs w:val="24"/>
              </w:rPr>
              <w:t>2020年12月长期保持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8" w:type="dxa"/>
            <w:vMerge w:val="continue"/>
            <w:vAlign w:val="center"/>
          </w:tcPr>
          <w:p>
            <w:pPr>
              <w:widowControl/>
              <w:snapToGrid w:val="0"/>
              <w:spacing w:line="400" w:lineRule="exact"/>
              <w:rPr>
                <w:rFonts w:ascii="仿宋_GB2312" w:hAnsi="仿宋_GB2312" w:eastAsia="仿宋_GB2312" w:cs="仿宋_GB2312"/>
                <w:color w:val="000000" w:themeColor="text1"/>
                <w:sz w:val="24"/>
                <w:szCs w:val="24"/>
              </w:rPr>
            </w:pPr>
          </w:p>
        </w:tc>
        <w:tc>
          <w:tcPr>
            <w:tcW w:w="1837" w:type="dxa"/>
            <w:vMerge w:val="continue"/>
            <w:vAlign w:val="center"/>
          </w:tcPr>
          <w:p>
            <w:pPr>
              <w:widowControl/>
              <w:snapToGrid w:val="0"/>
              <w:spacing w:line="400" w:lineRule="exact"/>
              <w:rPr>
                <w:rFonts w:ascii="仿宋_GB2312" w:hAnsi="仿宋_GB2312" w:eastAsia="仿宋_GB2312" w:cs="仿宋_GB2312"/>
                <w:color w:val="000000" w:themeColor="text1"/>
                <w:sz w:val="24"/>
                <w:szCs w:val="24"/>
              </w:rPr>
            </w:pPr>
          </w:p>
        </w:tc>
        <w:tc>
          <w:tcPr>
            <w:tcW w:w="394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5.降低15岁以上成年人吸烟率。</w:t>
            </w:r>
          </w:p>
        </w:tc>
        <w:tc>
          <w:tcPr>
            <w:tcW w:w="5331" w:type="dxa"/>
            <w:vAlign w:val="center"/>
          </w:tcPr>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(1)15岁以上成人吸烟率低于22%，2分。</w:t>
            </w:r>
            <w:r>
              <w:rPr>
                <w:rFonts w:hint="eastAsia" w:ascii="仿宋_GB2312" w:hAnsi="仿宋_GB2312" w:eastAsia="仿宋_GB2312" w:cs="仿宋_GB2312"/>
                <w:color w:val="000000" w:themeColor="text1"/>
                <w:sz w:val="24"/>
                <w:szCs w:val="24"/>
              </w:rPr>
              <w:br w:type="textWrapping"/>
            </w:r>
            <w:r>
              <w:rPr>
                <w:rFonts w:hint="eastAsia" w:ascii="仿宋_GB2312" w:hAnsi="仿宋_GB2312" w:eastAsia="仿宋_GB2312" w:cs="仿宋_GB2312"/>
                <w:color w:val="000000" w:themeColor="text1"/>
                <w:sz w:val="24"/>
                <w:szCs w:val="24"/>
              </w:rPr>
              <w:t>(2)复审：15岁以上成人吸烟率逐年下降，5年降低10%；5年降低未达到10%不得分。</w:t>
            </w:r>
          </w:p>
        </w:tc>
        <w:tc>
          <w:tcPr>
            <w:tcW w:w="120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区爱卫办、各成员单位</w:t>
            </w:r>
          </w:p>
        </w:tc>
        <w:tc>
          <w:tcPr>
            <w:tcW w:w="1579"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sz w:val="24"/>
                <w:szCs w:val="24"/>
              </w:rPr>
              <w:t>2020年12月长期保持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8" w:type="dxa"/>
            <w:vMerge w:val="restart"/>
            <w:vAlign w:val="center"/>
          </w:tcPr>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三、体系整合</w:t>
            </w:r>
          </w:p>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（30分）</w:t>
            </w:r>
          </w:p>
        </w:tc>
        <w:tc>
          <w:tcPr>
            <w:tcW w:w="1837" w:type="dxa"/>
            <w:vMerge w:val="restart"/>
            <w:vAlign w:val="center"/>
          </w:tcPr>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（一）建立防治结合、分工协作、优势互补、上下联动的慢性病综合防治体系。</w:t>
            </w:r>
          </w:p>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（15分）</w:t>
            </w:r>
          </w:p>
        </w:tc>
        <w:tc>
          <w:tcPr>
            <w:tcW w:w="394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1.建立完善慢性病防控服务体系和分工明确、上下联动的工作机制。</w:t>
            </w:r>
          </w:p>
        </w:tc>
        <w:tc>
          <w:tcPr>
            <w:tcW w:w="5331" w:type="dxa"/>
            <w:vAlign w:val="center"/>
          </w:tcPr>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（1）卫生健康行政部门制订实施慢性病防控服务体系建设的方案，4分。</w:t>
            </w:r>
          </w:p>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（2）明确专业公共卫生机构、医院和基层医疗卫生机构职责，4分。</w:t>
            </w:r>
          </w:p>
        </w:tc>
        <w:tc>
          <w:tcPr>
            <w:tcW w:w="120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区卫生健康局</w:t>
            </w:r>
          </w:p>
        </w:tc>
        <w:tc>
          <w:tcPr>
            <w:tcW w:w="1579"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sz w:val="24"/>
                <w:szCs w:val="24"/>
              </w:rPr>
              <w:t>2020年12月长期保持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8" w:type="dxa"/>
            <w:vMerge w:val="continue"/>
            <w:vAlign w:val="center"/>
          </w:tcPr>
          <w:p>
            <w:pPr>
              <w:widowControl/>
              <w:snapToGrid w:val="0"/>
              <w:spacing w:line="400" w:lineRule="exact"/>
              <w:rPr>
                <w:rFonts w:ascii="仿宋_GB2312" w:hAnsi="仿宋_GB2312" w:eastAsia="仿宋_GB2312" w:cs="仿宋_GB2312"/>
                <w:color w:val="000000" w:themeColor="text1"/>
                <w:sz w:val="24"/>
                <w:szCs w:val="24"/>
              </w:rPr>
            </w:pPr>
          </w:p>
        </w:tc>
        <w:tc>
          <w:tcPr>
            <w:tcW w:w="1837" w:type="dxa"/>
            <w:vMerge w:val="continue"/>
            <w:vAlign w:val="center"/>
          </w:tcPr>
          <w:p>
            <w:pPr>
              <w:widowControl/>
              <w:snapToGrid w:val="0"/>
              <w:spacing w:line="400" w:lineRule="exact"/>
              <w:rPr>
                <w:rFonts w:ascii="仿宋_GB2312" w:hAnsi="仿宋_GB2312" w:eastAsia="仿宋_GB2312" w:cs="仿宋_GB2312"/>
                <w:color w:val="000000" w:themeColor="text1"/>
                <w:sz w:val="24"/>
                <w:szCs w:val="24"/>
              </w:rPr>
            </w:pPr>
          </w:p>
        </w:tc>
        <w:tc>
          <w:tcPr>
            <w:tcW w:w="394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2.建立完善信息共享、互联互通等的工作机制，推进慢性病防、治、管的整合。</w:t>
            </w:r>
          </w:p>
        </w:tc>
        <w:tc>
          <w:tcPr>
            <w:tcW w:w="5331" w:type="dxa"/>
            <w:vAlign w:val="center"/>
          </w:tcPr>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（1）卫生健康行政部门负责督导慢性病防控服务体系的有效运行，2分。</w:t>
            </w:r>
          </w:p>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（2）建立完善慢性病防控服务体系的运行、质控、绩效评价机制，2分。</w:t>
            </w:r>
          </w:p>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（3）开展医联体、医共体等建设，将慢性病防控作为县域医联体、医共体的重点内容。疾控、医院对基层医疗卫生机构进行的技术指导，建立有效的协作机制，2分。</w:t>
            </w:r>
          </w:p>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（4）疾控机构指导乡镇（街道）对居民电子健康档案及健康相关信息、干预效果进行分析评估，提供优化策略，1分。</w:t>
            </w:r>
          </w:p>
        </w:tc>
        <w:tc>
          <w:tcPr>
            <w:tcW w:w="120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区卫生健康局、各医疗卫生单位</w:t>
            </w:r>
          </w:p>
        </w:tc>
        <w:tc>
          <w:tcPr>
            <w:tcW w:w="1579"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sz w:val="24"/>
                <w:szCs w:val="24"/>
              </w:rPr>
              <w:t>2020年12月长期保持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378" w:type="dxa"/>
            <w:vMerge w:val="continue"/>
            <w:vAlign w:val="center"/>
          </w:tcPr>
          <w:p>
            <w:pPr>
              <w:widowControl/>
              <w:snapToGrid w:val="0"/>
              <w:spacing w:line="400" w:lineRule="exact"/>
              <w:rPr>
                <w:rFonts w:ascii="仿宋_GB2312" w:hAnsi="仿宋_GB2312" w:eastAsia="仿宋_GB2312" w:cs="仿宋_GB2312"/>
                <w:color w:val="000000" w:themeColor="text1"/>
                <w:sz w:val="24"/>
                <w:szCs w:val="24"/>
              </w:rPr>
            </w:pPr>
          </w:p>
        </w:tc>
        <w:tc>
          <w:tcPr>
            <w:tcW w:w="1837" w:type="dxa"/>
            <w:vMerge w:val="restart"/>
            <w:vAlign w:val="center"/>
          </w:tcPr>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（二）加强慢性病防控队伍建设。（15分）</w:t>
            </w:r>
          </w:p>
        </w:tc>
        <w:tc>
          <w:tcPr>
            <w:tcW w:w="394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1.疾病预防控制机构按职能有独立的慢性病防控科室，配备专职人员。</w:t>
            </w:r>
          </w:p>
        </w:tc>
        <w:tc>
          <w:tcPr>
            <w:tcW w:w="5331" w:type="dxa"/>
            <w:vAlign w:val="center"/>
          </w:tcPr>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（1）疾病预防控制机构有独立的慢性病防控科室，2分。</w:t>
            </w:r>
          </w:p>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（2）专职人员占本机构专业人员总数的比例≥10%，2分；5-10%，1分；低于5%不得分。</w:t>
            </w:r>
          </w:p>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（3）每年接受上级专业培训不少于2次，1分。</w:t>
            </w:r>
          </w:p>
        </w:tc>
        <w:tc>
          <w:tcPr>
            <w:tcW w:w="120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区疾控中心</w:t>
            </w:r>
          </w:p>
        </w:tc>
        <w:tc>
          <w:tcPr>
            <w:tcW w:w="1579"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sz w:val="24"/>
                <w:szCs w:val="24"/>
              </w:rPr>
              <w:t>2020年12月长期保持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8" w:type="dxa"/>
            <w:vMerge w:val="continue"/>
            <w:vAlign w:val="center"/>
          </w:tcPr>
          <w:p>
            <w:pPr>
              <w:widowControl/>
              <w:snapToGrid w:val="0"/>
              <w:spacing w:line="400" w:lineRule="exact"/>
              <w:rPr>
                <w:rFonts w:ascii="仿宋_GB2312" w:hAnsi="仿宋_GB2312" w:eastAsia="仿宋_GB2312" w:cs="仿宋_GB2312"/>
                <w:color w:val="000000" w:themeColor="text1"/>
                <w:sz w:val="24"/>
                <w:szCs w:val="24"/>
              </w:rPr>
            </w:pPr>
          </w:p>
        </w:tc>
        <w:tc>
          <w:tcPr>
            <w:tcW w:w="1837" w:type="dxa"/>
            <w:vMerge w:val="continue"/>
            <w:vAlign w:val="center"/>
          </w:tcPr>
          <w:p>
            <w:pPr>
              <w:widowControl/>
              <w:snapToGrid w:val="0"/>
              <w:spacing w:line="400" w:lineRule="exact"/>
              <w:rPr>
                <w:rFonts w:ascii="仿宋_GB2312" w:hAnsi="仿宋_GB2312" w:eastAsia="仿宋_GB2312" w:cs="仿宋_GB2312"/>
                <w:color w:val="000000" w:themeColor="text1"/>
                <w:sz w:val="24"/>
                <w:szCs w:val="24"/>
              </w:rPr>
            </w:pPr>
          </w:p>
        </w:tc>
        <w:tc>
          <w:tcPr>
            <w:tcW w:w="394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2.二级以上医院设立公共卫生科，配备公共卫生专业人员，履行相应的公共卫生职责。</w:t>
            </w:r>
          </w:p>
        </w:tc>
        <w:tc>
          <w:tcPr>
            <w:tcW w:w="5331" w:type="dxa"/>
            <w:vAlign w:val="center"/>
          </w:tcPr>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（1）二级以上医院</w:t>
            </w:r>
            <w:r>
              <w:rPr>
                <w:rFonts w:hint="eastAsia" w:ascii="仿宋_GB2312" w:hAnsi="仿宋_GB2312" w:eastAsia="仿宋_GB2312" w:cs="仿宋_GB2312"/>
                <w:color w:val="000000" w:themeColor="text1"/>
                <w:kern w:val="0"/>
                <w:sz w:val="24"/>
                <w:szCs w:val="24"/>
              </w:rPr>
              <w:t>设立公共卫生科，1分；</w:t>
            </w:r>
            <w:r>
              <w:rPr>
                <w:rFonts w:hint="eastAsia" w:ascii="仿宋_GB2312" w:hAnsi="仿宋_GB2312" w:eastAsia="仿宋_GB2312" w:cs="仿宋_GB2312"/>
                <w:color w:val="000000" w:themeColor="text1"/>
                <w:sz w:val="24"/>
                <w:szCs w:val="24"/>
              </w:rPr>
              <w:t>有承担疾病预防控制工作的部门，1分。</w:t>
            </w:r>
          </w:p>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（2）二级以上医院有专职的公共卫生人员承担慢性病防控工作，1分。</w:t>
            </w:r>
          </w:p>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（3）二级以上医院每年组织对基层医疗机构的慢病专业培训不少于2次且基层慢性病防治人员培训率达90%以上，2分；培训率80-90%，1分，低于80%不得分。</w:t>
            </w:r>
          </w:p>
        </w:tc>
        <w:tc>
          <w:tcPr>
            <w:tcW w:w="120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区卫生健康局、二级以上医院</w:t>
            </w:r>
          </w:p>
        </w:tc>
        <w:tc>
          <w:tcPr>
            <w:tcW w:w="1579"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sz w:val="24"/>
                <w:szCs w:val="24"/>
              </w:rPr>
              <w:t>2020年12月长期保持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8" w:type="dxa"/>
            <w:vMerge w:val="continue"/>
            <w:vAlign w:val="center"/>
          </w:tcPr>
          <w:p>
            <w:pPr>
              <w:widowControl/>
              <w:snapToGrid w:val="0"/>
              <w:spacing w:line="400" w:lineRule="exact"/>
              <w:rPr>
                <w:rFonts w:ascii="仿宋_GB2312" w:hAnsi="仿宋_GB2312" w:eastAsia="仿宋_GB2312" w:cs="仿宋_GB2312"/>
                <w:color w:val="000000" w:themeColor="text1"/>
                <w:sz w:val="24"/>
                <w:szCs w:val="24"/>
              </w:rPr>
            </w:pPr>
          </w:p>
        </w:tc>
        <w:tc>
          <w:tcPr>
            <w:tcW w:w="1837" w:type="dxa"/>
            <w:vMerge w:val="continue"/>
            <w:vAlign w:val="center"/>
          </w:tcPr>
          <w:p>
            <w:pPr>
              <w:widowControl/>
              <w:snapToGrid w:val="0"/>
              <w:spacing w:line="400" w:lineRule="exact"/>
              <w:rPr>
                <w:rFonts w:ascii="仿宋_GB2312" w:hAnsi="仿宋_GB2312" w:eastAsia="仿宋_GB2312" w:cs="仿宋_GB2312"/>
                <w:color w:val="000000" w:themeColor="text1"/>
                <w:sz w:val="24"/>
                <w:szCs w:val="24"/>
              </w:rPr>
            </w:pPr>
          </w:p>
        </w:tc>
        <w:tc>
          <w:tcPr>
            <w:tcW w:w="394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3.基层医疗卫生机构加强公共卫生服务能力建设，承担所在区域慢性病防控工作。</w:t>
            </w:r>
          </w:p>
        </w:tc>
        <w:tc>
          <w:tcPr>
            <w:tcW w:w="5331" w:type="dxa"/>
            <w:vAlign w:val="center"/>
          </w:tcPr>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（1）基层医疗机构设有单独的科室负责慢性病防控工作，1分。</w:t>
            </w:r>
          </w:p>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（2）基层医疗机构有专职人员承担慢性病防控工作，2分。</w:t>
            </w:r>
          </w:p>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（3）基层医疗机构每年接受上级培训不少于2次，1分。</w:t>
            </w:r>
          </w:p>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（4）基层医疗机构每年组织对村医或社区卫生服务站医护人员的培训不少于2次且培训率达到90%以上，1分。</w:t>
            </w:r>
          </w:p>
        </w:tc>
        <w:tc>
          <w:tcPr>
            <w:tcW w:w="120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区卫生健康局、各镇卫生院和社区卫生服务中心</w:t>
            </w:r>
          </w:p>
        </w:tc>
        <w:tc>
          <w:tcPr>
            <w:tcW w:w="1579"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sz w:val="24"/>
                <w:szCs w:val="24"/>
              </w:rPr>
              <w:t>2020年12月长期保持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378" w:type="dxa"/>
            <w:vMerge w:val="restart"/>
            <w:vAlign w:val="center"/>
          </w:tcPr>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四、健康教育与健康促进</w:t>
            </w:r>
          </w:p>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（28分）</w:t>
            </w:r>
          </w:p>
        </w:tc>
        <w:tc>
          <w:tcPr>
            <w:tcW w:w="1837" w:type="dxa"/>
            <w:vMerge w:val="restart"/>
            <w:vAlign w:val="center"/>
          </w:tcPr>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（一）通过多种渠道积极开展慢性病防治全民健康教育。</w:t>
            </w:r>
          </w:p>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（10分）</w:t>
            </w:r>
          </w:p>
        </w:tc>
        <w:tc>
          <w:tcPr>
            <w:tcW w:w="394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1.广泛开展健康教育，定期传播慢性病防治和健康素养知识和技能。</w:t>
            </w:r>
          </w:p>
        </w:tc>
        <w:tc>
          <w:tcPr>
            <w:tcW w:w="5331" w:type="dxa"/>
            <w:vAlign w:val="center"/>
          </w:tcPr>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利用社会主流媒体和互联网等新媒体广泛开展慢性病防治和健康教育，每月不少于2次，2分。</w:t>
            </w:r>
          </w:p>
        </w:tc>
        <w:tc>
          <w:tcPr>
            <w:tcW w:w="120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区委宣传部、区卫生健康局、区融媒体中心</w:t>
            </w:r>
          </w:p>
        </w:tc>
        <w:tc>
          <w:tcPr>
            <w:tcW w:w="1579"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sz w:val="24"/>
                <w:szCs w:val="24"/>
              </w:rPr>
              <w:t>2020年12月长期保持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1378" w:type="dxa"/>
            <w:vMerge w:val="continue"/>
            <w:vAlign w:val="center"/>
          </w:tcPr>
          <w:p>
            <w:pPr>
              <w:widowControl/>
              <w:snapToGrid w:val="0"/>
              <w:spacing w:line="400" w:lineRule="exact"/>
              <w:rPr>
                <w:rFonts w:ascii="仿宋_GB2312" w:hAnsi="仿宋_GB2312" w:eastAsia="仿宋_GB2312" w:cs="仿宋_GB2312"/>
                <w:color w:val="000000" w:themeColor="text1"/>
                <w:sz w:val="24"/>
                <w:szCs w:val="24"/>
              </w:rPr>
            </w:pPr>
          </w:p>
        </w:tc>
        <w:tc>
          <w:tcPr>
            <w:tcW w:w="1837" w:type="dxa"/>
            <w:vMerge w:val="continue"/>
            <w:vAlign w:val="center"/>
          </w:tcPr>
          <w:p>
            <w:pPr>
              <w:widowControl/>
              <w:snapToGrid w:val="0"/>
              <w:spacing w:line="400" w:lineRule="exact"/>
              <w:rPr>
                <w:rFonts w:ascii="仿宋_GB2312" w:hAnsi="仿宋_GB2312" w:eastAsia="仿宋_GB2312" w:cs="仿宋_GB2312"/>
                <w:color w:val="000000" w:themeColor="text1"/>
                <w:sz w:val="24"/>
                <w:szCs w:val="24"/>
              </w:rPr>
            </w:pPr>
          </w:p>
        </w:tc>
        <w:tc>
          <w:tcPr>
            <w:tcW w:w="394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2.开展社会性大型健康日活动，扩大传播慢性病防治和慢病健康素养知识和技能的范围。</w:t>
            </w:r>
          </w:p>
        </w:tc>
        <w:tc>
          <w:tcPr>
            <w:tcW w:w="5331" w:type="dxa"/>
            <w:vAlign w:val="center"/>
          </w:tcPr>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每年至少开展4次健康主题日大型宣传活动，应包括肿瘤宣传周、全国高血压日、世界糖尿病日、全民健康生活方式日、爱牙日、世界脑卒中日等，2分。</w:t>
            </w:r>
            <w:r>
              <w:rPr>
                <w:rFonts w:hint="eastAsia" w:ascii="仿宋_GB2312" w:hAnsi="仿宋_GB2312" w:eastAsia="仿宋_GB2312" w:cs="仿宋_GB2312"/>
                <w:color w:val="000000" w:themeColor="text1"/>
                <w:sz w:val="24"/>
                <w:szCs w:val="24"/>
              </w:rPr>
              <w:br w:type="textWrapping"/>
            </w:r>
            <w:r>
              <w:rPr>
                <w:rFonts w:hint="eastAsia" w:ascii="仿宋_GB2312" w:hAnsi="仿宋_GB2312" w:eastAsia="仿宋_GB2312" w:cs="仿宋_GB2312"/>
                <w:color w:val="000000" w:themeColor="text1"/>
                <w:sz w:val="24"/>
                <w:szCs w:val="24"/>
              </w:rPr>
              <w:t>大型活动是指参与人数超过300人(含分会场)。</w:t>
            </w:r>
          </w:p>
        </w:tc>
        <w:tc>
          <w:tcPr>
            <w:tcW w:w="120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区卫生健康局、各成员单位</w:t>
            </w:r>
          </w:p>
        </w:tc>
        <w:tc>
          <w:tcPr>
            <w:tcW w:w="1579"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sz w:val="24"/>
                <w:szCs w:val="24"/>
              </w:rPr>
              <w:t>2020年12月长期保持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trPr>
        <w:tc>
          <w:tcPr>
            <w:tcW w:w="1378" w:type="dxa"/>
            <w:vMerge w:val="continue"/>
            <w:vAlign w:val="center"/>
          </w:tcPr>
          <w:p>
            <w:pPr>
              <w:widowControl/>
              <w:snapToGrid w:val="0"/>
              <w:spacing w:line="400" w:lineRule="exact"/>
              <w:rPr>
                <w:rFonts w:ascii="仿宋_GB2312" w:hAnsi="仿宋_GB2312" w:eastAsia="仿宋_GB2312" w:cs="仿宋_GB2312"/>
                <w:color w:val="000000" w:themeColor="text1"/>
                <w:sz w:val="24"/>
                <w:szCs w:val="24"/>
              </w:rPr>
            </w:pPr>
          </w:p>
        </w:tc>
        <w:tc>
          <w:tcPr>
            <w:tcW w:w="1837" w:type="dxa"/>
            <w:vMerge w:val="continue"/>
            <w:vAlign w:val="center"/>
          </w:tcPr>
          <w:p>
            <w:pPr>
              <w:widowControl/>
              <w:snapToGrid w:val="0"/>
              <w:spacing w:line="400" w:lineRule="exact"/>
              <w:rPr>
                <w:rFonts w:ascii="仿宋_GB2312" w:hAnsi="仿宋_GB2312" w:eastAsia="仿宋_GB2312" w:cs="仿宋_GB2312"/>
                <w:color w:val="000000" w:themeColor="text1"/>
                <w:sz w:val="24"/>
                <w:szCs w:val="24"/>
              </w:rPr>
            </w:pPr>
          </w:p>
        </w:tc>
        <w:tc>
          <w:tcPr>
            <w:tcW w:w="394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3.各社区设有健康教育宣传阵地，向居民普及慢性病防控的知识与技能。</w:t>
            </w:r>
          </w:p>
        </w:tc>
        <w:tc>
          <w:tcPr>
            <w:tcW w:w="5331" w:type="dxa"/>
            <w:vAlign w:val="center"/>
          </w:tcPr>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（1）健康教育活动室在当地社区的覆盖率达85%，1分。</w:t>
            </w:r>
            <w:r>
              <w:rPr>
                <w:rFonts w:hint="eastAsia" w:ascii="仿宋_GB2312" w:hAnsi="仿宋_GB2312" w:eastAsia="仿宋_GB2312" w:cs="仿宋_GB2312"/>
                <w:color w:val="000000" w:themeColor="text1"/>
                <w:sz w:val="24"/>
                <w:szCs w:val="24"/>
              </w:rPr>
              <w:br w:type="textWrapping"/>
            </w:r>
            <w:r>
              <w:rPr>
                <w:rFonts w:hint="eastAsia" w:ascii="仿宋_GB2312" w:hAnsi="仿宋_GB2312" w:eastAsia="仿宋_GB2312" w:cs="仿宋_GB2312"/>
                <w:color w:val="000000" w:themeColor="text1"/>
                <w:sz w:val="24"/>
                <w:szCs w:val="24"/>
              </w:rPr>
              <w:t>（2）健康宣传栏社区覆盖率≥90%，内容至少2个月更新1次，1分。</w:t>
            </w:r>
            <w:r>
              <w:rPr>
                <w:rFonts w:hint="eastAsia" w:ascii="仿宋_GB2312" w:hAnsi="仿宋_GB2312" w:eastAsia="仿宋_GB2312" w:cs="仿宋_GB2312"/>
                <w:color w:val="000000" w:themeColor="text1"/>
                <w:sz w:val="24"/>
                <w:szCs w:val="24"/>
              </w:rPr>
              <w:br w:type="textWrapping"/>
            </w:r>
            <w:r>
              <w:rPr>
                <w:rFonts w:hint="eastAsia" w:ascii="仿宋_GB2312" w:hAnsi="仿宋_GB2312" w:eastAsia="仿宋_GB2312" w:cs="仿宋_GB2312"/>
                <w:color w:val="000000" w:themeColor="text1"/>
                <w:sz w:val="24"/>
                <w:szCs w:val="24"/>
              </w:rPr>
              <w:t>（3）社区健康讲座每年≥4次，每次不少于50人，1分。</w:t>
            </w:r>
          </w:p>
        </w:tc>
        <w:tc>
          <w:tcPr>
            <w:tcW w:w="120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各镇政府（街道办事处）</w:t>
            </w:r>
          </w:p>
        </w:tc>
        <w:tc>
          <w:tcPr>
            <w:tcW w:w="1579"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sz w:val="24"/>
                <w:szCs w:val="24"/>
              </w:rPr>
              <w:t>2020年12月长期保持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1378" w:type="dxa"/>
            <w:vMerge w:val="continue"/>
            <w:vAlign w:val="center"/>
          </w:tcPr>
          <w:p>
            <w:pPr>
              <w:widowControl/>
              <w:snapToGrid w:val="0"/>
              <w:spacing w:line="400" w:lineRule="exact"/>
              <w:rPr>
                <w:rFonts w:ascii="仿宋_GB2312" w:hAnsi="仿宋_GB2312" w:eastAsia="仿宋_GB2312" w:cs="仿宋_GB2312"/>
                <w:color w:val="000000" w:themeColor="text1"/>
                <w:sz w:val="24"/>
                <w:szCs w:val="24"/>
              </w:rPr>
            </w:pPr>
          </w:p>
        </w:tc>
        <w:tc>
          <w:tcPr>
            <w:tcW w:w="1837" w:type="dxa"/>
            <w:vMerge w:val="continue"/>
            <w:vAlign w:val="center"/>
          </w:tcPr>
          <w:p>
            <w:pPr>
              <w:widowControl/>
              <w:snapToGrid w:val="0"/>
              <w:spacing w:line="400" w:lineRule="exact"/>
              <w:rPr>
                <w:rFonts w:ascii="仿宋_GB2312" w:hAnsi="仿宋_GB2312" w:eastAsia="仿宋_GB2312" w:cs="仿宋_GB2312"/>
                <w:color w:val="000000" w:themeColor="text1"/>
                <w:sz w:val="24"/>
                <w:szCs w:val="24"/>
              </w:rPr>
            </w:pPr>
          </w:p>
        </w:tc>
        <w:tc>
          <w:tcPr>
            <w:tcW w:w="394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4.开展幼儿园、中小学校健康行为方式教育。</w:t>
            </w:r>
          </w:p>
        </w:tc>
        <w:tc>
          <w:tcPr>
            <w:tcW w:w="5331" w:type="dxa"/>
            <w:vAlign w:val="center"/>
          </w:tcPr>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（1）幼儿园、中小学校开设健康教育课覆盖率达100%，1分。</w:t>
            </w:r>
            <w:r>
              <w:rPr>
                <w:rFonts w:hint="eastAsia" w:ascii="仿宋_GB2312" w:hAnsi="仿宋_GB2312" w:eastAsia="仿宋_GB2312" w:cs="仿宋_GB2312"/>
                <w:color w:val="000000" w:themeColor="text1"/>
                <w:sz w:val="24"/>
                <w:szCs w:val="24"/>
              </w:rPr>
              <w:br w:type="textWrapping"/>
            </w:r>
            <w:r>
              <w:rPr>
                <w:rFonts w:hint="eastAsia" w:ascii="仿宋_GB2312" w:hAnsi="仿宋_GB2312" w:eastAsia="仿宋_GB2312" w:cs="仿宋_GB2312"/>
                <w:color w:val="000000" w:themeColor="text1"/>
                <w:sz w:val="24"/>
                <w:szCs w:val="24"/>
              </w:rPr>
              <w:t>（2）健康教育课包括营养均衡、口腔保健、健康体重、视力保护等内容，每学期以班级为单位，课程≥6学时，2分；低于6学时不得分。</w:t>
            </w:r>
          </w:p>
        </w:tc>
        <w:tc>
          <w:tcPr>
            <w:tcW w:w="120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区教育和体育局</w:t>
            </w:r>
          </w:p>
        </w:tc>
        <w:tc>
          <w:tcPr>
            <w:tcW w:w="1579"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sz w:val="24"/>
                <w:szCs w:val="24"/>
              </w:rPr>
              <w:t>2020年12月长期保持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378" w:type="dxa"/>
            <w:vMerge w:val="continue"/>
            <w:vAlign w:val="center"/>
          </w:tcPr>
          <w:p>
            <w:pPr>
              <w:widowControl/>
              <w:snapToGrid w:val="0"/>
              <w:spacing w:line="400" w:lineRule="exact"/>
              <w:rPr>
                <w:rFonts w:ascii="仿宋_GB2312" w:hAnsi="仿宋_GB2312" w:eastAsia="仿宋_GB2312" w:cs="仿宋_GB2312"/>
                <w:color w:val="000000" w:themeColor="text1"/>
                <w:sz w:val="24"/>
                <w:szCs w:val="24"/>
              </w:rPr>
            </w:pPr>
          </w:p>
        </w:tc>
        <w:tc>
          <w:tcPr>
            <w:tcW w:w="1837" w:type="dxa"/>
            <w:vMerge w:val="restart"/>
            <w:vAlign w:val="center"/>
          </w:tcPr>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（二）提高居民重点慢性病核心知识知晓率和居民健康素养水平。</w:t>
            </w:r>
          </w:p>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（10分）</w:t>
            </w:r>
          </w:p>
        </w:tc>
        <w:tc>
          <w:tcPr>
            <w:tcW w:w="394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1.提高居民重点慢性病核心知识知晓率。</w:t>
            </w:r>
          </w:p>
        </w:tc>
        <w:tc>
          <w:tcPr>
            <w:tcW w:w="5331" w:type="dxa"/>
            <w:vAlign w:val="center"/>
          </w:tcPr>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居民重点慢性病核心知识知晓率≥60%，6分；50-60%，4分；低于50%不得分。</w:t>
            </w:r>
          </w:p>
        </w:tc>
        <w:tc>
          <w:tcPr>
            <w:tcW w:w="120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区委宣传部、区融媒体中心、区卫生健康局、各镇政府（街道办事处）、各成员单位</w:t>
            </w:r>
          </w:p>
        </w:tc>
        <w:tc>
          <w:tcPr>
            <w:tcW w:w="1579" w:type="dxa"/>
            <w:vAlign w:val="center"/>
          </w:tcPr>
          <w:p>
            <w:pPr>
              <w:widowControl/>
              <w:snapToGrid w:val="0"/>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2020年12月</w:t>
            </w:r>
          </w:p>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sz w:val="24"/>
                <w:szCs w:val="24"/>
              </w:rPr>
              <w:t>长期保持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378" w:type="dxa"/>
            <w:vMerge w:val="continue"/>
            <w:vAlign w:val="center"/>
          </w:tcPr>
          <w:p>
            <w:pPr>
              <w:widowControl/>
              <w:snapToGrid w:val="0"/>
              <w:spacing w:line="400" w:lineRule="exact"/>
              <w:rPr>
                <w:rFonts w:ascii="仿宋_GB2312" w:hAnsi="仿宋_GB2312" w:eastAsia="仿宋_GB2312" w:cs="仿宋_GB2312"/>
                <w:color w:val="000000" w:themeColor="text1"/>
                <w:sz w:val="24"/>
                <w:szCs w:val="24"/>
              </w:rPr>
            </w:pPr>
          </w:p>
        </w:tc>
        <w:tc>
          <w:tcPr>
            <w:tcW w:w="1837" w:type="dxa"/>
            <w:vMerge w:val="continue"/>
            <w:vAlign w:val="center"/>
          </w:tcPr>
          <w:p>
            <w:pPr>
              <w:widowControl/>
              <w:snapToGrid w:val="0"/>
              <w:spacing w:line="400" w:lineRule="exact"/>
              <w:rPr>
                <w:rFonts w:ascii="仿宋_GB2312" w:hAnsi="仿宋_GB2312" w:eastAsia="仿宋_GB2312" w:cs="仿宋_GB2312"/>
                <w:color w:val="000000" w:themeColor="text1"/>
                <w:sz w:val="24"/>
                <w:szCs w:val="24"/>
              </w:rPr>
            </w:pPr>
          </w:p>
        </w:tc>
        <w:tc>
          <w:tcPr>
            <w:tcW w:w="394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2.提高居民健康素养水平。</w:t>
            </w:r>
          </w:p>
        </w:tc>
        <w:tc>
          <w:tcPr>
            <w:tcW w:w="5331" w:type="dxa"/>
            <w:vAlign w:val="center"/>
          </w:tcPr>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居民健康素养水平达到20%或高于全省平均水平，4分；15-20%，3分；15%以下不得分。</w:t>
            </w:r>
          </w:p>
        </w:tc>
        <w:tc>
          <w:tcPr>
            <w:tcW w:w="120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区委宣传部、区融媒体中心、区卫生健康局、各镇政府（街道办事处）、各成员单位</w:t>
            </w:r>
          </w:p>
        </w:tc>
        <w:tc>
          <w:tcPr>
            <w:tcW w:w="1579" w:type="dxa"/>
            <w:vAlign w:val="center"/>
          </w:tcPr>
          <w:p>
            <w:pPr>
              <w:widowControl/>
              <w:snapToGrid w:val="0"/>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2020年12月</w:t>
            </w:r>
          </w:p>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sz w:val="24"/>
                <w:szCs w:val="24"/>
              </w:rPr>
              <w:t>长期保持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78" w:type="dxa"/>
            <w:vMerge w:val="continue"/>
            <w:vAlign w:val="center"/>
          </w:tcPr>
          <w:p>
            <w:pPr>
              <w:widowControl/>
              <w:snapToGrid w:val="0"/>
              <w:spacing w:line="400" w:lineRule="exact"/>
              <w:rPr>
                <w:rFonts w:ascii="仿宋_GB2312" w:hAnsi="仿宋_GB2312" w:eastAsia="仿宋_GB2312" w:cs="仿宋_GB2312"/>
                <w:color w:val="000000" w:themeColor="text1"/>
                <w:sz w:val="24"/>
                <w:szCs w:val="24"/>
              </w:rPr>
            </w:pPr>
          </w:p>
        </w:tc>
        <w:tc>
          <w:tcPr>
            <w:tcW w:w="1837" w:type="dxa"/>
            <w:vMerge w:val="restart"/>
            <w:vAlign w:val="center"/>
          </w:tcPr>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（三）发挥社会团体和群众组织在慢性病防控中的积极作用。</w:t>
            </w:r>
          </w:p>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（8分）</w:t>
            </w:r>
          </w:p>
        </w:tc>
        <w:tc>
          <w:tcPr>
            <w:tcW w:w="394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1.开展群众性健身运动。</w:t>
            </w:r>
          </w:p>
        </w:tc>
        <w:tc>
          <w:tcPr>
            <w:tcW w:w="5331" w:type="dxa"/>
            <w:vAlign w:val="center"/>
          </w:tcPr>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（1）有5个及以上的群众健身团体，1分。</w:t>
            </w:r>
          </w:p>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（2）配有体育指导员和志愿者，社会体育指导员数量占总人口的2.3‰以上，1分。达不到不得分。</w:t>
            </w:r>
          </w:p>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复审：成立1个以上群众健身团队的社区（村）的比例达到60%以上，1分，不足60%不得分。配有体育指导员和志愿者，社会体育指导员数量占总人口的2.3‰以上，1分。达不到不得分。</w:t>
            </w:r>
          </w:p>
        </w:tc>
        <w:tc>
          <w:tcPr>
            <w:tcW w:w="120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区教育和体育局、各镇政府（街道办事处）</w:t>
            </w:r>
          </w:p>
        </w:tc>
        <w:tc>
          <w:tcPr>
            <w:tcW w:w="1579" w:type="dxa"/>
            <w:vAlign w:val="center"/>
          </w:tcPr>
          <w:p>
            <w:pPr>
              <w:widowControl/>
              <w:snapToGrid w:val="0"/>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2020年12月</w:t>
            </w:r>
          </w:p>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sz w:val="24"/>
                <w:szCs w:val="24"/>
              </w:rPr>
              <w:t>长期保持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378" w:type="dxa"/>
            <w:vMerge w:val="continue"/>
            <w:vAlign w:val="center"/>
          </w:tcPr>
          <w:p>
            <w:pPr>
              <w:widowControl/>
              <w:snapToGrid w:val="0"/>
              <w:spacing w:line="400" w:lineRule="exact"/>
              <w:rPr>
                <w:rFonts w:ascii="仿宋_GB2312" w:hAnsi="仿宋_GB2312" w:eastAsia="仿宋_GB2312" w:cs="仿宋_GB2312"/>
                <w:color w:val="000000" w:themeColor="text1"/>
                <w:sz w:val="24"/>
                <w:szCs w:val="24"/>
              </w:rPr>
            </w:pPr>
          </w:p>
        </w:tc>
        <w:tc>
          <w:tcPr>
            <w:tcW w:w="1837" w:type="dxa"/>
            <w:vMerge w:val="continue"/>
            <w:vAlign w:val="center"/>
          </w:tcPr>
          <w:p>
            <w:pPr>
              <w:widowControl/>
              <w:snapToGrid w:val="0"/>
              <w:spacing w:line="400" w:lineRule="exact"/>
              <w:rPr>
                <w:rFonts w:ascii="仿宋_GB2312" w:hAnsi="仿宋_GB2312" w:eastAsia="仿宋_GB2312" w:cs="仿宋_GB2312"/>
                <w:color w:val="000000" w:themeColor="text1"/>
                <w:sz w:val="24"/>
                <w:szCs w:val="24"/>
              </w:rPr>
            </w:pPr>
          </w:p>
        </w:tc>
        <w:tc>
          <w:tcPr>
            <w:tcW w:w="394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2.每年至少开展1次多部门组织的集体性健身活动。</w:t>
            </w:r>
          </w:p>
        </w:tc>
        <w:tc>
          <w:tcPr>
            <w:tcW w:w="5331" w:type="dxa"/>
            <w:vAlign w:val="center"/>
          </w:tcPr>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定期开展政府支持、企事业单位承担参与并积极支持的健身活动，每年≥1次，2分；未开展不得分。</w:t>
            </w:r>
          </w:p>
        </w:tc>
        <w:tc>
          <w:tcPr>
            <w:tcW w:w="120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区教育和体育局、区总工会</w:t>
            </w:r>
          </w:p>
        </w:tc>
        <w:tc>
          <w:tcPr>
            <w:tcW w:w="1579" w:type="dxa"/>
            <w:vAlign w:val="center"/>
          </w:tcPr>
          <w:p>
            <w:pPr>
              <w:widowControl/>
              <w:snapToGrid w:val="0"/>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2020年12月</w:t>
            </w:r>
          </w:p>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sz w:val="24"/>
                <w:szCs w:val="24"/>
              </w:rPr>
              <w:t>长期保持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78" w:type="dxa"/>
            <w:vMerge w:val="continue"/>
            <w:vAlign w:val="center"/>
          </w:tcPr>
          <w:p>
            <w:pPr>
              <w:widowControl/>
              <w:snapToGrid w:val="0"/>
              <w:spacing w:line="400" w:lineRule="exact"/>
              <w:rPr>
                <w:rFonts w:ascii="仿宋_GB2312" w:hAnsi="仿宋_GB2312" w:eastAsia="仿宋_GB2312" w:cs="仿宋_GB2312"/>
                <w:color w:val="000000" w:themeColor="text1"/>
                <w:sz w:val="24"/>
                <w:szCs w:val="24"/>
              </w:rPr>
            </w:pPr>
          </w:p>
        </w:tc>
        <w:tc>
          <w:tcPr>
            <w:tcW w:w="1837" w:type="dxa"/>
            <w:vMerge w:val="continue"/>
            <w:vAlign w:val="center"/>
          </w:tcPr>
          <w:p>
            <w:pPr>
              <w:widowControl/>
              <w:snapToGrid w:val="0"/>
              <w:spacing w:line="400" w:lineRule="exact"/>
              <w:rPr>
                <w:rFonts w:ascii="仿宋_GB2312" w:hAnsi="仿宋_GB2312" w:eastAsia="仿宋_GB2312" w:cs="仿宋_GB2312"/>
                <w:color w:val="000000" w:themeColor="text1"/>
                <w:sz w:val="24"/>
                <w:szCs w:val="24"/>
              </w:rPr>
            </w:pPr>
          </w:p>
        </w:tc>
        <w:tc>
          <w:tcPr>
            <w:tcW w:w="394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3.鼓励社区慢性病患者积极参与社区自我健康管理活动。</w:t>
            </w:r>
          </w:p>
        </w:tc>
        <w:tc>
          <w:tcPr>
            <w:tcW w:w="5331" w:type="dxa"/>
            <w:vAlign w:val="center"/>
          </w:tcPr>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有自我健康管理小组并规范开展的社区覆盖率达到50%，4分；40-50%，2分；40%以下不得分。</w:t>
            </w:r>
          </w:p>
        </w:tc>
        <w:tc>
          <w:tcPr>
            <w:tcW w:w="120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区卫生健康局、各镇政府（街道办事处）</w:t>
            </w:r>
          </w:p>
        </w:tc>
        <w:tc>
          <w:tcPr>
            <w:tcW w:w="1579" w:type="dxa"/>
            <w:vAlign w:val="center"/>
          </w:tcPr>
          <w:p>
            <w:pPr>
              <w:widowControl/>
              <w:snapToGrid w:val="0"/>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2020年12月</w:t>
            </w:r>
          </w:p>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sz w:val="24"/>
                <w:szCs w:val="24"/>
              </w:rPr>
              <w:t>长期保持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8" w:type="dxa"/>
            <w:vMerge w:val="restart"/>
            <w:vAlign w:val="center"/>
          </w:tcPr>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五、慢性病全程管理</w:t>
            </w:r>
          </w:p>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（87分）</w:t>
            </w:r>
          </w:p>
        </w:tc>
        <w:tc>
          <w:tcPr>
            <w:tcW w:w="1837" w:type="dxa"/>
            <w:vMerge w:val="restart"/>
            <w:vAlign w:val="center"/>
          </w:tcPr>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（一）规范健康体检，开展高危人群筛查与干预，加强癌症、心脑血管疾病等重大慢性病的早期发现与管理。</w:t>
            </w:r>
          </w:p>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（21分）</w:t>
            </w:r>
          </w:p>
        </w:tc>
        <w:tc>
          <w:tcPr>
            <w:tcW w:w="394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1.开展学生、老年人等重点人群和职工定期健康体检和健康指导。</w:t>
            </w:r>
          </w:p>
        </w:tc>
        <w:tc>
          <w:tcPr>
            <w:tcW w:w="5331" w:type="dxa"/>
            <w:vAlign w:val="center"/>
          </w:tcPr>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(1)学生健康体检率≥90%，2分；80-90%，1分；80%以下不得分。</w:t>
            </w:r>
            <w:r>
              <w:rPr>
                <w:rFonts w:hint="eastAsia" w:ascii="仿宋_GB2312" w:hAnsi="仿宋_GB2312" w:eastAsia="仿宋_GB2312" w:cs="仿宋_GB2312"/>
                <w:color w:val="000000" w:themeColor="text1"/>
                <w:sz w:val="24"/>
                <w:szCs w:val="24"/>
              </w:rPr>
              <w:br w:type="textWrapping"/>
            </w:r>
            <w:r>
              <w:rPr>
                <w:rFonts w:hint="eastAsia" w:ascii="仿宋_GB2312" w:hAnsi="仿宋_GB2312" w:eastAsia="仿宋_GB2312" w:cs="仿宋_GB2312"/>
                <w:color w:val="000000" w:themeColor="text1"/>
                <w:sz w:val="24"/>
                <w:szCs w:val="24"/>
              </w:rPr>
              <w:t>(2)65岁及以上老年人健康体检率≥90%，2分；80-90%，1分；80%以下不得分。</w:t>
            </w:r>
          </w:p>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（3）每2年1次体检并开展健康指导的机关事业单位和员工数超过50人的企业的比例≥50%，3分；40-50%，2分；40%以下不得分。</w:t>
            </w:r>
          </w:p>
        </w:tc>
        <w:tc>
          <w:tcPr>
            <w:tcW w:w="120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区卫生健康局、区教育和体育局、区总工会、区工业和信息化局</w:t>
            </w:r>
          </w:p>
        </w:tc>
        <w:tc>
          <w:tcPr>
            <w:tcW w:w="1579" w:type="dxa"/>
            <w:vAlign w:val="center"/>
          </w:tcPr>
          <w:p>
            <w:pPr>
              <w:widowControl/>
              <w:snapToGrid w:val="0"/>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2020年12月</w:t>
            </w:r>
          </w:p>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sz w:val="24"/>
                <w:szCs w:val="24"/>
              </w:rPr>
              <w:t>长期保持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8" w:type="dxa"/>
            <w:vMerge w:val="continue"/>
            <w:vAlign w:val="center"/>
          </w:tcPr>
          <w:p>
            <w:pPr>
              <w:widowControl/>
              <w:snapToGrid w:val="0"/>
              <w:spacing w:line="400" w:lineRule="exact"/>
              <w:rPr>
                <w:rFonts w:ascii="仿宋_GB2312" w:hAnsi="仿宋_GB2312" w:eastAsia="仿宋_GB2312" w:cs="仿宋_GB2312"/>
                <w:color w:val="000000" w:themeColor="text1"/>
                <w:sz w:val="24"/>
                <w:szCs w:val="24"/>
              </w:rPr>
            </w:pPr>
          </w:p>
        </w:tc>
        <w:tc>
          <w:tcPr>
            <w:tcW w:w="1837" w:type="dxa"/>
            <w:vMerge w:val="continue"/>
            <w:vAlign w:val="center"/>
          </w:tcPr>
          <w:p>
            <w:pPr>
              <w:widowControl/>
              <w:snapToGrid w:val="0"/>
              <w:spacing w:line="400" w:lineRule="exact"/>
              <w:rPr>
                <w:rFonts w:ascii="仿宋_GB2312" w:hAnsi="仿宋_GB2312" w:eastAsia="仿宋_GB2312" w:cs="仿宋_GB2312"/>
                <w:color w:val="000000" w:themeColor="text1"/>
                <w:sz w:val="24"/>
                <w:szCs w:val="24"/>
              </w:rPr>
            </w:pPr>
          </w:p>
        </w:tc>
        <w:tc>
          <w:tcPr>
            <w:tcW w:w="394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2.应用推广成熟的适宜技术，早期发现诊治患者，及时纳入基本公共卫生服务管理。</w:t>
            </w:r>
          </w:p>
        </w:tc>
        <w:tc>
          <w:tcPr>
            <w:tcW w:w="5331" w:type="dxa"/>
            <w:vAlign w:val="center"/>
          </w:tcPr>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（1）医疗机构18岁以上就诊者首诊测血压率≥90%，0.7分；低于90%不得分。二级以上综合医疗机构和专科医院开展脑卒中、冠心病和恶性肿瘤的机会性筛查，每项0.5分。</w:t>
            </w:r>
          </w:p>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（2）医疗机构开展肥胖与超重人群筛查，为有需要的居民提供维持健康体重的个性化健康指导，开展比例超过85%，1分，低于85%不得分。</w:t>
            </w:r>
          </w:p>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（3）开展心脑血管疾病、重点癌症、糖尿病、慢性阻塞性肺病等重大慢性病的筛查和早期诊断，每项1.2分，满分4.8分。</w:t>
            </w:r>
          </w:p>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（4）具备血糖、血脂、简易肺功能测定和大便隐血检测等4种技术并提供服务的社区卫生服务中心和乡镇卫生院的比例≥50%，2分；40-50%，1分；低于40%不得分。</w:t>
            </w:r>
          </w:p>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（5）提高加强个人健康档案与健康体检信息的利用，发现血压偏高、糖尿病前期和血脂异常高危人群登记率≥100%，2分；高危人群纳入健康管理率≥30%，2分。</w:t>
            </w:r>
          </w:p>
        </w:tc>
        <w:tc>
          <w:tcPr>
            <w:tcW w:w="120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区卫生健康局</w:t>
            </w:r>
          </w:p>
        </w:tc>
        <w:tc>
          <w:tcPr>
            <w:tcW w:w="1579" w:type="dxa"/>
            <w:vAlign w:val="center"/>
          </w:tcPr>
          <w:p>
            <w:pPr>
              <w:widowControl/>
              <w:snapToGrid w:val="0"/>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2020年12月</w:t>
            </w:r>
          </w:p>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sz w:val="24"/>
                <w:szCs w:val="24"/>
              </w:rPr>
              <w:t>长期保持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8" w:type="dxa"/>
            <w:vMerge w:val="continue"/>
            <w:vAlign w:val="center"/>
          </w:tcPr>
          <w:p>
            <w:pPr>
              <w:widowControl/>
              <w:snapToGrid w:val="0"/>
              <w:spacing w:line="400" w:lineRule="exact"/>
              <w:rPr>
                <w:rFonts w:ascii="仿宋_GB2312" w:hAnsi="仿宋_GB2312" w:eastAsia="仿宋_GB2312" w:cs="仿宋_GB2312"/>
                <w:color w:val="000000" w:themeColor="text1"/>
                <w:sz w:val="24"/>
                <w:szCs w:val="24"/>
              </w:rPr>
            </w:pPr>
          </w:p>
        </w:tc>
        <w:tc>
          <w:tcPr>
            <w:tcW w:w="1837" w:type="dxa"/>
            <w:vMerge w:val="restart"/>
            <w:vAlign w:val="center"/>
          </w:tcPr>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（二）建立分级诊疗制度，推进家庭医生签约服务，开展高血压、糖尿病等重点慢性病规范化管理。</w:t>
            </w:r>
          </w:p>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（24分）</w:t>
            </w:r>
          </w:p>
        </w:tc>
        <w:tc>
          <w:tcPr>
            <w:tcW w:w="394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1.开展基层首诊、双向转诊、急慢分治、上下联动的慢性病分级诊疗服务。</w:t>
            </w:r>
          </w:p>
        </w:tc>
        <w:tc>
          <w:tcPr>
            <w:tcW w:w="5331" w:type="dxa"/>
            <w:vAlign w:val="center"/>
          </w:tcPr>
          <w:p>
            <w:pPr>
              <w:widowControl/>
              <w:snapToGrid w:val="0"/>
              <w:spacing w:line="400" w:lineRule="exact"/>
              <w:rPr>
                <w:rFonts w:ascii="仿宋_GB2312" w:hAnsi="仿宋_GB2312" w:eastAsia="仿宋_GB2312" w:cs="仿宋_GB2312"/>
                <w:color w:val="000000" w:themeColor="text1"/>
                <w:spacing w:val="-6"/>
                <w:sz w:val="24"/>
                <w:szCs w:val="24"/>
              </w:rPr>
            </w:pPr>
            <w:r>
              <w:rPr>
                <w:rFonts w:hint="eastAsia" w:ascii="仿宋_GB2312" w:hAnsi="仿宋_GB2312" w:eastAsia="仿宋_GB2312" w:cs="仿宋_GB2312"/>
                <w:color w:val="000000" w:themeColor="text1"/>
                <w:spacing w:val="-6"/>
                <w:sz w:val="24"/>
                <w:szCs w:val="24"/>
              </w:rPr>
              <w:t>（1）建立分级诊疗制度，1分。</w:t>
            </w:r>
          </w:p>
          <w:p>
            <w:pPr>
              <w:widowControl/>
              <w:snapToGrid w:val="0"/>
              <w:spacing w:line="400" w:lineRule="exact"/>
              <w:rPr>
                <w:rFonts w:ascii="仿宋_GB2312" w:hAnsi="仿宋_GB2312" w:eastAsia="仿宋_GB2312" w:cs="仿宋_GB2312"/>
                <w:color w:val="000000" w:themeColor="text1"/>
                <w:spacing w:val="-6"/>
                <w:sz w:val="24"/>
                <w:szCs w:val="24"/>
              </w:rPr>
            </w:pPr>
            <w:r>
              <w:rPr>
                <w:rFonts w:hint="eastAsia" w:ascii="仿宋_GB2312" w:hAnsi="仿宋_GB2312" w:eastAsia="仿宋_GB2312" w:cs="仿宋_GB2312"/>
                <w:color w:val="000000" w:themeColor="text1"/>
                <w:spacing w:val="-6"/>
                <w:sz w:val="24"/>
                <w:szCs w:val="24"/>
              </w:rPr>
              <w:t>（2）落实并开展高血压与糖尿病基层首诊、双向转诊、急慢分治、上下联动的分级诊疗服务，基层医疗机构门诊量占比≥50%，3分。</w:t>
            </w:r>
          </w:p>
          <w:p>
            <w:pPr>
              <w:widowControl/>
              <w:snapToGrid w:val="0"/>
              <w:spacing w:line="400" w:lineRule="exact"/>
              <w:rPr>
                <w:rFonts w:ascii="仿宋_GB2312" w:hAnsi="仿宋_GB2312" w:eastAsia="仿宋_GB2312" w:cs="仿宋_GB2312"/>
                <w:color w:val="000000" w:themeColor="text1"/>
                <w:spacing w:val="-6"/>
                <w:sz w:val="24"/>
                <w:szCs w:val="24"/>
              </w:rPr>
            </w:pPr>
            <w:r>
              <w:rPr>
                <w:rFonts w:hint="eastAsia" w:ascii="仿宋_GB2312" w:hAnsi="仿宋_GB2312" w:eastAsia="仿宋_GB2312" w:cs="仿宋_GB2312"/>
                <w:color w:val="000000" w:themeColor="text1"/>
                <w:spacing w:val="-6"/>
                <w:sz w:val="24"/>
                <w:szCs w:val="24"/>
              </w:rPr>
              <w:t>（3）依</w:t>
            </w:r>
            <w:r>
              <w:rPr>
                <w:rFonts w:hint="eastAsia" w:ascii="仿宋_GB2312" w:hAnsi="仿宋_GB2312" w:eastAsia="仿宋_GB2312" w:cs="仿宋_GB2312"/>
                <w:color w:val="000000" w:themeColor="text1"/>
                <w:spacing w:val="-10"/>
                <w:sz w:val="24"/>
                <w:szCs w:val="24"/>
              </w:rPr>
              <w:t>托信息平台实现分级诊疗，2分。</w:t>
            </w:r>
          </w:p>
        </w:tc>
        <w:tc>
          <w:tcPr>
            <w:tcW w:w="120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区卫生健康局</w:t>
            </w:r>
          </w:p>
        </w:tc>
        <w:tc>
          <w:tcPr>
            <w:tcW w:w="1579" w:type="dxa"/>
            <w:vAlign w:val="center"/>
          </w:tcPr>
          <w:p>
            <w:pPr>
              <w:widowControl/>
              <w:snapToGrid w:val="0"/>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2020年12月</w:t>
            </w:r>
          </w:p>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sz w:val="24"/>
                <w:szCs w:val="24"/>
              </w:rPr>
              <w:t>长期保持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trPr>
        <w:tc>
          <w:tcPr>
            <w:tcW w:w="1378" w:type="dxa"/>
            <w:vMerge w:val="continue"/>
            <w:vAlign w:val="center"/>
          </w:tcPr>
          <w:p>
            <w:pPr>
              <w:widowControl/>
              <w:snapToGrid w:val="0"/>
              <w:spacing w:line="400" w:lineRule="exact"/>
              <w:rPr>
                <w:rFonts w:ascii="仿宋_GB2312" w:hAnsi="仿宋_GB2312" w:eastAsia="仿宋_GB2312" w:cs="仿宋_GB2312"/>
                <w:color w:val="000000" w:themeColor="text1"/>
                <w:sz w:val="24"/>
                <w:szCs w:val="24"/>
              </w:rPr>
            </w:pPr>
          </w:p>
        </w:tc>
        <w:tc>
          <w:tcPr>
            <w:tcW w:w="1837" w:type="dxa"/>
            <w:vMerge w:val="continue"/>
            <w:vAlign w:val="center"/>
          </w:tcPr>
          <w:p>
            <w:pPr>
              <w:widowControl/>
              <w:snapToGrid w:val="0"/>
              <w:spacing w:line="400" w:lineRule="exact"/>
              <w:rPr>
                <w:rFonts w:ascii="仿宋_GB2312" w:hAnsi="仿宋_GB2312" w:eastAsia="仿宋_GB2312" w:cs="仿宋_GB2312"/>
                <w:color w:val="000000" w:themeColor="text1"/>
                <w:sz w:val="24"/>
                <w:szCs w:val="24"/>
              </w:rPr>
            </w:pPr>
          </w:p>
        </w:tc>
        <w:tc>
          <w:tcPr>
            <w:tcW w:w="394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2.实施高血压达标行动，推进家庭医生签约服务，签约团队负责提供约定的基本医疗、公共卫生和健康管理服务。</w:t>
            </w:r>
          </w:p>
        </w:tc>
        <w:tc>
          <w:tcPr>
            <w:tcW w:w="5331" w:type="dxa"/>
            <w:vAlign w:val="center"/>
          </w:tcPr>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（1）家庭医生签约服务覆盖率≥本省平均水平30%，3分； 25-30%，2分；15-25%，１分；低于15%不得分。</w:t>
            </w:r>
          </w:p>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（2）执行标准化诊疗方案的基层医疗卫生机构达到80%以上，得3分，60-80%，2分；50-60%，１分；低于50%不得分。</w:t>
            </w:r>
          </w:p>
        </w:tc>
        <w:tc>
          <w:tcPr>
            <w:tcW w:w="120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p>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区卫生健康局</w:t>
            </w:r>
          </w:p>
        </w:tc>
        <w:tc>
          <w:tcPr>
            <w:tcW w:w="1579" w:type="dxa"/>
            <w:vAlign w:val="center"/>
          </w:tcPr>
          <w:p>
            <w:pPr>
              <w:widowControl/>
              <w:snapToGrid w:val="0"/>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2020年12月</w:t>
            </w:r>
          </w:p>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sz w:val="24"/>
                <w:szCs w:val="24"/>
              </w:rPr>
              <w:t>长期保持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8" w:type="dxa"/>
            <w:vMerge w:val="continue"/>
            <w:vAlign w:val="center"/>
          </w:tcPr>
          <w:p>
            <w:pPr>
              <w:widowControl/>
              <w:snapToGrid w:val="0"/>
              <w:spacing w:line="400" w:lineRule="exact"/>
              <w:rPr>
                <w:rFonts w:ascii="仿宋_GB2312" w:hAnsi="仿宋_GB2312" w:eastAsia="仿宋_GB2312" w:cs="仿宋_GB2312"/>
                <w:color w:val="000000" w:themeColor="text1"/>
                <w:sz w:val="24"/>
                <w:szCs w:val="24"/>
              </w:rPr>
            </w:pPr>
          </w:p>
        </w:tc>
        <w:tc>
          <w:tcPr>
            <w:tcW w:w="1837" w:type="dxa"/>
            <w:vMerge w:val="continue"/>
            <w:vAlign w:val="center"/>
          </w:tcPr>
          <w:p>
            <w:pPr>
              <w:widowControl/>
              <w:snapToGrid w:val="0"/>
              <w:spacing w:line="400" w:lineRule="exact"/>
              <w:rPr>
                <w:rFonts w:ascii="仿宋_GB2312" w:hAnsi="仿宋_GB2312" w:eastAsia="仿宋_GB2312" w:cs="仿宋_GB2312"/>
                <w:color w:val="000000" w:themeColor="text1"/>
                <w:sz w:val="24"/>
                <w:szCs w:val="24"/>
              </w:rPr>
            </w:pPr>
          </w:p>
        </w:tc>
        <w:tc>
          <w:tcPr>
            <w:tcW w:w="394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3.提高18岁以上人群高血压、糖尿病知晓率。</w:t>
            </w:r>
          </w:p>
        </w:tc>
        <w:tc>
          <w:tcPr>
            <w:tcW w:w="5331" w:type="dxa"/>
            <w:vAlign w:val="center"/>
          </w:tcPr>
          <w:p>
            <w:pPr>
              <w:widowControl/>
              <w:snapToGrid w:val="0"/>
              <w:spacing w:line="400" w:lineRule="exact"/>
              <w:rPr>
                <w:rFonts w:ascii="仿宋_GB2312" w:hAnsi="仿宋_GB2312" w:eastAsia="仿宋_GB2312" w:cs="仿宋_GB2312"/>
                <w:color w:val="000000" w:themeColor="text1"/>
                <w:spacing w:val="-6"/>
                <w:sz w:val="24"/>
                <w:szCs w:val="24"/>
              </w:rPr>
            </w:pPr>
            <w:r>
              <w:rPr>
                <w:rFonts w:hint="eastAsia" w:ascii="仿宋_GB2312" w:hAnsi="仿宋_GB2312" w:eastAsia="仿宋_GB2312" w:cs="仿宋_GB2312"/>
                <w:color w:val="000000" w:themeColor="text1"/>
                <w:spacing w:val="-6"/>
                <w:sz w:val="24"/>
                <w:szCs w:val="24"/>
              </w:rPr>
              <w:t>（1）18岁以上高血压知晓率≥60%，2分；40-60%，1分；低于40%不得分。</w:t>
            </w:r>
            <w:r>
              <w:rPr>
                <w:rFonts w:hint="eastAsia" w:ascii="仿宋_GB2312" w:hAnsi="仿宋_GB2312" w:eastAsia="仿宋_GB2312" w:cs="仿宋_GB2312"/>
                <w:color w:val="000000" w:themeColor="text1"/>
                <w:spacing w:val="-6"/>
                <w:sz w:val="24"/>
                <w:szCs w:val="24"/>
              </w:rPr>
              <w:br w:type="textWrapping"/>
            </w:r>
            <w:r>
              <w:rPr>
                <w:rFonts w:hint="eastAsia" w:ascii="仿宋_GB2312" w:hAnsi="仿宋_GB2312" w:eastAsia="仿宋_GB2312" w:cs="仿宋_GB2312"/>
                <w:color w:val="000000" w:themeColor="text1"/>
                <w:spacing w:val="-6"/>
                <w:sz w:val="24"/>
                <w:szCs w:val="24"/>
              </w:rPr>
              <w:t>（2）18岁以上糖尿病知晓率≥50%，2分；30-50％，1分；低于30%不得分。</w:t>
            </w:r>
          </w:p>
        </w:tc>
        <w:tc>
          <w:tcPr>
            <w:tcW w:w="120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区卫生健康局</w:t>
            </w:r>
          </w:p>
        </w:tc>
        <w:tc>
          <w:tcPr>
            <w:tcW w:w="1579" w:type="dxa"/>
            <w:vAlign w:val="center"/>
          </w:tcPr>
          <w:p>
            <w:pPr>
              <w:widowControl/>
              <w:snapToGrid w:val="0"/>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2020年12月</w:t>
            </w:r>
          </w:p>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sz w:val="24"/>
                <w:szCs w:val="24"/>
              </w:rPr>
              <w:t>长期保持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8" w:type="dxa"/>
            <w:vMerge w:val="continue"/>
            <w:vAlign w:val="center"/>
          </w:tcPr>
          <w:p>
            <w:pPr>
              <w:widowControl/>
              <w:snapToGrid w:val="0"/>
              <w:spacing w:line="400" w:lineRule="exact"/>
              <w:rPr>
                <w:rFonts w:ascii="仿宋_GB2312" w:hAnsi="仿宋_GB2312" w:eastAsia="仿宋_GB2312" w:cs="仿宋_GB2312"/>
                <w:color w:val="000000" w:themeColor="text1"/>
                <w:sz w:val="24"/>
                <w:szCs w:val="24"/>
              </w:rPr>
            </w:pPr>
          </w:p>
        </w:tc>
        <w:tc>
          <w:tcPr>
            <w:tcW w:w="1837" w:type="dxa"/>
            <w:vMerge w:val="continue"/>
            <w:vAlign w:val="center"/>
          </w:tcPr>
          <w:p>
            <w:pPr>
              <w:widowControl/>
              <w:snapToGrid w:val="0"/>
              <w:spacing w:line="400" w:lineRule="exact"/>
              <w:rPr>
                <w:rFonts w:ascii="仿宋_GB2312" w:hAnsi="仿宋_GB2312" w:eastAsia="仿宋_GB2312" w:cs="仿宋_GB2312"/>
                <w:color w:val="000000" w:themeColor="text1"/>
                <w:sz w:val="24"/>
                <w:szCs w:val="24"/>
              </w:rPr>
            </w:pPr>
          </w:p>
        </w:tc>
        <w:tc>
          <w:tcPr>
            <w:tcW w:w="394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4.提高35岁以上人群高血压、糖尿病患者管理率。</w:t>
            </w:r>
          </w:p>
        </w:tc>
        <w:tc>
          <w:tcPr>
            <w:tcW w:w="5331" w:type="dxa"/>
            <w:vAlign w:val="center"/>
          </w:tcPr>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（1）35岁以上高血压患者规范管理率高于全省平均水平5%，2分；高于3-5%，1分；低于3%不得分。</w:t>
            </w:r>
          </w:p>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（2）35</w:t>
            </w:r>
            <w:r>
              <w:rPr>
                <w:rFonts w:hint="eastAsia" w:ascii="仿宋_GB2312" w:hAnsi="仿宋_GB2312" w:eastAsia="仿宋_GB2312" w:cs="仿宋_GB2312"/>
                <w:color w:val="000000" w:themeColor="text1"/>
                <w:spacing w:val="-8"/>
                <w:sz w:val="24"/>
                <w:szCs w:val="24"/>
              </w:rPr>
              <w:t>岁以上糖尿病患者规范管理率高于全省平均水平5%，2分；高于3-5%，1分；低于3%不得分。</w:t>
            </w:r>
          </w:p>
        </w:tc>
        <w:tc>
          <w:tcPr>
            <w:tcW w:w="120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区卫生健康局</w:t>
            </w:r>
          </w:p>
        </w:tc>
        <w:tc>
          <w:tcPr>
            <w:tcW w:w="1579" w:type="dxa"/>
            <w:vAlign w:val="center"/>
          </w:tcPr>
          <w:p>
            <w:pPr>
              <w:widowControl/>
              <w:snapToGrid w:val="0"/>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2020年12月</w:t>
            </w:r>
          </w:p>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sz w:val="24"/>
                <w:szCs w:val="24"/>
              </w:rPr>
              <w:t>长期保持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8" w:type="dxa"/>
            <w:vMerge w:val="continue"/>
            <w:vAlign w:val="center"/>
          </w:tcPr>
          <w:p>
            <w:pPr>
              <w:widowControl/>
              <w:snapToGrid w:val="0"/>
              <w:spacing w:line="400" w:lineRule="exact"/>
              <w:rPr>
                <w:rFonts w:ascii="仿宋_GB2312" w:hAnsi="仿宋_GB2312" w:eastAsia="仿宋_GB2312" w:cs="仿宋_GB2312"/>
                <w:color w:val="000000" w:themeColor="text1"/>
                <w:sz w:val="24"/>
                <w:szCs w:val="24"/>
              </w:rPr>
            </w:pPr>
          </w:p>
        </w:tc>
        <w:tc>
          <w:tcPr>
            <w:tcW w:w="1837" w:type="dxa"/>
            <w:vMerge w:val="continue"/>
            <w:vAlign w:val="center"/>
          </w:tcPr>
          <w:p>
            <w:pPr>
              <w:widowControl/>
              <w:snapToGrid w:val="0"/>
              <w:spacing w:line="400" w:lineRule="exact"/>
              <w:rPr>
                <w:rFonts w:ascii="仿宋_GB2312" w:hAnsi="仿宋_GB2312" w:eastAsia="仿宋_GB2312" w:cs="仿宋_GB2312"/>
                <w:color w:val="000000" w:themeColor="text1"/>
                <w:sz w:val="24"/>
                <w:szCs w:val="24"/>
              </w:rPr>
            </w:pPr>
          </w:p>
        </w:tc>
        <w:tc>
          <w:tcPr>
            <w:tcW w:w="394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5.提高管理人群高血压、糖尿病患者的控制率。</w:t>
            </w:r>
          </w:p>
        </w:tc>
        <w:tc>
          <w:tcPr>
            <w:tcW w:w="5331" w:type="dxa"/>
            <w:vAlign w:val="center"/>
          </w:tcPr>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（1）高血压患者血压控制率高于全省平均水平5%，2分；高于3-5%，1分；低于3%不得分。</w:t>
            </w:r>
            <w:r>
              <w:rPr>
                <w:rFonts w:hint="eastAsia" w:ascii="仿宋_GB2312" w:hAnsi="仿宋_GB2312" w:eastAsia="仿宋_GB2312" w:cs="仿宋_GB2312"/>
                <w:color w:val="000000" w:themeColor="text1"/>
                <w:sz w:val="24"/>
                <w:szCs w:val="24"/>
              </w:rPr>
              <w:br w:type="textWrapping"/>
            </w:r>
            <w:r>
              <w:rPr>
                <w:rFonts w:hint="eastAsia" w:ascii="仿宋_GB2312" w:hAnsi="仿宋_GB2312" w:eastAsia="仿宋_GB2312" w:cs="仿宋_GB2312"/>
                <w:color w:val="000000" w:themeColor="text1"/>
                <w:sz w:val="24"/>
                <w:szCs w:val="24"/>
              </w:rPr>
              <w:t>（2）糖尿病患者血糖控制率高于全省平均水平5%，2分；高于3-5%，1分；低于3%不得分。</w:t>
            </w:r>
          </w:p>
        </w:tc>
        <w:tc>
          <w:tcPr>
            <w:tcW w:w="120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区卫生健康局</w:t>
            </w:r>
          </w:p>
        </w:tc>
        <w:tc>
          <w:tcPr>
            <w:tcW w:w="1579" w:type="dxa"/>
            <w:vAlign w:val="center"/>
          </w:tcPr>
          <w:p>
            <w:pPr>
              <w:widowControl/>
              <w:snapToGrid w:val="0"/>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2020年12月</w:t>
            </w:r>
          </w:p>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sz w:val="24"/>
                <w:szCs w:val="24"/>
              </w:rPr>
              <w:t>长期保持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78" w:type="dxa"/>
            <w:vMerge w:val="continue"/>
            <w:vAlign w:val="center"/>
          </w:tcPr>
          <w:p>
            <w:pPr>
              <w:widowControl/>
              <w:snapToGrid w:val="0"/>
              <w:spacing w:line="400" w:lineRule="exact"/>
              <w:rPr>
                <w:rFonts w:ascii="仿宋_GB2312" w:hAnsi="仿宋_GB2312" w:eastAsia="仿宋_GB2312" w:cs="仿宋_GB2312"/>
                <w:color w:val="000000" w:themeColor="text1"/>
                <w:sz w:val="24"/>
                <w:szCs w:val="24"/>
              </w:rPr>
            </w:pPr>
          </w:p>
        </w:tc>
        <w:tc>
          <w:tcPr>
            <w:tcW w:w="1837" w:type="dxa"/>
            <w:vMerge w:val="restart"/>
            <w:vAlign w:val="center"/>
          </w:tcPr>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（三）在重点人群中开展口腔疾病防治。</w:t>
            </w:r>
          </w:p>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（6分）</w:t>
            </w:r>
          </w:p>
        </w:tc>
        <w:tc>
          <w:tcPr>
            <w:tcW w:w="394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1.中小学校及托幼机</w:t>
            </w:r>
          </w:p>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构限制销售高糖饮料和零食。实施儿童窝沟封闭，控制 12 岁儿童患龋率。</w:t>
            </w:r>
          </w:p>
        </w:tc>
        <w:tc>
          <w:tcPr>
            <w:tcW w:w="5331" w:type="dxa"/>
            <w:vAlign w:val="center"/>
          </w:tcPr>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（1）中小学校及托幼机构有限制销售高糖饮料和零食政策和措施，1 分；其余 0分。</w:t>
            </w:r>
          </w:p>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（2）实施儿童窝沟封闭的学校比例≥60%，1.5分；50-60%，1分；低于50%不得分。</w:t>
            </w:r>
          </w:p>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（3）12岁儿童患龋率低于25%，1.5分；不达标不得分。</w:t>
            </w:r>
          </w:p>
        </w:tc>
        <w:tc>
          <w:tcPr>
            <w:tcW w:w="120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区教育和体育局、区市场监管局、区卫生健康局</w:t>
            </w:r>
          </w:p>
        </w:tc>
        <w:tc>
          <w:tcPr>
            <w:tcW w:w="1579" w:type="dxa"/>
            <w:vAlign w:val="center"/>
          </w:tcPr>
          <w:p>
            <w:pPr>
              <w:widowControl/>
              <w:snapToGrid w:val="0"/>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2020年12月</w:t>
            </w:r>
          </w:p>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sz w:val="24"/>
                <w:szCs w:val="24"/>
              </w:rPr>
              <w:t>长期保持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78" w:type="dxa"/>
            <w:vMerge w:val="continue"/>
            <w:vAlign w:val="center"/>
          </w:tcPr>
          <w:p>
            <w:pPr>
              <w:widowControl/>
              <w:snapToGrid w:val="0"/>
              <w:spacing w:line="400" w:lineRule="exact"/>
              <w:rPr>
                <w:rFonts w:ascii="仿宋_GB2312" w:hAnsi="仿宋_GB2312" w:eastAsia="仿宋_GB2312" w:cs="仿宋_GB2312"/>
                <w:color w:val="000000" w:themeColor="text1"/>
                <w:sz w:val="24"/>
                <w:szCs w:val="24"/>
              </w:rPr>
            </w:pPr>
          </w:p>
        </w:tc>
        <w:tc>
          <w:tcPr>
            <w:tcW w:w="1837" w:type="dxa"/>
            <w:vMerge w:val="continue"/>
            <w:vAlign w:val="center"/>
          </w:tcPr>
          <w:p>
            <w:pPr>
              <w:widowControl/>
              <w:snapToGrid w:val="0"/>
              <w:spacing w:line="400" w:lineRule="exact"/>
              <w:rPr>
                <w:rFonts w:ascii="仿宋_GB2312" w:hAnsi="仿宋_GB2312" w:eastAsia="仿宋_GB2312" w:cs="仿宋_GB2312"/>
                <w:color w:val="000000" w:themeColor="text1"/>
                <w:sz w:val="24"/>
                <w:szCs w:val="24"/>
              </w:rPr>
            </w:pPr>
          </w:p>
        </w:tc>
        <w:tc>
          <w:tcPr>
            <w:tcW w:w="394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2.建立完善口腔健康服务体系。</w:t>
            </w:r>
          </w:p>
        </w:tc>
        <w:tc>
          <w:tcPr>
            <w:tcW w:w="5331" w:type="dxa"/>
            <w:vAlign w:val="center"/>
          </w:tcPr>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依托医疗机构建立口腔疾病防治指导中心，2 分；未建立，不得分。</w:t>
            </w:r>
          </w:p>
        </w:tc>
        <w:tc>
          <w:tcPr>
            <w:tcW w:w="120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区卫生健康局</w:t>
            </w:r>
          </w:p>
        </w:tc>
        <w:tc>
          <w:tcPr>
            <w:tcW w:w="1579" w:type="dxa"/>
            <w:vAlign w:val="center"/>
          </w:tcPr>
          <w:p>
            <w:pPr>
              <w:widowControl/>
              <w:snapToGrid w:val="0"/>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2020年12月</w:t>
            </w:r>
          </w:p>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sz w:val="24"/>
                <w:szCs w:val="24"/>
              </w:rPr>
              <w:t>长期保持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78" w:type="dxa"/>
            <w:vMerge w:val="continue"/>
            <w:vAlign w:val="center"/>
          </w:tcPr>
          <w:p>
            <w:pPr>
              <w:widowControl/>
              <w:snapToGrid w:val="0"/>
              <w:spacing w:line="400" w:lineRule="exact"/>
              <w:rPr>
                <w:rFonts w:ascii="仿宋_GB2312" w:hAnsi="仿宋_GB2312" w:eastAsia="仿宋_GB2312" w:cs="仿宋_GB2312"/>
                <w:color w:val="000000" w:themeColor="text1"/>
                <w:sz w:val="24"/>
                <w:szCs w:val="24"/>
              </w:rPr>
            </w:pPr>
          </w:p>
        </w:tc>
        <w:tc>
          <w:tcPr>
            <w:tcW w:w="1837" w:type="dxa"/>
            <w:vMerge w:val="restart"/>
            <w:vAlign w:val="center"/>
          </w:tcPr>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（四）完善区域信息平台，实现医疗卫生机构间互联互通、协同应用。</w:t>
            </w:r>
          </w:p>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（15分）</w:t>
            </w:r>
          </w:p>
        </w:tc>
        <w:tc>
          <w:tcPr>
            <w:tcW w:w="394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sz w:val="24"/>
                <w:szCs w:val="24"/>
              </w:rPr>
              <w:t>★</w:t>
            </w:r>
            <w:r>
              <w:rPr>
                <w:rFonts w:hint="eastAsia" w:ascii="仿宋_GB2312" w:hAnsi="仿宋_GB2312" w:eastAsia="仿宋_GB2312" w:cs="仿宋_GB2312"/>
                <w:color w:val="000000" w:themeColor="text1"/>
                <w:kern w:val="0"/>
                <w:sz w:val="24"/>
                <w:szCs w:val="24"/>
              </w:rPr>
              <w:t>1.建立区域卫生信息平台，实现公共卫生服务、诊疗信息互联互通、协同应用。</w:t>
            </w:r>
          </w:p>
        </w:tc>
        <w:tc>
          <w:tcPr>
            <w:tcW w:w="5331" w:type="dxa"/>
            <w:vAlign w:val="center"/>
          </w:tcPr>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（1）建立县级全民健康信息平台，或基于市平台建设虚拟平台，2分。</w:t>
            </w:r>
          </w:p>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（2）建设全县统一的基层卫生健康信息综合管理系统，2分。</w:t>
            </w:r>
            <w:r>
              <w:rPr>
                <w:rFonts w:hint="eastAsia" w:ascii="仿宋_GB2312" w:hAnsi="仿宋_GB2312" w:eastAsia="仿宋_GB2312" w:cs="仿宋_GB2312"/>
                <w:color w:val="000000" w:themeColor="text1"/>
                <w:sz w:val="24"/>
                <w:szCs w:val="24"/>
              </w:rPr>
              <w:br w:type="textWrapping"/>
            </w:r>
            <w:r>
              <w:rPr>
                <w:rFonts w:hint="eastAsia" w:ascii="仿宋_GB2312" w:hAnsi="仿宋_GB2312" w:eastAsia="仿宋_GB2312" w:cs="仿宋_GB2312"/>
                <w:color w:val="000000" w:themeColor="text1"/>
                <w:sz w:val="24"/>
                <w:szCs w:val="24"/>
              </w:rPr>
              <w:t>（3）专业公共卫生机构、二级及以上医院和基层医疗卫生机构之间实现互联互通和信息共享，3分。</w:t>
            </w:r>
          </w:p>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（4）实现电子健康档案和电子病历的连续记录和信息共享，3分。</w:t>
            </w:r>
          </w:p>
        </w:tc>
        <w:tc>
          <w:tcPr>
            <w:tcW w:w="120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区卫生健康局、区大数据中心</w:t>
            </w:r>
          </w:p>
        </w:tc>
        <w:tc>
          <w:tcPr>
            <w:tcW w:w="1579" w:type="dxa"/>
            <w:vAlign w:val="center"/>
          </w:tcPr>
          <w:p>
            <w:pPr>
              <w:widowControl/>
              <w:snapToGrid w:val="0"/>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2020年12月</w:t>
            </w:r>
          </w:p>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sz w:val="24"/>
                <w:szCs w:val="24"/>
              </w:rPr>
              <w:t>长期保持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78" w:type="dxa"/>
            <w:vMerge w:val="continue"/>
            <w:vAlign w:val="center"/>
          </w:tcPr>
          <w:p>
            <w:pPr>
              <w:widowControl/>
              <w:snapToGrid w:val="0"/>
              <w:spacing w:line="400" w:lineRule="exact"/>
              <w:rPr>
                <w:rFonts w:ascii="仿宋_GB2312" w:hAnsi="仿宋_GB2312" w:eastAsia="仿宋_GB2312" w:cs="仿宋_GB2312"/>
                <w:color w:val="000000" w:themeColor="text1"/>
                <w:sz w:val="24"/>
                <w:szCs w:val="24"/>
              </w:rPr>
            </w:pPr>
          </w:p>
        </w:tc>
        <w:tc>
          <w:tcPr>
            <w:tcW w:w="1837" w:type="dxa"/>
            <w:vMerge w:val="continue"/>
            <w:vAlign w:val="center"/>
          </w:tcPr>
          <w:p>
            <w:pPr>
              <w:widowControl/>
              <w:snapToGrid w:val="0"/>
              <w:spacing w:line="400" w:lineRule="exact"/>
              <w:rPr>
                <w:rFonts w:ascii="仿宋_GB2312" w:hAnsi="仿宋_GB2312" w:eastAsia="仿宋_GB2312" w:cs="仿宋_GB2312"/>
                <w:color w:val="000000" w:themeColor="text1"/>
                <w:sz w:val="24"/>
                <w:szCs w:val="24"/>
              </w:rPr>
            </w:pPr>
          </w:p>
        </w:tc>
        <w:tc>
          <w:tcPr>
            <w:tcW w:w="394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2.应用互联网+、健康大数据提供便捷、高效的健康管理服务。</w:t>
            </w:r>
          </w:p>
        </w:tc>
        <w:tc>
          <w:tcPr>
            <w:tcW w:w="5331" w:type="dxa"/>
            <w:vAlign w:val="center"/>
          </w:tcPr>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（1）应用“互联网+”技术为签约服务的患者提供健康管理和诊疗服务，2分。</w:t>
            </w:r>
          </w:p>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（2）全区普遍应用电子健康卡，3分。</w:t>
            </w:r>
          </w:p>
        </w:tc>
        <w:tc>
          <w:tcPr>
            <w:tcW w:w="120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区卫生健康局、区大数据中心</w:t>
            </w:r>
          </w:p>
        </w:tc>
        <w:tc>
          <w:tcPr>
            <w:tcW w:w="1579" w:type="dxa"/>
            <w:vAlign w:val="center"/>
          </w:tcPr>
          <w:p>
            <w:pPr>
              <w:widowControl/>
              <w:snapToGrid w:val="0"/>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2020年12月</w:t>
            </w:r>
          </w:p>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sz w:val="24"/>
                <w:szCs w:val="24"/>
              </w:rPr>
              <w:t>长期保持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78" w:type="dxa"/>
            <w:vMerge w:val="continue"/>
            <w:vAlign w:val="center"/>
          </w:tcPr>
          <w:p>
            <w:pPr>
              <w:widowControl/>
              <w:snapToGrid w:val="0"/>
              <w:spacing w:line="400" w:lineRule="exact"/>
              <w:rPr>
                <w:rFonts w:ascii="仿宋_GB2312" w:hAnsi="仿宋_GB2312" w:eastAsia="仿宋_GB2312" w:cs="仿宋_GB2312"/>
                <w:color w:val="000000" w:themeColor="text1"/>
                <w:sz w:val="24"/>
                <w:szCs w:val="24"/>
              </w:rPr>
            </w:pPr>
          </w:p>
        </w:tc>
        <w:tc>
          <w:tcPr>
            <w:tcW w:w="1837" w:type="dxa"/>
            <w:vMerge w:val="restart"/>
            <w:vAlign w:val="center"/>
          </w:tcPr>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（五）中西医并重，发挥中医药在慢性病预防、保健、诊疗、康复中的作用。</w:t>
            </w:r>
          </w:p>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（7分）</w:t>
            </w:r>
          </w:p>
        </w:tc>
        <w:tc>
          <w:tcPr>
            <w:tcW w:w="394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1.各社区卫生服务中心、乡镇卫生院有中医综合服务区。</w:t>
            </w:r>
          </w:p>
        </w:tc>
        <w:tc>
          <w:tcPr>
            <w:tcW w:w="5331" w:type="dxa"/>
            <w:vAlign w:val="center"/>
          </w:tcPr>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设有中医综合服务区的社区卫生服务中心、乡镇卫生院比例达100%，3分，不达标不得分。</w:t>
            </w:r>
          </w:p>
        </w:tc>
        <w:tc>
          <w:tcPr>
            <w:tcW w:w="120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区卫生健康局</w:t>
            </w:r>
          </w:p>
        </w:tc>
        <w:tc>
          <w:tcPr>
            <w:tcW w:w="1579" w:type="dxa"/>
            <w:vAlign w:val="center"/>
          </w:tcPr>
          <w:p>
            <w:pPr>
              <w:widowControl/>
              <w:snapToGrid w:val="0"/>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2020年12月</w:t>
            </w:r>
          </w:p>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sz w:val="24"/>
                <w:szCs w:val="24"/>
              </w:rPr>
              <w:t>长期保持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78" w:type="dxa"/>
            <w:vMerge w:val="continue"/>
            <w:vAlign w:val="center"/>
          </w:tcPr>
          <w:p>
            <w:pPr>
              <w:widowControl/>
              <w:snapToGrid w:val="0"/>
              <w:spacing w:line="400" w:lineRule="exact"/>
              <w:rPr>
                <w:rFonts w:ascii="仿宋_GB2312" w:hAnsi="仿宋_GB2312" w:eastAsia="仿宋_GB2312" w:cs="仿宋_GB2312"/>
                <w:color w:val="000000" w:themeColor="text1"/>
                <w:sz w:val="24"/>
                <w:szCs w:val="24"/>
              </w:rPr>
            </w:pPr>
          </w:p>
        </w:tc>
        <w:tc>
          <w:tcPr>
            <w:tcW w:w="1837" w:type="dxa"/>
            <w:vMerge w:val="continue"/>
            <w:vAlign w:val="center"/>
          </w:tcPr>
          <w:p>
            <w:pPr>
              <w:widowControl/>
              <w:snapToGrid w:val="0"/>
              <w:spacing w:line="400" w:lineRule="exact"/>
              <w:rPr>
                <w:rFonts w:ascii="仿宋_GB2312" w:hAnsi="仿宋_GB2312" w:eastAsia="仿宋_GB2312" w:cs="仿宋_GB2312"/>
                <w:color w:val="000000" w:themeColor="text1"/>
                <w:sz w:val="24"/>
                <w:szCs w:val="24"/>
              </w:rPr>
            </w:pPr>
          </w:p>
        </w:tc>
        <w:tc>
          <w:tcPr>
            <w:tcW w:w="394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2.开展中医药养生保健知识的宣传及中医适宜技术推广。</w:t>
            </w:r>
          </w:p>
        </w:tc>
        <w:tc>
          <w:tcPr>
            <w:tcW w:w="5331" w:type="dxa"/>
            <w:vAlign w:val="center"/>
          </w:tcPr>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（1）宣传中医药养生保健知识，2分。</w:t>
            </w:r>
          </w:p>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（2）推广中医适宜技术，2分。</w:t>
            </w:r>
          </w:p>
        </w:tc>
        <w:tc>
          <w:tcPr>
            <w:tcW w:w="120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区卫生健康局</w:t>
            </w:r>
          </w:p>
        </w:tc>
        <w:tc>
          <w:tcPr>
            <w:tcW w:w="1579" w:type="dxa"/>
            <w:vAlign w:val="center"/>
          </w:tcPr>
          <w:p>
            <w:pPr>
              <w:widowControl/>
              <w:snapToGrid w:val="0"/>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2020年12月</w:t>
            </w:r>
          </w:p>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sz w:val="24"/>
                <w:szCs w:val="24"/>
              </w:rPr>
              <w:t>长期保持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1378" w:type="dxa"/>
            <w:vMerge w:val="continue"/>
            <w:vAlign w:val="center"/>
          </w:tcPr>
          <w:p>
            <w:pPr>
              <w:widowControl/>
              <w:snapToGrid w:val="0"/>
              <w:spacing w:line="400" w:lineRule="exact"/>
              <w:rPr>
                <w:rFonts w:ascii="仿宋_GB2312" w:hAnsi="仿宋_GB2312" w:eastAsia="仿宋_GB2312" w:cs="仿宋_GB2312"/>
                <w:color w:val="000000" w:themeColor="text1"/>
                <w:sz w:val="24"/>
                <w:szCs w:val="24"/>
              </w:rPr>
            </w:pPr>
          </w:p>
        </w:tc>
        <w:tc>
          <w:tcPr>
            <w:tcW w:w="1837" w:type="dxa"/>
            <w:vMerge w:val="restart"/>
            <w:vAlign w:val="center"/>
          </w:tcPr>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（六）做好基本医疗保险、城乡居民大病保险和医疗救助重大疾病保障的衔接，保障药品供应。</w:t>
            </w:r>
          </w:p>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（7分）</w:t>
            </w:r>
          </w:p>
        </w:tc>
        <w:tc>
          <w:tcPr>
            <w:tcW w:w="3946" w:type="dxa"/>
            <w:vAlign w:val="center"/>
          </w:tcPr>
          <w:p>
            <w:pPr>
              <w:widowControl/>
              <w:snapToGrid w:val="0"/>
              <w:spacing w:beforeLines="100" w:afterLines="100"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1.做好基本医疗保险、城乡居民大病保险和医疗救助重大疾病保障。</w:t>
            </w:r>
          </w:p>
        </w:tc>
        <w:tc>
          <w:tcPr>
            <w:tcW w:w="5331" w:type="dxa"/>
            <w:vAlign w:val="center"/>
          </w:tcPr>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（1）落实基本医疗保险、大病保险和医疗救助重大疾病保障等相关政策，2分。</w:t>
            </w:r>
            <w:r>
              <w:rPr>
                <w:rFonts w:hint="eastAsia" w:ascii="仿宋_GB2312" w:hAnsi="仿宋_GB2312" w:eastAsia="仿宋_GB2312" w:cs="仿宋_GB2312"/>
                <w:color w:val="000000" w:themeColor="text1"/>
                <w:sz w:val="24"/>
                <w:szCs w:val="24"/>
              </w:rPr>
              <w:br w:type="textWrapping"/>
            </w:r>
            <w:r>
              <w:rPr>
                <w:rFonts w:hint="eastAsia" w:ascii="仿宋_GB2312" w:hAnsi="仿宋_GB2312" w:eastAsia="仿宋_GB2312" w:cs="仿宋_GB2312"/>
                <w:color w:val="000000" w:themeColor="text1"/>
                <w:sz w:val="24"/>
                <w:szCs w:val="24"/>
              </w:rPr>
              <w:t>（2）提高签约患者的医疗保障水平和残疾人、流动人口、低收入等人群医疗救助水平的具体措施，2分。</w:t>
            </w:r>
          </w:p>
        </w:tc>
        <w:tc>
          <w:tcPr>
            <w:tcW w:w="120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区卫生健康局、市医疗保障局张店分局</w:t>
            </w:r>
          </w:p>
        </w:tc>
        <w:tc>
          <w:tcPr>
            <w:tcW w:w="1579" w:type="dxa"/>
            <w:vAlign w:val="center"/>
          </w:tcPr>
          <w:p>
            <w:pPr>
              <w:widowControl/>
              <w:snapToGrid w:val="0"/>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2020年12月</w:t>
            </w:r>
          </w:p>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sz w:val="24"/>
                <w:szCs w:val="24"/>
              </w:rPr>
              <w:t>长期保持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378" w:type="dxa"/>
            <w:vMerge w:val="continue"/>
            <w:vAlign w:val="center"/>
          </w:tcPr>
          <w:p>
            <w:pPr>
              <w:widowControl/>
              <w:snapToGrid w:val="0"/>
              <w:spacing w:line="400" w:lineRule="exact"/>
              <w:rPr>
                <w:rFonts w:ascii="仿宋_GB2312" w:hAnsi="仿宋_GB2312" w:eastAsia="仿宋_GB2312" w:cs="仿宋_GB2312"/>
                <w:color w:val="000000" w:themeColor="text1"/>
                <w:sz w:val="24"/>
                <w:szCs w:val="24"/>
              </w:rPr>
            </w:pPr>
          </w:p>
        </w:tc>
        <w:tc>
          <w:tcPr>
            <w:tcW w:w="1837" w:type="dxa"/>
            <w:vMerge w:val="continue"/>
            <w:vAlign w:val="center"/>
          </w:tcPr>
          <w:p>
            <w:pPr>
              <w:widowControl/>
              <w:snapToGrid w:val="0"/>
              <w:spacing w:line="400" w:lineRule="exact"/>
              <w:rPr>
                <w:rFonts w:ascii="仿宋_GB2312" w:hAnsi="仿宋_GB2312" w:eastAsia="仿宋_GB2312" w:cs="仿宋_GB2312"/>
                <w:color w:val="000000" w:themeColor="text1"/>
                <w:sz w:val="24"/>
                <w:szCs w:val="24"/>
              </w:rPr>
            </w:pPr>
          </w:p>
        </w:tc>
        <w:tc>
          <w:tcPr>
            <w:tcW w:w="394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2.基层医疗卫生机构配备国家或省相关指南、推荐方案建议的高血压、糖尿病等重点慢性病治疗药品，优先使用基本药物。</w:t>
            </w:r>
          </w:p>
        </w:tc>
        <w:tc>
          <w:tcPr>
            <w:tcW w:w="5331" w:type="dxa"/>
            <w:vAlign w:val="center"/>
          </w:tcPr>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（1）全部配备国家或省相关指南方案推荐药品种类的基层医疗卫生机构比例达到80%以上，1 分；不达标不得分。</w:t>
            </w:r>
          </w:p>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（2）实施高血压、糖尿病治疗基本药物全额保障，2 分；未实施不得分。</w:t>
            </w:r>
          </w:p>
        </w:tc>
        <w:tc>
          <w:tcPr>
            <w:tcW w:w="120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区卫生健康局、市医疗保障局张店分局</w:t>
            </w:r>
          </w:p>
        </w:tc>
        <w:tc>
          <w:tcPr>
            <w:tcW w:w="1579" w:type="dxa"/>
            <w:vAlign w:val="center"/>
          </w:tcPr>
          <w:p>
            <w:pPr>
              <w:widowControl/>
              <w:snapToGrid w:val="0"/>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2020年12月</w:t>
            </w:r>
          </w:p>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sz w:val="24"/>
                <w:szCs w:val="24"/>
              </w:rPr>
              <w:t>长期保持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378" w:type="dxa"/>
            <w:vMerge w:val="continue"/>
            <w:vAlign w:val="center"/>
          </w:tcPr>
          <w:p>
            <w:pPr>
              <w:widowControl/>
              <w:snapToGrid w:val="0"/>
              <w:spacing w:line="400" w:lineRule="exact"/>
              <w:rPr>
                <w:rFonts w:ascii="仿宋_GB2312" w:hAnsi="仿宋_GB2312" w:eastAsia="仿宋_GB2312" w:cs="仿宋_GB2312"/>
                <w:color w:val="000000" w:themeColor="text1"/>
                <w:sz w:val="24"/>
                <w:szCs w:val="24"/>
              </w:rPr>
            </w:pPr>
          </w:p>
        </w:tc>
        <w:tc>
          <w:tcPr>
            <w:tcW w:w="1837" w:type="dxa"/>
            <w:vMerge w:val="restart"/>
            <w:vAlign w:val="center"/>
          </w:tcPr>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（七）动员社会力量参与慢性病防控工作，促进医养结合。</w:t>
            </w:r>
          </w:p>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（7分）</w:t>
            </w:r>
          </w:p>
        </w:tc>
        <w:tc>
          <w:tcPr>
            <w:tcW w:w="394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1.政府引导、市场驱动、社会力量参与，为慢性病患者提供健康管理服务。</w:t>
            </w:r>
          </w:p>
        </w:tc>
        <w:tc>
          <w:tcPr>
            <w:tcW w:w="5331" w:type="dxa"/>
            <w:vAlign w:val="center"/>
          </w:tcPr>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（1）有效引进社会资本参与慢性病防控，1分。</w:t>
            </w:r>
          </w:p>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（2）商业健康保险参与医疗救助，1分。</w:t>
            </w:r>
          </w:p>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（3）通过向社会力量购买服务的方式，为慢性病患者提供健康管理服务，2分。</w:t>
            </w:r>
          </w:p>
        </w:tc>
        <w:tc>
          <w:tcPr>
            <w:tcW w:w="120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区卫生健康局、市医疗保障局张店分局、区民政局、各成员单位</w:t>
            </w:r>
          </w:p>
        </w:tc>
        <w:tc>
          <w:tcPr>
            <w:tcW w:w="1579" w:type="dxa"/>
            <w:vAlign w:val="center"/>
          </w:tcPr>
          <w:p>
            <w:pPr>
              <w:widowControl/>
              <w:snapToGrid w:val="0"/>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2020年12月</w:t>
            </w:r>
          </w:p>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sz w:val="24"/>
                <w:szCs w:val="24"/>
              </w:rPr>
              <w:t>长期保持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1378" w:type="dxa"/>
            <w:vMerge w:val="continue"/>
            <w:vAlign w:val="center"/>
          </w:tcPr>
          <w:p>
            <w:pPr>
              <w:widowControl/>
              <w:snapToGrid w:val="0"/>
              <w:spacing w:line="400" w:lineRule="exact"/>
              <w:rPr>
                <w:rFonts w:ascii="仿宋_GB2312" w:hAnsi="仿宋_GB2312" w:eastAsia="仿宋_GB2312" w:cs="仿宋_GB2312"/>
                <w:color w:val="000000" w:themeColor="text1"/>
                <w:sz w:val="24"/>
                <w:szCs w:val="24"/>
              </w:rPr>
            </w:pPr>
          </w:p>
        </w:tc>
        <w:tc>
          <w:tcPr>
            <w:tcW w:w="1837" w:type="dxa"/>
            <w:vMerge w:val="continue"/>
            <w:vAlign w:val="center"/>
          </w:tcPr>
          <w:p>
            <w:pPr>
              <w:widowControl/>
              <w:snapToGrid w:val="0"/>
              <w:spacing w:line="400" w:lineRule="exact"/>
              <w:rPr>
                <w:rFonts w:ascii="仿宋_GB2312" w:hAnsi="仿宋_GB2312" w:eastAsia="仿宋_GB2312" w:cs="仿宋_GB2312"/>
                <w:color w:val="000000" w:themeColor="text1"/>
                <w:sz w:val="24"/>
                <w:szCs w:val="24"/>
              </w:rPr>
            </w:pPr>
          </w:p>
        </w:tc>
        <w:tc>
          <w:tcPr>
            <w:tcW w:w="394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2.促进慢性病全程防治管理服务与居家养老、社区养老和机构养老服务融合。</w:t>
            </w:r>
          </w:p>
        </w:tc>
        <w:tc>
          <w:tcPr>
            <w:tcW w:w="5331" w:type="dxa"/>
            <w:vAlign w:val="center"/>
          </w:tcPr>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医</w:t>
            </w:r>
            <w:r>
              <w:rPr>
                <w:rFonts w:hint="eastAsia" w:ascii="仿宋_GB2312" w:hAnsi="仿宋_GB2312" w:eastAsia="仿宋_GB2312" w:cs="仿宋_GB2312"/>
                <w:color w:val="000000" w:themeColor="text1"/>
                <w:spacing w:val="-6"/>
                <w:sz w:val="24"/>
                <w:szCs w:val="24"/>
              </w:rPr>
              <w:t>疗机构向居家养老、社区养老与机构养老的老年人提供医养结合的健康养老服务覆盖比例≥80%,2分；60-80%，1分；低于60%不得分。</w:t>
            </w:r>
          </w:p>
        </w:tc>
        <w:tc>
          <w:tcPr>
            <w:tcW w:w="120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区民政局、区卫生健康局、各镇政府（街道办事处）</w:t>
            </w:r>
          </w:p>
        </w:tc>
        <w:tc>
          <w:tcPr>
            <w:tcW w:w="1579" w:type="dxa"/>
            <w:vAlign w:val="center"/>
          </w:tcPr>
          <w:p>
            <w:pPr>
              <w:widowControl/>
              <w:snapToGrid w:val="0"/>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2020年12月</w:t>
            </w:r>
          </w:p>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sz w:val="24"/>
                <w:szCs w:val="24"/>
              </w:rPr>
              <w:t>长期保持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78" w:type="dxa"/>
            <w:vMerge w:val="restart"/>
            <w:vAlign w:val="center"/>
          </w:tcPr>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六、监测评估</w:t>
            </w:r>
          </w:p>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（30分）</w:t>
            </w:r>
          </w:p>
        </w:tc>
        <w:tc>
          <w:tcPr>
            <w:tcW w:w="1837" w:type="dxa"/>
            <w:vMerge w:val="restart"/>
            <w:vAlign w:val="center"/>
          </w:tcPr>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（一）开展过程质量控制和重点慢性病监测工作。</w:t>
            </w:r>
          </w:p>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（15分）</w:t>
            </w:r>
          </w:p>
        </w:tc>
        <w:tc>
          <w:tcPr>
            <w:tcW w:w="394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1.规范开展覆盖慢性病及相关危险因素监测，掌握重点慢性病状况、影响因素和疾病负担。</w:t>
            </w:r>
          </w:p>
        </w:tc>
        <w:tc>
          <w:tcPr>
            <w:tcW w:w="5331" w:type="dxa"/>
            <w:vAlign w:val="center"/>
          </w:tcPr>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全人群的死因监测、慢病与营养监测、心脑血管疾病、肿瘤、慢阻肺等重点慢性病登记报告达到基本技术指标，向政府及有关部门提交监测报告。</w:t>
            </w:r>
          </w:p>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（1）死因监测，2分；</w:t>
            </w:r>
          </w:p>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（2）每5年1次慢病与营养监测，2分；</w:t>
            </w:r>
            <w:r>
              <w:rPr>
                <w:rFonts w:hint="eastAsia" w:ascii="仿宋_GB2312" w:hAnsi="仿宋_GB2312" w:eastAsia="仿宋_GB2312" w:cs="仿宋_GB2312"/>
                <w:color w:val="000000" w:themeColor="text1"/>
                <w:sz w:val="24"/>
                <w:szCs w:val="24"/>
              </w:rPr>
              <w:br w:type="textWrapping"/>
            </w:r>
            <w:r>
              <w:rPr>
                <w:rFonts w:hint="eastAsia" w:ascii="仿宋_GB2312" w:hAnsi="仿宋_GB2312" w:eastAsia="仿宋_GB2312" w:cs="仿宋_GB2312"/>
                <w:color w:val="000000" w:themeColor="text1"/>
                <w:sz w:val="24"/>
                <w:szCs w:val="24"/>
              </w:rPr>
              <w:t>（3）心脑血管疾病报告，2分；</w:t>
            </w:r>
            <w:r>
              <w:rPr>
                <w:rFonts w:hint="eastAsia" w:ascii="仿宋_GB2312" w:hAnsi="仿宋_GB2312" w:eastAsia="仿宋_GB2312" w:cs="仿宋_GB2312"/>
                <w:color w:val="000000" w:themeColor="text1"/>
                <w:sz w:val="24"/>
                <w:szCs w:val="24"/>
              </w:rPr>
              <w:br w:type="textWrapping"/>
            </w:r>
            <w:r>
              <w:rPr>
                <w:rFonts w:hint="eastAsia" w:ascii="仿宋_GB2312" w:hAnsi="仿宋_GB2312" w:eastAsia="仿宋_GB2312" w:cs="仿宋_GB2312"/>
                <w:color w:val="000000" w:themeColor="text1"/>
                <w:sz w:val="24"/>
                <w:szCs w:val="24"/>
              </w:rPr>
              <w:t>（4）肿瘤随访登记，2分；</w:t>
            </w:r>
            <w:r>
              <w:rPr>
                <w:rFonts w:hint="eastAsia" w:ascii="仿宋_GB2312" w:hAnsi="仿宋_GB2312" w:eastAsia="仿宋_GB2312" w:cs="仿宋_GB2312"/>
                <w:color w:val="000000" w:themeColor="text1"/>
                <w:sz w:val="24"/>
                <w:szCs w:val="24"/>
              </w:rPr>
              <w:br w:type="textWrapping"/>
            </w:r>
            <w:r>
              <w:rPr>
                <w:rFonts w:hint="eastAsia" w:ascii="仿宋_GB2312" w:hAnsi="仿宋_GB2312" w:eastAsia="仿宋_GB2312" w:cs="仿宋_GB2312"/>
                <w:color w:val="000000" w:themeColor="text1"/>
                <w:sz w:val="24"/>
                <w:szCs w:val="24"/>
              </w:rPr>
              <w:t>（5）慢阻肺监测，2分；</w:t>
            </w:r>
          </w:p>
          <w:p>
            <w:pPr>
              <w:widowControl/>
              <w:snapToGrid w:val="0"/>
              <w:spacing w:line="400" w:lineRule="exact"/>
              <w:ind w:firstLine="120" w:firstLineChars="50"/>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(6) 住院伤害监测，1分。</w:t>
            </w:r>
          </w:p>
        </w:tc>
        <w:tc>
          <w:tcPr>
            <w:tcW w:w="120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区卫生健康局、区公安分局、区民政局、区疾控中心</w:t>
            </w:r>
          </w:p>
        </w:tc>
        <w:tc>
          <w:tcPr>
            <w:tcW w:w="1579" w:type="dxa"/>
            <w:vAlign w:val="center"/>
          </w:tcPr>
          <w:p>
            <w:pPr>
              <w:widowControl/>
              <w:snapToGrid w:val="0"/>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2020年12月</w:t>
            </w:r>
          </w:p>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sz w:val="24"/>
                <w:szCs w:val="24"/>
              </w:rPr>
              <w:t>长期保持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1378" w:type="dxa"/>
            <w:vMerge w:val="continue"/>
            <w:vAlign w:val="center"/>
          </w:tcPr>
          <w:p>
            <w:pPr>
              <w:widowControl/>
              <w:snapToGrid w:val="0"/>
              <w:spacing w:line="400" w:lineRule="exact"/>
              <w:rPr>
                <w:rFonts w:ascii="仿宋_GB2312" w:hAnsi="仿宋_GB2312" w:eastAsia="仿宋_GB2312" w:cs="仿宋_GB2312"/>
                <w:color w:val="000000" w:themeColor="text1"/>
                <w:sz w:val="24"/>
                <w:szCs w:val="24"/>
              </w:rPr>
            </w:pPr>
          </w:p>
        </w:tc>
        <w:tc>
          <w:tcPr>
            <w:tcW w:w="1837" w:type="dxa"/>
            <w:vMerge w:val="continue"/>
            <w:vAlign w:val="center"/>
          </w:tcPr>
          <w:p>
            <w:pPr>
              <w:widowControl/>
              <w:snapToGrid w:val="0"/>
              <w:spacing w:line="400" w:lineRule="exact"/>
              <w:rPr>
                <w:rFonts w:ascii="仿宋_GB2312" w:hAnsi="仿宋_GB2312" w:eastAsia="仿宋_GB2312" w:cs="仿宋_GB2312"/>
                <w:color w:val="000000" w:themeColor="text1"/>
                <w:sz w:val="24"/>
                <w:szCs w:val="24"/>
              </w:rPr>
            </w:pPr>
          </w:p>
        </w:tc>
        <w:tc>
          <w:tcPr>
            <w:tcW w:w="394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2.慢性病监测数据互联互通。</w:t>
            </w:r>
          </w:p>
        </w:tc>
        <w:tc>
          <w:tcPr>
            <w:tcW w:w="5331" w:type="dxa"/>
            <w:vAlign w:val="center"/>
          </w:tcPr>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利用慢病监测信息管理系统，实现县级以上医疗机构慢病监测数据与省级慢病监测平台实现自动推送，做到重点慢性病监测数据互联互通，4分；其余0分。</w:t>
            </w:r>
          </w:p>
        </w:tc>
        <w:tc>
          <w:tcPr>
            <w:tcW w:w="120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区卫生健康局</w:t>
            </w:r>
          </w:p>
        </w:tc>
        <w:tc>
          <w:tcPr>
            <w:tcW w:w="1579" w:type="dxa"/>
            <w:vAlign w:val="center"/>
          </w:tcPr>
          <w:p>
            <w:pPr>
              <w:widowControl/>
              <w:snapToGrid w:val="0"/>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2020年12月</w:t>
            </w:r>
          </w:p>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sz w:val="24"/>
                <w:szCs w:val="24"/>
              </w:rPr>
              <w:t>长期保持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7" w:hRule="atLeast"/>
        </w:trPr>
        <w:tc>
          <w:tcPr>
            <w:tcW w:w="1378" w:type="dxa"/>
            <w:vMerge w:val="continue"/>
            <w:vAlign w:val="center"/>
          </w:tcPr>
          <w:p>
            <w:pPr>
              <w:widowControl/>
              <w:snapToGrid w:val="0"/>
              <w:spacing w:line="400" w:lineRule="exact"/>
              <w:rPr>
                <w:rFonts w:ascii="仿宋_GB2312" w:hAnsi="仿宋_GB2312" w:eastAsia="仿宋_GB2312" w:cs="仿宋_GB2312"/>
                <w:color w:val="000000" w:themeColor="text1"/>
                <w:sz w:val="24"/>
                <w:szCs w:val="24"/>
              </w:rPr>
            </w:pPr>
          </w:p>
        </w:tc>
        <w:tc>
          <w:tcPr>
            <w:tcW w:w="1837" w:type="dxa"/>
            <w:vMerge w:val="restart"/>
            <w:vAlign w:val="center"/>
          </w:tcPr>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（二）开展慢性病防控社会因素调查，定期发布调查结果。</w:t>
            </w:r>
          </w:p>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（15分）</w:t>
            </w:r>
          </w:p>
        </w:tc>
        <w:tc>
          <w:tcPr>
            <w:tcW w:w="394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sz w:val="24"/>
                <w:szCs w:val="24"/>
              </w:rPr>
              <w:t>★</w:t>
            </w:r>
            <w:r>
              <w:rPr>
                <w:rFonts w:hint="eastAsia" w:ascii="仿宋_GB2312" w:hAnsi="仿宋_GB2312" w:eastAsia="仿宋_GB2312" w:cs="仿宋_GB2312"/>
                <w:color w:val="000000" w:themeColor="text1"/>
                <w:kern w:val="0"/>
                <w:sz w:val="24"/>
                <w:szCs w:val="24"/>
              </w:rPr>
              <w:t>1.每5年开展一次慢性病防控社会因素调查。</w:t>
            </w:r>
          </w:p>
        </w:tc>
        <w:tc>
          <w:tcPr>
            <w:tcW w:w="5331" w:type="dxa"/>
            <w:vAlign w:val="center"/>
          </w:tcPr>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（1）规范制定慢性病防控社会因素调查方案，1 分。</w:t>
            </w:r>
          </w:p>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（2）综合运用社会学、流行病学及管理学理论与方法开展社会因素调查，完成调查报告，2 分。</w:t>
            </w:r>
          </w:p>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（3）报告信息来源权威、准确、多元、综合，报告结构完整，有背景、方法、现状与主要问题、资源分析、预期目标、主要对策与具体措施等内容，2 分。</w:t>
            </w:r>
          </w:p>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（4）报告调查结果清晰、调查依据正确、对策合乎逻辑、目标设定科学、措施设计得当，2 分。</w:t>
            </w:r>
          </w:p>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（5）报告结果用于反馈示范区建设及慢性病综合防控工作，2 分。</w:t>
            </w:r>
          </w:p>
        </w:tc>
        <w:tc>
          <w:tcPr>
            <w:tcW w:w="120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区卫生健康局、区疾控中心</w:t>
            </w:r>
          </w:p>
        </w:tc>
        <w:tc>
          <w:tcPr>
            <w:tcW w:w="1579" w:type="dxa"/>
            <w:vAlign w:val="center"/>
          </w:tcPr>
          <w:p>
            <w:pPr>
              <w:widowControl/>
              <w:snapToGrid w:val="0"/>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2020年12月</w:t>
            </w:r>
          </w:p>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sz w:val="24"/>
                <w:szCs w:val="24"/>
              </w:rPr>
              <w:t>长期保持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378" w:type="dxa"/>
            <w:vMerge w:val="continue"/>
            <w:vAlign w:val="center"/>
          </w:tcPr>
          <w:p>
            <w:pPr>
              <w:widowControl/>
              <w:snapToGrid w:val="0"/>
              <w:spacing w:line="400" w:lineRule="exact"/>
              <w:rPr>
                <w:rFonts w:ascii="仿宋_GB2312" w:hAnsi="仿宋_GB2312" w:eastAsia="仿宋_GB2312" w:cs="仿宋_GB2312"/>
                <w:color w:val="000000" w:themeColor="text1"/>
                <w:sz w:val="24"/>
                <w:szCs w:val="24"/>
              </w:rPr>
            </w:pPr>
          </w:p>
        </w:tc>
        <w:tc>
          <w:tcPr>
            <w:tcW w:w="1837" w:type="dxa"/>
            <w:vMerge w:val="continue"/>
            <w:vAlign w:val="center"/>
          </w:tcPr>
          <w:p>
            <w:pPr>
              <w:widowControl/>
              <w:snapToGrid w:val="0"/>
              <w:spacing w:line="400" w:lineRule="exact"/>
              <w:rPr>
                <w:rFonts w:ascii="仿宋_GB2312" w:hAnsi="仿宋_GB2312" w:eastAsia="仿宋_GB2312" w:cs="仿宋_GB2312"/>
                <w:color w:val="000000" w:themeColor="text1"/>
                <w:sz w:val="24"/>
                <w:szCs w:val="24"/>
              </w:rPr>
            </w:pPr>
          </w:p>
        </w:tc>
        <w:tc>
          <w:tcPr>
            <w:tcW w:w="394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sz w:val="24"/>
                <w:szCs w:val="24"/>
              </w:rPr>
              <w:t>★</w:t>
            </w:r>
            <w:r>
              <w:rPr>
                <w:rFonts w:hint="eastAsia" w:ascii="仿宋_GB2312" w:hAnsi="仿宋_GB2312" w:eastAsia="仿宋_GB2312" w:cs="仿宋_GB2312"/>
                <w:color w:val="000000" w:themeColor="text1"/>
                <w:kern w:val="0"/>
                <w:sz w:val="24"/>
                <w:szCs w:val="24"/>
              </w:rPr>
              <w:t>2.政府发布人群慢性病防控有关健康信息。</w:t>
            </w:r>
          </w:p>
        </w:tc>
        <w:tc>
          <w:tcPr>
            <w:tcW w:w="5331" w:type="dxa"/>
            <w:vAlign w:val="center"/>
          </w:tcPr>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（1）政府每5年发布含慢性病防控内容的综合健康报告，3分。</w:t>
            </w:r>
          </w:p>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（2）综合健康报告主要结果用于政府工作报告，3分。</w:t>
            </w:r>
          </w:p>
        </w:tc>
        <w:tc>
          <w:tcPr>
            <w:tcW w:w="120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区政府办公室、区卫生健康局</w:t>
            </w:r>
          </w:p>
        </w:tc>
        <w:tc>
          <w:tcPr>
            <w:tcW w:w="1579" w:type="dxa"/>
            <w:vAlign w:val="center"/>
          </w:tcPr>
          <w:p>
            <w:pPr>
              <w:widowControl/>
              <w:snapToGrid w:val="0"/>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2020年12月</w:t>
            </w:r>
          </w:p>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sz w:val="24"/>
                <w:szCs w:val="24"/>
              </w:rPr>
              <w:t>长期保持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1378" w:type="dxa"/>
            <w:vMerge w:val="restart"/>
            <w:vAlign w:val="center"/>
          </w:tcPr>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七、创新引领</w:t>
            </w:r>
          </w:p>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（30分）</w:t>
            </w:r>
          </w:p>
        </w:tc>
        <w:tc>
          <w:tcPr>
            <w:tcW w:w="1837" w:type="dxa"/>
            <w:vMerge w:val="restart"/>
            <w:vAlign w:val="center"/>
          </w:tcPr>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慢性病综合防控工作有特色、可复制、可推广。</w:t>
            </w:r>
          </w:p>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（30分）</w:t>
            </w:r>
          </w:p>
        </w:tc>
        <w:tc>
          <w:tcPr>
            <w:tcW w:w="394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1.倡导慢性病综合防控工作与当地社会、文化等建设和公共服务、公共产品供给相结合。</w:t>
            </w:r>
          </w:p>
        </w:tc>
        <w:tc>
          <w:tcPr>
            <w:tcW w:w="5331" w:type="dxa"/>
            <w:vAlign w:val="center"/>
          </w:tcPr>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慢性病综合防控工作与社区文化建设、健康城市建设、文明创建、公共服务与公共产品等相关项目有机衔接整合，以达到1+1&gt;2的实际效果。建立协同工作机制并有效衔接达3项，10分；1-2项，5分。</w:t>
            </w:r>
          </w:p>
        </w:tc>
        <w:tc>
          <w:tcPr>
            <w:tcW w:w="120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区卫生健康局、各成员单位</w:t>
            </w:r>
          </w:p>
        </w:tc>
        <w:tc>
          <w:tcPr>
            <w:tcW w:w="1579" w:type="dxa"/>
            <w:vAlign w:val="center"/>
          </w:tcPr>
          <w:p>
            <w:pPr>
              <w:widowControl/>
              <w:snapToGrid w:val="0"/>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2020年12月</w:t>
            </w:r>
          </w:p>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sz w:val="24"/>
                <w:szCs w:val="24"/>
              </w:rPr>
              <w:t>长期保持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378" w:type="dxa"/>
            <w:vMerge w:val="continue"/>
            <w:vAlign w:val="center"/>
          </w:tcPr>
          <w:p>
            <w:pPr>
              <w:widowControl/>
              <w:snapToGrid w:val="0"/>
              <w:spacing w:line="400" w:lineRule="exact"/>
              <w:rPr>
                <w:rFonts w:ascii="仿宋_GB2312" w:hAnsi="仿宋_GB2312" w:eastAsia="仿宋_GB2312" w:cs="仿宋_GB2312"/>
                <w:color w:val="000000" w:themeColor="text1"/>
                <w:kern w:val="0"/>
                <w:sz w:val="24"/>
                <w:szCs w:val="24"/>
              </w:rPr>
            </w:pPr>
          </w:p>
        </w:tc>
        <w:tc>
          <w:tcPr>
            <w:tcW w:w="1837" w:type="dxa"/>
            <w:vMerge w:val="continue"/>
            <w:vAlign w:val="center"/>
          </w:tcPr>
          <w:p>
            <w:pPr>
              <w:widowControl/>
              <w:snapToGrid w:val="0"/>
              <w:spacing w:line="400" w:lineRule="exact"/>
              <w:rPr>
                <w:rFonts w:ascii="仿宋_GB2312" w:hAnsi="仿宋_GB2312" w:eastAsia="仿宋_GB2312" w:cs="仿宋_GB2312"/>
                <w:color w:val="000000" w:themeColor="text1"/>
                <w:kern w:val="0"/>
                <w:sz w:val="24"/>
                <w:szCs w:val="24"/>
              </w:rPr>
            </w:pPr>
          </w:p>
        </w:tc>
        <w:tc>
          <w:tcPr>
            <w:tcW w:w="394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sz w:val="24"/>
                <w:szCs w:val="24"/>
              </w:rPr>
              <w:t>★</w:t>
            </w:r>
            <w:r>
              <w:rPr>
                <w:rFonts w:hint="eastAsia" w:ascii="仿宋_GB2312" w:hAnsi="仿宋_GB2312" w:eastAsia="仿宋_GB2312" w:cs="仿宋_GB2312"/>
                <w:color w:val="000000" w:themeColor="text1"/>
                <w:kern w:val="0"/>
                <w:sz w:val="24"/>
                <w:szCs w:val="24"/>
              </w:rPr>
              <w:t>2.总结有创新、特色案例。</w:t>
            </w:r>
          </w:p>
        </w:tc>
        <w:tc>
          <w:tcPr>
            <w:tcW w:w="5331" w:type="dxa"/>
            <w:vAlign w:val="center"/>
          </w:tcPr>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创新特色案例达2个，案例撰写符合要求，15分；1个，10分。</w:t>
            </w:r>
          </w:p>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案例撰写不符合要求者酌情扣分。案例撰写要求包括：主题鲜明突出防控重点、技术流程清晰，操作性强，可复制、可推广。</w:t>
            </w:r>
          </w:p>
        </w:tc>
        <w:tc>
          <w:tcPr>
            <w:tcW w:w="120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区卫生健康局、各成员单位</w:t>
            </w:r>
          </w:p>
        </w:tc>
        <w:tc>
          <w:tcPr>
            <w:tcW w:w="1579" w:type="dxa"/>
            <w:vAlign w:val="center"/>
          </w:tcPr>
          <w:p>
            <w:pPr>
              <w:widowControl/>
              <w:snapToGrid w:val="0"/>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2020年12月</w:t>
            </w:r>
          </w:p>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sz w:val="24"/>
                <w:szCs w:val="24"/>
              </w:rPr>
              <w:t>长期保持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378" w:type="dxa"/>
            <w:vMerge w:val="continue"/>
            <w:vAlign w:val="center"/>
          </w:tcPr>
          <w:p>
            <w:pPr>
              <w:widowControl/>
              <w:snapToGrid w:val="0"/>
              <w:spacing w:line="400" w:lineRule="exact"/>
              <w:rPr>
                <w:rFonts w:ascii="仿宋_GB2312" w:hAnsi="仿宋_GB2312" w:eastAsia="仿宋_GB2312" w:cs="仿宋_GB2312"/>
                <w:color w:val="000000" w:themeColor="text1"/>
                <w:kern w:val="0"/>
                <w:sz w:val="24"/>
                <w:szCs w:val="24"/>
              </w:rPr>
            </w:pPr>
          </w:p>
        </w:tc>
        <w:tc>
          <w:tcPr>
            <w:tcW w:w="1837" w:type="dxa"/>
            <w:vMerge w:val="continue"/>
            <w:vAlign w:val="center"/>
          </w:tcPr>
          <w:p>
            <w:pPr>
              <w:widowControl/>
              <w:snapToGrid w:val="0"/>
              <w:spacing w:line="400" w:lineRule="exact"/>
              <w:rPr>
                <w:rFonts w:ascii="仿宋_GB2312" w:hAnsi="仿宋_GB2312" w:eastAsia="仿宋_GB2312" w:cs="仿宋_GB2312"/>
                <w:color w:val="000000" w:themeColor="text1"/>
                <w:kern w:val="0"/>
                <w:sz w:val="24"/>
                <w:szCs w:val="24"/>
              </w:rPr>
            </w:pPr>
          </w:p>
        </w:tc>
        <w:tc>
          <w:tcPr>
            <w:tcW w:w="394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3.示范区建设经验做法起到示范引领作用。</w:t>
            </w:r>
          </w:p>
        </w:tc>
        <w:tc>
          <w:tcPr>
            <w:tcW w:w="5331" w:type="dxa"/>
            <w:vAlign w:val="center"/>
          </w:tcPr>
          <w:p>
            <w:pPr>
              <w:widowControl/>
              <w:snapToGrid w:val="0"/>
              <w:spacing w:line="400" w:lineRule="exact"/>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示范区工作经验做法被市级及以上推广2项，5分；1项，2分。</w:t>
            </w:r>
          </w:p>
        </w:tc>
        <w:tc>
          <w:tcPr>
            <w:tcW w:w="1206" w:type="dxa"/>
            <w:vAlign w:val="center"/>
          </w:tcPr>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color w:val="000000" w:themeColor="text1"/>
                <w:kern w:val="0"/>
                <w:sz w:val="24"/>
                <w:szCs w:val="24"/>
              </w:rPr>
              <w:t>区卫生健康局、各成员单位</w:t>
            </w:r>
          </w:p>
        </w:tc>
        <w:tc>
          <w:tcPr>
            <w:tcW w:w="1579" w:type="dxa"/>
            <w:vAlign w:val="center"/>
          </w:tcPr>
          <w:p>
            <w:pPr>
              <w:widowControl/>
              <w:snapToGrid w:val="0"/>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2020年12月</w:t>
            </w:r>
          </w:p>
          <w:p>
            <w:pPr>
              <w:widowControl/>
              <w:snapToGrid w:val="0"/>
              <w:spacing w:line="400" w:lineRule="exact"/>
              <w:rPr>
                <w:rFonts w:ascii="仿宋_GB2312" w:hAnsi="仿宋_GB2312" w:eastAsia="仿宋_GB2312" w:cs="仿宋_GB2312"/>
                <w:color w:val="000000" w:themeColor="text1"/>
                <w:kern w:val="0"/>
                <w:sz w:val="24"/>
                <w:szCs w:val="24"/>
              </w:rPr>
            </w:pPr>
            <w:r>
              <w:rPr>
                <w:rFonts w:hint="eastAsia" w:ascii="仿宋_GB2312" w:hAnsi="仿宋_GB2312" w:eastAsia="仿宋_GB2312" w:cs="仿宋_GB2312"/>
                <w:sz w:val="24"/>
                <w:szCs w:val="24"/>
              </w:rPr>
              <w:t>长期保持</w:t>
            </w:r>
          </w:p>
        </w:tc>
      </w:tr>
    </w:tbl>
    <w:p>
      <w:pPr>
        <w:spacing w:line="560" w:lineRule="exact"/>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p>
      <w:pPr>
        <w:pStyle w:val="2"/>
        <w:jc w:val="both"/>
        <w:rPr>
          <w:rFonts w:ascii="Times New Roman" w:hAnsi="Times New Roman" w:cs="Times New Roman"/>
        </w:rPr>
        <w:sectPr>
          <w:pgSz w:w="16838" w:h="11906" w:orient="landscape"/>
          <w:pgMar w:top="1803" w:right="1440" w:bottom="1803" w:left="1440" w:header="851" w:footer="992" w:gutter="0"/>
          <w:cols w:space="0" w:num="1"/>
          <w:docGrid w:linePitch="319" w:charSpace="0"/>
        </w:sectPr>
      </w:pPr>
    </w:p>
    <w:p>
      <w:pPr>
        <w:widowControl w:val="0"/>
        <w:pBdr>
          <w:top w:val="none" w:color="000000" w:sz="0" w:space="1"/>
          <w:left w:val="none" w:color="auto" w:sz="0" w:space="4"/>
          <w:bottom w:val="none" w:color="000000" w:sz="0" w:space="1"/>
          <w:right w:val="none" w:color="auto" w:sz="0" w:space="4"/>
          <w:between w:val="none" w:color="auto" w:sz="0" w:space="0"/>
        </w:pBdr>
        <w:spacing w:line="480" w:lineRule="exact"/>
        <w:jc w:val="both"/>
        <w:textAlignment w:val="center"/>
        <w:rPr>
          <w:rFonts w:hint="eastAsia" w:eastAsia="仿宋_GB2312"/>
          <w:sz w:val="28"/>
          <w:szCs w:val="28"/>
          <w:lang w:eastAsia="zh-CN"/>
        </w:rPr>
      </w:pPr>
    </w:p>
    <w:p>
      <w:pPr>
        <w:pStyle w:val="2"/>
        <w:rPr>
          <w:rFonts w:hint="eastAsia" w:eastAsia="仿宋_GB2312"/>
          <w:sz w:val="28"/>
          <w:szCs w:val="28"/>
          <w:lang w:eastAsia="zh-CN"/>
        </w:rPr>
      </w:pPr>
    </w:p>
    <w:p>
      <w:pPr>
        <w:pStyle w:val="2"/>
        <w:rPr>
          <w:rFonts w:hint="eastAsia" w:eastAsia="仿宋_GB2312"/>
          <w:sz w:val="28"/>
          <w:szCs w:val="28"/>
          <w:lang w:eastAsia="zh-CN"/>
        </w:rPr>
      </w:pPr>
    </w:p>
    <w:p>
      <w:pPr>
        <w:pStyle w:val="2"/>
        <w:rPr>
          <w:rFonts w:hint="eastAsia" w:eastAsia="仿宋_GB2312"/>
          <w:sz w:val="28"/>
          <w:szCs w:val="28"/>
          <w:lang w:eastAsia="zh-CN"/>
        </w:rPr>
      </w:pPr>
    </w:p>
    <w:p>
      <w:pPr>
        <w:pStyle w:val="2"/>
        <w:rPr>
          <w:rFonts w:hint="eastAsia" w:eastAsia="仿宋_GB2312"/>
          <w:sz w:val="28"/>
          <w:szCs w:val="28"/>
          <w:lang w:eastAsia="zh-CN"/>
        </w:rPr>
      </w:pPr>
    </w:p>
    <w:p>
      <w:pPr>
        <w:pStyle w:val="2"/>
        <w:rPr>
          <w:rFonts w:hint="eastAsia" w:eastAsia="仿宋_GB2312"/>
          <w:sz w:val="28"/>
          <w:szCs w:val="28"/>
          <w:lang w:eastAsia="zh-CN"/>
        </w:rPr>
      </w:pPr>
    </w:p>
    <w:p>
      <w:pPr>
        <w:pStyle w:val="2"/>
        <w:rPr>
          <w:rFonts w:hint="eastAsia" w:eastAsia="仿宋_GB2312"/>
          <w:sz w:val="28"/>
          <w:szCs w:val="28"/>
          <w:lang w:eastAsia="zh-CN"/>
        </w:rPr>
      </w:pPr>
    </w:p>
    <w:p>
      <w:pPr>
        <w:pStyle w:val="2"/>
        <w:rPr>
          <w:rFonts w:hint="eastAsia" w:eastAsia="仿宋_GB2312"/>
          <w:sz w:val="28"/>
          <w:szCs w:val="28"/>
          <w:lang w:eastAsia="zh-CN"/>
        </w:rPr>
      </w:pPr>
    </w:p>
    <w:p>
      <w:pPr>
        <w:pStyle w:val="2"/>
        <w:rPr>
          <w:rFonts w:hint="eastAsia" w:eastAsia="仿宋_GB2312"/>
          <w:sz w:val="28"/>
          <w:szCs w:val="28"/>
          <w:lang w:eastAsia="zh-CN"/>
        </w:rPr>
      </w:pPr>
    </w:p>
    <w:p>
      <w:pPr>
        <w:pStyle w:val="2"/>
        <w:rPr>
          <w:rFonts w:hint="eastAsia" w:eastAsia="仿宋_GB2312"/>
          <w:sz w:val="28"/>
          <w:szCs w:val="28"/>
          <w:lang w:eastAsia="zh-CN"/>
        </w:rPr>
      </w:pPr>
    </w:p>
    <w:p>
      <w:pPr>
        <w:pStyle w:val="2"/>
        <w:rPr>
          <w:rFonts w:hint="eastAsia" w:eastAsia="仿宋_GB2312"/>
          <w:sz w:val="28"/>
          <w:szCs w:val="28"/>
          <w:lang w:eastAsia="zh-CN"/>
        </w:rPr>
      </w:pPr>
    </w:p>
    <w:p>
      <w:pPr>
        <w:pStyle w:val="2"/>
        <w:rPr>
          <w:rFonts w:hint="eastAsia" w:eastAsia="仿宋_GB2312"/>
          <w:sz w:val="28"/>
          <w:szCs w:val="28"/>
          <w:lang w:eastAsia="zh-CN"/>
        </w:rPr>
      </w:pPr>
    </w:p>
    <w:p>
      <w:pPr>
        <w:pStyle w:val="2"/>
        <w:rPr>
          <w:rFonts w:hint="eastAsia" w:eastAsia="仿宋_GB2312"/>
          <w:sz w:val="28"/>
          <w:szCs w:val="28"/>
          <w:lang w:eastAsia="zh-CN"/>
        </w:rPr>
      </w:pPr>
    </w:p>
    <w:p>
      <w:pPr>
        <w:pStyle w:val="2"/>
        <w:rPr>
          <w:rFonts w:hint="eastAsia" w:eastAsia="仿宋_GB2312"/>
          <w:sz w:val="28"/>
          <w:szCs w:val="28"/>
          <w:lang w:eastAsia="zh-CN"/>
        </w:rPr>
      </w:pPr>
    </w:p>
    <w:p>
      <w:pPr>
        <w:pStyle w:val="2"/>
        <w:rPr>
          <w:rFonts w:hint="eastAsia" w:eastAsia="仿宋_GB2312"/>
          <w:sz w:val="28"/>
          <w:szCs w:val="28"/>
          <w:lang w:eastAsia="zh-CN"/>
        </w:rPr>
      </w:pPr>
    </w:p>
    <w:p>
      <w:pPr>
        <w:pStyle w:val="2"/>
        <w:rPr>
          <w:rFonts w:hint="eastAsia" w:eastAsia="仿宋_GB2312"/>
          <w:sz w:val="28"/>
          <w:szCs w:val="28"/>
          <w:lang w:eastAsia="zh-CN"/>
        </w:rPr>
      </w:pPr>
    </w:p>
    <w:p>
      <w:pPr>
        <w:pStyle w:val="2"/>
        <w:rPr>
          <w:rFonts w:hint="eastAsia" w:eastAsia="仿宋_GB2312"/>
          <w:sz w:val="28"/>
          <w:szCs w:val="28"/>
          <w:lang w:eastAsia="zh-CN"/>
        </w:rPr>
      </w:pPr>
    </w:p>
    <w:p>
      <w:pPr>
        <w:pStyle w:val="2"/>
        <w:rPr>
          <w:rFonts w:hint="eastAsia" w:eastAsia="仿宋_GB2312"/>
          <w:sz w:val="28"/>
          <w:szCs w:val="28"/>
          <w:lang w:eastAsia="zh-CN"/>
        </w:rPr>
      </w:pPr>
    </w:p>
    <w:p>
      <w:pPr>
        <w:pStyle w:val="2"/>
        <w:jc w:val="both"/>
        <w:rPr>
          <w:rFonts w:hint="eastAsia" w:eastAsia="仿宋_GB2312"/>
          <w:sz w:val="28"/>
          <w:szCs w:val="28"/>
          <w:lang w:eastAsia="zh-CN"/>
        </w:rPr>
      </w:pPr>
    </w:p>
    <w:p>
      <w:pPr>
        <w:widowControl w:val="0"/>
        <w:pBdr>
          <w:top w:val="single" w:color="000000" w:sz="12" w:space="1"/>
          <w:left w:val="none" w:color="auto" w:sz="0" w:space="4"/>
          <w:bottom w:val="none" w:color="000000" w:sz="0" w:space="1"/>
          <w:right w:val="none" w:color="auto" w:sz="0" w:space="4"/>
          <w:between w:val="none" w:color="auto" w:sz="0" w:space="0"/>
        </w:pBdr>
        <w:spacing w:line="480" w:lineRule="exact"/>
        <w:ind w:firstLine="274" w:firstLineChars="100"/>
        <w:jc w:val="both"/>
        <w:textAlignment w:val="center"/>
        <w:rPr>
          <w:rFonts w:hint="eastAsia" w:eastAsia="仿宋_GB2312"/>
          <w:sz w:val="28"/>
          <w:szCs w:val="28"/>
          <w:lang w:eastAsia="zh-CN"/>
        </w:rPr>
      </w:pPr>
      <w:r>
        <w:rPr>
          <w:rFonts w:eastAsia="仿宋_GB2312"/>
          <w:sz w:val="28"/>
          <w:szCs w:val="28"/>
        </w:rPr>
        <w:t>抄送：区委</w:t>
      </w:r>
      <w:r>
        <w:rPr>
          <w:rFonts w:hint="eastAsia" w:eastAsia="仿宋_GB2312"/>
          <w:sz w:val="28"/>
          <w:szCs w:val="28"/>
        </w:rPr>
        <w:t>办公室</w:t>
      </w:r>
      <w:r>
        <w:rPr>
          <w:rFonts w:eastAsia="仿宋_GB2312"/>
          <w:sz w:val="28"/>
          <w:szCs w:val="28"/>
        </w:rPr>
        <w:t>，区人大常委会办公</w:t>
      </w:r>
      <w:r>
        <w:rPr>
          <w:rFonts w:hint="eastAsia" w:eastAsia="仿宋_GB2312"/>
          <w:sz w:val="28"/>
          <w:szCs w:val="28"/>
        </w:rPr>
        <w:t>室</w:t>
      </w:r>
      <w:r>
        <w:rPr>
          <w:rFonts w:eastAsia="仿宋_GB2312"/>
          <w:sz w:val="28"/>
          <w:szCs w:val="28"/>
        </w:rPr>
        <w:t>，区政协办公</w:t>
      </w:r>
      <w:r>
        <w:rPr>
          <w:rFonts w:hint="eastAsia" w:eastAsia="仿宋_GB2312"/>
          <w:sz w:val="28"/>
          <w:szCs w:val="28"/>
        </w:rPr>
        <w:t>室</w:t>
      </w:r>
      <w:r>
        <w:rPr>
          <w:rFonts w:eastAsia="仿宋_GB2312"/>
          <w:sz w:val="28"/>
          <w:szCs w:val="28"/>
        </w:rPr>
        <w:t>，</w:t>
      </w:r>
      <w:r>
        <w:rPr>
          <w:rFonts w:hint="eastAsia" w:eastAsia="仿宋_GB2312"/>
          <w:sz w:val="28"/>
          <w:szCs w:val="28"/>
          <w:lang w:eastAsia="zh-CN"/>
        </w:rPr>
        <w:t>区监察委，</w:t>
      </w:r>
    </w:p>
    <w:p>
      <w:pPr>
        <w:widowControl w:val="0"/>
        <w:pBdr>
          <w:top w:val="none" w:color="000000" w:sz="0" w:space="1"/>
          <w:left w:val="none" w:color="auto" w:sz="0" w:space="4"/>
          <w:bottom w:val="single" w:color="auto" w:sz="4" w:space="1"/>
          <w:right w:val="none" w:color="auto" w:sz="0" w:space="4"/>
          <w:between w:val="none" w:color="auto" w:sz="0" w:space="0"/>
        </w:pBdr>
        <w:spacing w:line="480" w:lineRule="exact"/>
        <w:ind w:firstLine="1096" w:firstLineChars="400"/>
        <w:jc w:val="both"/>
        <w:textAlignment w:val="center"/>
        <w:rPr>
          <w:rFonts w:eastAsia="仿宋_GB2312"/>
          <w:sz w:val="28"/>
          <w:szCs w:val="28"/>
        </w:rPr>
      </w:pPr>
      <w:r>
        <w:rPr>
          <w:rFonts w:eastAsia="仿宋_GB2312"/>
          <w:sz w:val="28"/>
          <w:szCs w:val="28"/>
        </w:rPr>
        <w:t>区法院，区检察院。</w:t>
      </w:r>
    </w:p>
    <w:p>
      <w:pPr>
        <w:widowControl w:val="0"/>
        <w:pBdr>
          <w:top w:val="none" w:color="auto" w:sz="0" w:space="1"/>
          <w:left w:val="none" w:color="auto" w:sz="0" w:space="4"/>
          <w:bottom w:val="single" w:color="auto" w:sz="12" w:space="1"/>
          <w:right w:val="none" w:color="auto" w:sz="0" w:space="4"/>
          <w:between w:val="none" w:color="auto" w:sz="0" w:space="0"/>
        </w:pBdr>
        <w:spacing w:line="480" w:lineRule="exact"/>
        <w:ind w:firstLine="274" w:firstLineChars="100"/>
        <w:jc w:val="both"/>
        <w:textAlignment w:val="center"/>
        <w:rPr>
          <w:rFonts w:ascii="Times New Roman" w:hAnsi="Times New Roman" w:cs="Times New Roman"/>
        </w:rPr>
      </w:pPr>
      <w:r>
        <w:rPr>
          <w:rFonts w:hint="eastAsia" w:eastAsia="仿宋_GB2312"/>
          <w:sz w:val="28"/>
          <w:szCs w:val="28"/>
        </w:rPr>
        <w:t xml:space="preserve">淄博市张店区人民政府办公室              </w:t>
      </w:r>
      <w:r>
        <w:rPr>
          <w:rFonts w:hint="eastAsia" w:eastAsia="仿宋_GB2312"/>
          <w:sz w:val="28"/>
          <w:szCs w:val="28"/>
          <w:lang w:val="en-US" w:eastAsia="zh-CN"/>
        </w:rPr>
        <w:t xml:space="preserve">  </w:t>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日印发</w:t>
      </w:r>
    </w:p>
    <w:sectPr>
      <w:footerReference r:id="rId7" w:type="default"/>
      <w:pgSz w:w="11907" w:h="16840"/>
      <w:pgMar w:top="2098" w:right="1474" w:bottom="1984" w:left="1587" w:header="851" w:footer="1531" w:gutter="0"/>
      <w:pgBorders>
        <w:top w:val="none" w:sz="0" w:space="0"/>
        <w:left w:val="none" w:sz="0" w:space="0"/>
        <w:bottom w:val="none" w:sz="0" w:space="0"/>
        <w:right w:val="none" w:sz="0" w:space="0"/>
      </w:pgBorders>
      <w:pgNumType w:fmt="decimal" w:start="2"/>
      <w:cols w:space="720" w:num="1"/>
      <w:docGrid w:type="linesAndChars" w:linePitch="585" w:charSpace="-12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4097" o:spid="_x0000_s4097" o:spt="202" type="#_x0000_t202" style="position:absolute;left:0pt;margin-top:-16.8pt;height:144pt;width:144pt;mso-position-horizontal:outside;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6"/>
                  <w:jc w:val="right"/>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 </w:t>
                </w: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3</w:t>
                </w:r>
                <w:r>
                  <w:rPr>
                    <w:rFonts w:asciiTheme="majorEastAsia" w:hAnsiTheme="majorEastAsia" w:eastAsiaTheme="majorEastAsia"/>
                    <w:sz w:val="28"/>
                    <w:szCs w:val="28"/>
                  </w:rPr>
                  <w:fldChar w:fldCharType="end"/>
                </w:r>
                <w:r>
                  <w:rPr>
                    <w:rFonts w:hint="eastAsia" w:asciiTheme="majorEastAsia" w:hAnsiTheme="majorEastAsia" w:eastAsiaTheme="majorEastAsia"/>
                    <w:sz w:val="28"/>
                    <w:szCs w:val="28"/>
                  </w:rPr>
                  <w:t xml:space="preserve"> —</w:t>
                </w:r>
              </w:p>
              <w:p>
                <w:pPr>
                  <w:pStyle w:val="6"/>
                  <w:rPr>
                    <w:rStyle w:val="12"/>
                    <w:rFonts w:ascii="宋体" w:hAnsi="宋体" w:cs="宋体"/>
                    <w:sz w:val="28"/>
                    <w:szCs w:val="2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560"/>
      <w:rPr>
        <w:rFonts w:asciiTheme="majorEastAsia" w:hAnsiTheme="majorEastAsia" w:eastAsiaTheme="majorEastAsia"/>
        <w:sz w:val="28"/>
        <w:szCs w:val="28"/>
      </w:rPr>
    </w:pPr>
    <w:r>
      <w:rPr>
        <w:rFonts w:asciiTheme="majorEastAsia" w:hAnsiTheme="majorEastAsia" w:eastAsiaTheme="majorEastAsia"/>
        <w:sz w:val="28"/>
        <w:szCs w:val="28"/>
      </w:rPr>
      <w:ptab w:relativeTo="margin" w:alignment="right" w:leader="none"/>
    </w: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2</w:t>
    </w:r>
    <w:r>
      <w:rPr>
        <w:rFonts w:asciiTheme="majorEastAsia" w:hAnsiTheme="majorEastAsia" w:eastAsiaTheme="majorEastAsia"/>
        <w:sz w:val="28"/>
        <w:szCs w:val="28"/>
      </w:rP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rPr>
        <w:rFonts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rPr>
        <w:sz w:val="18"/>
      </w:rPr>
      <w:pict>
        <v:shape id="_x0000_s4098" o:spid="_x0000_s4098"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6"/>
                  <w:rPr>
                    <w:rStyle w:val="12"/>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33</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3937B7"/>
    <w:multiLevelType w:val="multilevel"/>
    <w:tmpl w:val="3F3937B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HorizontalSpacing w:val="105"/>
  <w:drawingGridVerticalSpacing w:val="319"/>
  <w:displayHorizontalDrawingGridEvery w:val="0"/>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F4915"/>
    <w:rsid w:val="00000314"/>
    <w:rsid w:val="00002910"/>
    <w:rsid w:val="00010961"/>
    <w:rsid w:val="00013E0B"/>
    <w:rsid w:val="00014E6A"/>
    <w:rsid w:val="00016AFD"/>
    <w:rsid w:val="00016E40"/>
    <w:rsid w:val="00021748"/>
    <w:rsid w:val="00022A89"/>
    <w:rsid w:val="00025A26"/>
    <w:rsid w:val="00025B81"/>
    <w:rsid w:val="00030A6D"/>
    <w:rsid w:val="00034D3A"/>
    <w:rsid w:val="00037ED6"/>
    <w:rsid w:val="000403D1"/>
    <w:rsid w:val="00041FE3"/>
    <w:rsid w:val="0004330F"/>
    <w:rsid w:val="00043C03"/>
    <w:rsid w:val="00045D1E"/>
    <w:rsid w:val="00046D1C"/>
    <w:rsid w:val="000558EF"/>
    <w:rsid w:val="00057A08"/>
    <w:rsid w:val="00060569"/>
    <w:rsid w:val="00062A46"/>
    <w:rsid w:val="000638F4"/>
    <w:rsid w:val="000701A2"/>
    <w:rsid w:val="00074440"/>
    <w:rsid w:val="00074A46"/>
    <w:rsid w:val="00074A6E"/>
    <w:rsid w:val="00076B3B"/>
    <w:rsid w:val="00077027"/>
    <w:rsid w:val="000771C4"/>
    <w:rsid w:val="0008002E"/>
    <w:rsid w:val="00083553"/>
    <w:rsid w:val="000848C1"/>
    <w:rsid w:val="000877AA"/>
    <w:rsid w:val="0008780E"/>
    <w:rsid w:val="0009461B"/>
    <w:rsid w:val="00095924"/>
    <w:rsid w:val="000A1124"/>
    <w:rsid w:val="000A14BF"/>
    <w:rsid w:val="000A1764"/>
    <w:rsid w:val="000A1845"/>
    <w:rsid w:val="000A304C"/>
    <w:rsid w:val="000A4BF0"/>
    <w:rsid w:val="000B5659"/>
    <w:rsid w:val="000B7C0A"/>
    <w:rsid w:val="000C18E0"/>
    <w:rsid w:val="000C2900"/>
    <w:rsid w:val="000C44F8"/>
    <w:rsid w:val="000C71FE"/>
    <w:rsid w:val="000C7ECF"/>
    <w:rsid w:val="000D3104"/>
    <w:rsid w:val="000E14C7"/>
    <w:rsid w:val="000E3B25"/>
    <w:rsid w:val="000E69AB"/>
    <w:rsid w:val="000F10A2"/>
    <w:rsid w:val="000F12AF"/>
    <w:rsid w:val="000F2DF1"/>
    <w:rsid w:val="000F3ADB"/>
    <w:rsid w:val="000F4985"/>
    <w:rsid w:val="000F748E"/>
    <w:rsid w:val="00101CF8"/>
    <w:rsid w:val="00106907"/>
    <w:rsid w:val="00106D15"/>
    <w:rsid w:val="00107071"/>
    <w:rsid w:val="001070E3"/>
    <w:rsid w:val="00110341"/>
    <w:rsid w:val="00111AAF"/>
    <w:rsid w:val="0011493D"/>
    <w:rsid w:val="001205CF"/>
    <w:rsid w:val="001206E8"/>
    <w:rsid w:val="00124C9C"/>
    <w:rsid w:val="00124F59"/>
    <w:rsid w:val="0013184C"/>
    <w:rsid w:val="001335CA"/>
    <w:rsid w:val="00133AA6"/>
    <w:rsid w:val="001469F0"/>
    <w:rsid w:val="001477C9"/>
    <w:rsid w:val="00155DBE"/>
    <w:rsid w:val="00163F32"/>
    <w:rsid w:val="00164B1A"/>
    <w:rsid w:val="001666E9"/>
    <w:rsid w:val="0017143D"/>
    <w:rsid w:val="0017185C"/>
    <w:rsid w:val="0017399C"/>
    <w:rsid w:val="0017741A"/>
    <w:rsid w:val="00182224"/>
    <w:rsid w:val="00183411"/>
    <w:rsid w:val="00184B82"/>
    <w:rsid w:val="001870B8"/>
    <w:rsid w:val="00191129"/>
    <w:rsid w:val="0019738B"/>
    <w:rsid w:val="001A00D2"/>
    <w:rsid w:val="001A055F"/>
    <w:rsid w:val="001A13C1"/>
    <w:rsid w:val="001A3D99"/>
    <w:rsid w:val="001A4B6A"/>
    <w:rsid w:val="001B11EC"/>
    <w:rsid w:val="001B3894"/>
    <w:rsid w:val="001B3ACF"/>
    <w:rsid w:val="001B53ED"/>
    <w:rsid w:val="001B5853"/>
    <w:rsid w:val="001B742D"/>
    <w:rsid w:val="001C0F9C"/>
    <w:rsid w:val="001C1B8E"/>
    <w:rsid w:val="001C1DE1"/>
    <w:rsid w:val="001C29A7"/>
    <w:rsid w:val="001C5CB7"/>
    <w:rsid w:val="001C74D2"/>
    <w:rsid w:val="001D0FDF"/>
    <w:rsid w:val="001D49AA"/>
    <w:rsid w:val="001E3EA3"/>
    <w:rsid w:val="001E61D4"/>
    <w:rsid w:val="001F3CFB"/>
    <w:rsid w:val="001F5CA8"/>
    <w:rsid w:val="001F738F"/>
    <w:rsid w:val="0020300A"/>
    <w:rsid w:val="00204243"/>
    <w:rsid w:val="0021203A"/>
    <w:rsid w:val="002121D3"/>
    <w:rsid w:val="00215F70"/>
    <w:rsid w:val="00217A3B"/>
    <w:rsid w:val="0022384F"/>
    <w:rsid w:val="0022625B"/>
    <w:rsid w:val="0022670C"/>
    <w:rsid w:val="002273CD"/>
    <w:rsid w:val="00230395"/>
    <w:rsid w:val="0023344C"/>
    <w:rsid w:val="002358DA"/>
    <w:rsid w:val="002363D5"/>
    <w:rsid w:val="0024673B"/>
    <w:rsid w:val="0025100D"/>
    <w:rsid w:val="002532FD"/>
    <w:rsid w:val="002554B5"/>
    <w:rsid w:val="00262A56"/>
    <w:rsid w:val="0026385C"/>
    <w:rsid w:val="00264EAB"/>
    <w:rsid w:val="00267103"/>
    <w:rsid w:val="002702FD"/>
    <w:rsid w:val="002710E4"/>
    <w:rsid w:val="00271CBF"/>
    <w:rsid w:val="00280CD6"/>
    <w:rsid w:val="00281386"/>
    <w:rsid w:val="0028153F"/>
    <w:rsid w:val="00281E3D"/>
    <w:rsid w:val="00284C85"/>
    <w:rsid w:val="0028721A"/>
    <w:rsid w:val="002940AD"/>
    <w:rsid w:val="002942D6"/>
    <w:rsid w:val="00294685"/>
    <w:rsid w:val="002A1152"/>
    <w:rsid w:val="002A134F"/>
    <w:rsid w:val="002A3F84"/>
    <w:rsid w:val="002A5CDD"/>
    <w:rsid w:val="002B2875"/>
    <w:rsid w:val="002B33D4"/>
    <w:rsid w:val="002B3FE6"/>
    <w:rsid w:val="002C15A1"/>
    <w:rsid w:val="002C1610"/>
    <w:rsid w:val="002C18A0"/>
    <w:rsid w:val="002C40F0"/>
    <w:rsid w:val="002C7044"/>
    <w:rsid w:val="002D046D"/>
    <w:rsid w:val="002D065A"/>
    <w:rsid w:val="002D3EFF"/>
    <w:rsid w:val="002D5131"/>
    <w:rsid w:val="002D5D9A"/>
    <w:rsid w:val="002E100F"/>
    <w:rsid w:val="002E72F1"/>
    <w:rsid w:val="002F174D"/>
    <w:rsid w:val="002F324C"/>
    <w:rsid w:val="002F481E"/>
    <w:rsid w:val="002F6C7A"/>
    <w:rsid w:val="002F70B6"/>
    <w:rsid w:val="00302CF4"/>
    <w:rsid w:val="00306D3A"/>
    <w:rsid w:val="00314091"/>
    <w:rsid w:val="003140D1"/>
    <w:rsid w:val="00315D3C"/>
    <w:rsid w:val="00322CE4"/>
    <w:rsid w:val="00327379"/>
    <w:rsid w:val="003314DB"/>
    <w:rsid w:val="003334E0"/>
    <w:rsid w:val="00333CDC"/>
    <w:rsid w:val="0033552B"/>
    <w:rsid w:val="00335E1A"/>
    <w:rsid w:val="00337D5E"/>
    <w:rsid w:val="00340CEB"/>
    <w:rsid w:val="003465F4"/>
    <w:rsid w:val="00347703"/>
    <w:rsid w:val="00351D41"/>
    <w:rsid w:val="003521D7"/>
    <w:rsid w:val="0035222A"/>
    <w:rsid w:val="00352955"/>
    <w:rsid w:val="00352977"/>
    <w:rsid w:val="00353266"/>
    <w:rsid w:val="00353989"/>
    <w:rsid w:val="003572DB"/>
    <w:rsid w:val="00357E03"/>
    <w:rsid w:val="003648C8"/>
    <w:rsid w:val="00364987"/>
    <w:rsid w:val="00364F3E"/>
    <w:rsid w:val="003700CE"/>
    <w:rsid w:val="003737D2"/>
    <w:rsid w:val="003747DC"/>
    <w:rsid w:val="00375055"/>
    <w:rsid w:val="00376BBE"/>
    <w:rsid w:val="00377040"/>
    <w:rsid w:val="003808A6"/>
    <w:rsid w:val="00383276"/>
    <w:rsid w:val="00384719"/>
    <w:rsid w:val="003851BA"/>
    <w:rsid w:val="0038691C"/>
    <w:rsid w:val="00386BE1"/>
    <w:rsid w:val="00394ACD"/>
    <w:rsid w:val="003955D7"/>
    <w:rsid w:val="00396FD2"/>
    <w:rsid w:val="003A19FE"/>
    <w:rsid w:val="003A5DB0"/>
    <w:rsid w:val="003A7934"/>
    <w:rsid w:val="003A7A7E"/>
    <w:rsid w:val="003B1CC5"/>
    <w:rsid w:val="003B3713"/>
    <w:rsid w:val="003B39EB"/>
    <w:rsid w:val="003B3B27"/>
    <w:rsid w:val="003B4109"/>
    <w:rsid w:val="003B697F"/>
    <w:rsid w:val="003B70DF"/>
    <w:rsid w:val="003C19A5"/>
    <w:rsid w:val="003C2451"/>
    <w:rsid w:val="003C322F"/>
    <w:rsid w:val="003C3AEF"/>
    <w:rsid w:val="003D1C15"/>
    <w:rsid w:val="003D3C37"/>
    <w:rsid w:val="003D523E"/>
    <w:rsid w:val="003E2C37"/>
    <w:rsid w:val="003E33E0"/>
    <w:rsid w:val="003E6A31"/>
    <w:rsid w:val="003F64A2"/>
    <w:rsid w:val="003F7CAF"/>
    <w:rsid w:val="00400638"/>
    <w:rsid w:val="004011D7"/>
    <w:rsid w:val="004023F2"/>
    <w:rsid w:val="00402E19"/>
    <w:rsid w:val="00403B34"/>
    <w:rsid w:val="00404505"/>
    <w:rsid w:val="00405B22"/>
    <w:rsid w:val="00411F5E"/>
    <w:rsid w:val="004136E4"/>
    <w:rsid w:val="00413734"/>
    <w:rsid w:val="004144E4"/>
    <w:rsid w:val="0041513F"/>
    <w:rsid w:val="004152D1"/>
    <w:rsid w:val="004153A9"/>
    <w:rsid w:val="0041666B"/>
    <w:rsid w:val="00416E0F"/>
    <w:rsid w:val="00417679"/>
    <w:rsid w:val="00421F12"/>
    <w:rsid w:val="00422880"/>
    <w:rsid w:val="00422E47"/>
    <w:rsid w:val="00425D5D"/>
    <w:rsid w:val="00427CB9"/>
    <w:rsid w:val="00427DD0"/>
    <w:rsid w:val="00441CD0"/>
    <w:rsid w:val="004435A2"/>
    <w:rsid w:val="00443CA8"/>
    <w:rsid w:val="00444397"/>
    <w:rsid w:val="00446922"/>
    <w:rsid w:val="00454077"/>
    <w:rsid w:val="0045416C"/>
    <w:rsid w:val="004551EA"/>
    <w:rsid w:val="00457379"/>
    <w:rsid w:val="004575B2"/>
    <w:rsid w:val="00463C83"/>
    <w:rsid w:val="00464757"/>
    <w:rsid w:val="00467726"/>
    <w:rsid w:val="00470E74"/>
    <w:rsid w:val="00471462"/>
    <w:rsid w:val="0047184B"/>
    <w:rsid w:val="004756DE"/>
    <w:rsid w:val="00476BE6"/>
    <w:rsid w:val="004776C9"/>
    <w:rsid w:val="0048112E"/>
    <w:rsid w:val="00486329"/>
    <w:rsid w:val="00486E5A"/>
    <w:rsid w:val="004874B5"/>
    <w:rsid w:val="00495E2B"/>
    <w:rsid w:val="00496A65"/>
    <w:rsid w:val="004972E2"/>
    <w:rsid w:val="004A1B4D"/>
    <w:rsid w:val="004A377B"/>
    <w:rsid w:val="004B50BC"/>
    <w:rsid w:val="004C5079"/>
    <w:rsid w:val="004C58CF"/>
    <w:rsid w:val="004C59FF"/>
    <w:rsid w:val="004E2017"/>
    <w:rsid w:val="004E2EF3"/>
    <w:rsid w:val="004E6026"/>
    <w:rsid w:val="004E7298"/>
    <w:rsid w:val="004F20B3"/>
    <w:rsid w:val="004F221B"/>
    <w:rsid w:val="004F3D3F"/>
    <w:rsid w:val="004F4139"/>
    <w:rsid w:val="004F4AA9"/>
    <w:rsid w:val="00500817"/>
    <w:rsid w:val="00500E22"/>
    <w:rsid w:val="00505695"/>
    <w:rsid w:val="005061C0"/>
    <w:rsid w:val="00511F3D"/>
    <w:rsid w:val="00520268"/>
    <w:rsid w:val="005208B5"/>
    <w:rsid w:val="00520E6A"/>
    <w:rsid w:val="00521AFB"/>
    <w:rsid w:val="00521FFF"/>
    <w:rsid w:val="005220D1"/>
    <w:rsid w:val="00524458"/>
    <w:rsid w:val="00527274"/>
    <w:rsid w:val="00527413"/>
    <w:rsid w:val="00530491"/>
    <w:rsid w:val="0053218D"/>
    <w:rsid w:val="005339EB"/>
    <w:rsid w:val="00534183"/>
    <w:rsid w:val="00540030"/>
    <w:rsid w:val="005407BB"/>
    <w:rsid w:val="005411A7"/>
    <w:rsid w:val="00542958"/>
    <w:rsid w:val="00546321"/>
    <w:rsid w:val="0054664C"/>
    <w:rsid w:val="00546CDE"/>
    <w:rsid w:val="005506F7"/>
    <w:rsid w:val="00551DCB"/>
    <w:rsid w:val="00551E3C"/>
    <w:rsid w:val="00552CAD"/>
    <w:rsid w:val="0055300A"/>
    <w:rsid w:val="005532E6"/>
    <w:rsid w:val="0055695F"/>
    <w:rsid w:val="00556AC5"/>
    <w:rsid w:val="005579C3"/>
    <w:rsid w:val="00565ACF"/>
    <w:rsid w:val="00572BA3"/>
    <w:rsid w:val="00575F54"/>
    <w:rsid w:val="00580E3C"/>
    <w:rsid w:val="0058194C"/>
    <w:rsid w:val="0058418B"/>
    <w:rsid w:val="0058736C"/>
    <w:rsid w:val="00587C45"/>
    <w:rsid w:val="005902A2"/>
    <w:rsid w:val="005905E3"/>
    <w:rsid w:val="005A0B30"/>
    <w:rsid w:val="005A1D3C"/>
    <w:rsid w:val="005B0186"/>
    <w:rsid w:val="005B3565"/>
    <w:rsid w:val="005C19B1"/>
    <w:rsid w:val="005C43F9"/>
    <w:rsid w:val="005C4743"/>
    <w:rsid w:val="005C5D8C"/>
    <w:rsid w:val="005C76BD"/>
    <w:rsid w:val="005D366D"/>
    <w:rsid w:val="005D4012"/>
    <w:rsid w:val="005D459F"/>
    <w:rsid w:val="005D4670"/>
    <w:rsid w:val="005D4852"/>
    <w:rsid w:val="005D48C0"/>
    <w:rsid w:val="005D51C2"/>
    <w:rsid w:val="005D615C"/>
    <w:rsid w:val="005D7742"/>
    <w:rsid w:val="005E07B3"/>
    <w:rsid w:val="005E260C"/>
    <w:rsid w:val="005E4978"/>
    <w:rsid w:val="005E7C7E"/>
    <w:rsid w:val="005F1282"/>
    <w:rsid w:val="005F34E5"/>
    <w:rsid w:val="005F7197"/>
    <w:rsid w:val="006028D7"/>
    <w:rsid w:val="006053E3"/>
    <w:rsid w:val="006053EE"/>
    <w:rsid w:val="00605D4B"/>
    <w:rsid w:val="00612AA8"/>
    <w:rsid w:val="006172EA"/>
    <w:rsid w:val="0061788E"/>
    <w:rsid w:val="006249AD"/>
    <w:rsid w:val="00630DFF"/>
    <w:rsid w:val="00640AD4"/>
    <w:rsid w:val="00641E7B"/>
    <w:rsid w:val="00641FA4"/>
    <w:rsid w:val="00642709"/>
    <w:rsid w:val="00642DBC"/>
    <w:rsid w:val="00650194"/>
    <w:rsid w:val="0065046C"/>
    <w:rsid w:val="0065158F"/>
    <w:rsid w:val="006518C4"/>
    <w:rsid w:val="0065263A"/>
    <w:rsid w:val="006532D4"/>
    <w:rsid w:val="006535A7"/>
    <w:rsid w:val="00663C39"/>
    <w:rsid w:val="00667F99"/>
    <w:rsid w:val="0067543C"/>
    <w:rsid w:val="00675AE3"/>
    <w:rsid w:val="00677D18"/>
    <w:rsid w:val="00681B46"/>
    <w:rsid w:val="006820C3"/>
    <w:rsid w:val="00683573"/>
    <w:rsid w:val="006841F0"/>
    <w:rsid w:val="00685ED0"/>
    <w:rsid w:val="0068694A"/>
    <w:rsid w:val="00687168"/>
    <w:rsid w:val="00690C83"/>
    <w:rsid w:val="006A1D4E"/>
    <w:rsid w:val="006A2137"/>
    <w:rsid w:val="006A3965"/>
    <w:rsid w:val="006A3AB8"/>
    <w:rsid w:val="006C078B"/>
    <w:rsid w:val="006C75FA"/>
    <w:rsid w:val="006D00A1"/>
    <w:rsid w:val="006D03A3"/>
    <w:rsid w:val="006D043C"/>
    <w:rsid w:val="006D1FB3"/>
    <w:rsid w:val="006D485A"/>
    <w:rsid w:val="006D688E"/>
    <w:rsid w:val="006D6D9A"/>
    <w:rsid w:val="006E3EEF"/>
    <w:rsid w:val="006E7A10"/>
    <w:rsid w:val="006F2266"/>
    <w:rsid w:val="006F2D30"/>
    <w:rsid w:val="006F50C5"/>
    <w:rsid w:val="006F55C5"/>
    <w:rsid w:val="006F5CD3"/>
    <w:rsid w:val="006F787C"/>
    <w:rsid w:val="007021E6"/>
    <w:rsid w:val="00703F14"/>
    <w:rsid w:val="00704511"/>
    <w:rsid w:val="007045ED"/>
    <w:rsid w:val="00707A85"/>
    <w:rsid w:val="00712420"/>
    <w:rsid w:val="00715CB4"/>
    <w:rsid w:val="00717C8B"/>
    <w:rsid w:val="007277E7"/>
    <w:rsid w:val="00731543"/>
    <w:rsid w:val="0073298E"/>
    <w:rsid w:val="00736096"/>
    <w:rsid w:val="007368C7"/>
    <w:rsid w:val="00741FC6"/>
    <w:rsid w:val="00743C43"/>
    <w:rsid w:val="0074510A"/>
    <w:rsid w:val="007459EC"/>
    <w:rsid w:val="0074776B"/>
    <w:rsid w:val="0075001B"/>
    <w:rsid w:val="00752227"/>
    <w:rsid w:val="00755242"/>
    <w:rsid w:val="00760D95"/>
    <w:rsid w:val="00761B21"/>
    <w:rsid w:val="00762608"/>
    <w:rsid w:val="00763549"/>
    <w:rsid w:val="00763969"/>
    <w:rsid w:val="007639DD"/>
    <w:rsid w:val="0076647B"/>
    <w:rsid w:val="00766EAD"/>
    <w:rsid w:val="00767BFC"/>
    <w:rsid w:val="0077003C"/>
    <w:rsid w:val="00770AFE"/>
    <w:rsid w:val="007746CC"/>
    <w:rsid w:val="00776BC8"/>
    <w:rsid w:val="007812A9"/>
    <w:rsid w:val="00781809"/>
    <w:rsid w:val="0078186C"/>
    <w:rsid w:val="00782FB2"/>
    <w:rsid w:val="00783EF7"/>
    <w:rsid w:val="00784A40"/>
    <w:rsid w:val="00791F93"/>
    <w:rsid w:val="00792B74"/>
    <w:rsid w:val="00797205"/>
    <w:rsid w:val="00797BF6"/>
    <w:rsid w:val="007A2736"/>
    <w:rsid w:val="007A2B99"/>
    <w:rsid w:val="007A3AE3"/>
    <w:rsid w:val="007B06F4"/>
    <w:rsid w:val="007B0CC9"/>
    <w:rsid w:val="007B10C4"/>
    <w:rsid w:val="007B1A2D"/>
    <w:rsid w:val="007B2CA4"/>
    <w:rsid w:val="007B2D87"/>
    <w:rsid w:val="007B3BCB"/>
    <w:rsid w:val="007B4428"/>
    <w:rsid w:val="007B5354"/>
    <w:rsid w:val="007B5BD4"/>
    <w:rsid w:val="007B6723"/>
    <w:rsid w:val="007C16D0"/>
    <w:rsid w:val="007C20ED"/>
    <w:rsid w:val="007C5B8C"/>
    <w:rsid w:val="007C62D9"/>
    <w:rsid w:val="007D08E0"/>
    <w:rsid w:val="007D3808"/>
    <w:rsid w:val="007D3D68"/>
    <w:rsid w:val="007E1B07"/>
    <w:rsid w:val="007E2ABD"/>
    <w:rsid w:val="007E3DC0"/>
    <w:rsid w:val="007F2562"/>
    <w:rsid w:val="007F60E5"/>
    <w:rsid w:val="00800D2E"/>
    <w:rsid w:val="00801F27"/>
    <w:rsid w:val="00802135"/>
    <w:rsid w:val="00803792"/>
    <w:rsid w:val="00804CD8"/>
    <w:rsid w:val="0080581A"/>
    <w:rsid w:val="00805EF8"/>
    <w:rsid w:val="00807A10"/>
    <w:rsid w:val="00807B88"/>
    <w:rsid w:val="00812737"/>
    <w:rsid w:val="008152FB"/>
    <w:rsid w:val="008158E9"/>
    <w:rsid w:val="00816334"/>
    <w:rsid w:val="00816D34"/>
    <w:rsid w:val="008208EB"/>
    <w:rsid w:val="00827A51"/>
    <w:rsid w:val="00830C0F"/>
    <w:rsid w:val="0083189A"/>
    <w:rsid w:val="00831939"/>
    <w:rsid w:val="0083245F"/>
    <w:rsid w:val="00832FC6"/>
    <w:rsid w:val="00833FA2"/>
    <w:rsid w:val="00841722"/>
    <w:rsid w:val="0084492D"/>
    <w:rsid w:val="00845895"/>
    <w:rsid w:val="00851CCF"/>
    <w:rsid w:val="008525EA"/>
    <w:rsid w:val="0085360D"/>
    <w:rsid w:val="00855C91"/>
    <w:rsid w:val="0085723D"/>
    <w:rsid w:val="008606CE"/>
    <w:rsid w:val="0086269E"/>
    <w:rsid w:val="00862A0A"/>
    <w:rsid w:val="00865600"/>
    <w:rsid w:val="008663A5"/>
    <w:rsid w:val="00866434"/>
    <w:rsid w:val="00866D6F"/>
    <w:rsid w:val="00867959"/>
    <w:rsid w:val="008725AA"/>
    <w:rsid w:val="0087264F"/>
    <w:rsid w:val="00876BC2"/>
    <w:rsid w:val="00881246"/>
    <w:rsid w:val="00882998"/>
    <w:rsid w:val="00884BEF"/>
    <w:rsid w:val="00885D08"/>
    <w:rsid w:val="00890258"/>
    <w:rsid w:val="0089149C"/>
    <w:rsid w:val="00892338"/>
    <w:rsid w:val="0089337E"/>
    <w:rsid w:val="00893A89"/>
    <w:rsid w:val="00894AB4"/>
    <w:rsid w:val="008974AE"/>
    <w:rsid w:val="00897BB4"/>
    <w:rsid w:val="008A1236"/>
    <w:rsid w:val="008A2435"/>
    <w:rsid w:val="008A244E"/>
    <w:rsid w:val="008A3DA9"/>
    <w:rsid w:val="008A5CFC"/>
    <w:rsid w:val="008A6C01"/>
    <w:rsid w:val="008B3348"/>
    <w:rsid w:val="008C096E"/>
    <w:rsid w:val="008C46F5"/>
    <w:rsid w:val="008C59B5"/>
    <w:rsid w:val="008C5CFD"/>
    <w:rsid w:val="008C6593"/>
    <w:rsid w:val="008C6E2B"/>
    <w:rsid w:val="008D19C8"/>
    <w:rsid w:val="008D2538"/>
    <w:rsid w:val="008E07D3"/>
    <w:rsid w:val="008E1C7D"/>
    <w:rsid w:val="008E2DD1"/>
    <w:rsid w:val="008E38EF"/>
    <w:rsid w:val="008E4DD9"/>
    <w:rsid w:val="008E7602"/>
    <w:rsid w:val="008F0A57"/>
    <w:rsid w:val="008F1C18"/>
    <w:rsid w:val="008F4915"/>
    <w:rsid w:val="008F5D81"/>
    <w:rsid w:val="0090144F"/>
    <w:rsid w:val="00903BF5"/>
    <w:rsid w:val="009045C8"/>
    <w:rsid w:val="0090495B"/>
    <w:rsid w:val="00905C97"/>
    <w:rsid w:val="009101AC"/>
    <w:rsid w:val="009108AA"/>
    <w:rsid w:val="009116C1"/>
    <w:rsid w:val="009145BA"/>
    <w:rsid w:val="00916292"/>
    <w:rsid w:val="00916A50"/>
    <w:rsid w:val="00916B38"/>
    <w:rsid w:val="00917956"/>
    <w:rsid w:val="00922B34"/>
    <w:rsid w:val="00925053"/>
    <w:rsid w:val="009337C3"/>
    <w:rsid w:val="009418F9"/>
    <w:rsid w:val="00941D37"/>
    <w:rsid w:val="00941F40"/>
    <w:rsid w:val="00942087"/>
    <w:rsid w:val="00945D20"/>
    <w:rsid w:val="009526C5"/>
    <w:rsid w:val="00954F01"/>
    <w:rsid w:val="00957423"/>
    <w:rsid w:val="0096162F"/>
    <w:rsid w:val="00963553"/>
    <w:rsid w:val="00964805"/>
    <w:rsid w:val="0096675C"/>
    <w:rsid w:val="00973586"/>
    <w:rsid w:val="00974368"/>
    <w:rsid w:val="00974F7D"/>
    <w:rsid w:val="0098007E"/>
    <w:rsid w:val="00980276"/>
    <w:rsid w:val="0098517C"/>
    <w:rsid w:val="00985D00"/>
    <w:rsid w:val="00987B88"/>
    <w:rsid w:val="00987F0C"/>
    <w:rsid w:val="009951F0"/>
    <w:rsid w:val="009969B5"/>
    <w:rsid w:val="00996CA1"/>
    <w:rsid w:val="00997189"/>
    <w:rsid w:val="009977B2"/>
    <w:rsid w:val="009A06F3"/>
    <w:rsid w:val="009A26BB"/>
    <w:rsid w:val="009A2923"/>
    <w:rsid w:val="009A5A45"/>
    <w:rsid w:val="009B376D"/>
    <w:rsid w:val="009B701E"/>
    <w:rsid w:val="009C1299"/>
    <w:rsid w:val="009D419E"/>
    <w:rsid w:val="009D5FDA"/>
    <w:rsid w:val="009E0A59"/>
    <w:rsid w:val="009E33BE"/>
    <w:rsid w:val="009F0562"/>
    <w:rsid w:val="009F1932"/>
    <w:rsid w:val="009F20BE"/>
    <w:rsid w:val="009F3F74"/>
    <w:rsid w:val="009F4313"/>
    <w:rsid w:val="009F498B"/>
    <w:rsid w:val="009F5382"/>
    <w:rsid w:val="009F5EEE"/>
    <w:rsid w:val="009F6F2A"/>
    <w:rsid w:val="00A02DC9"/>
    <w:rsid w:val="00A060CE"/>
    <w:rsid w:val="00A127F5"/>
    <w:rsid w:val="00A15395"/>
    <w:rsid w:val="00A1625C"/>
    <w:rsid w:val="00A1701E"/>
    <w:rsid w:val="00A20749"/>
    <w:rsid w:val="00A26AD9"/>
    <w:rsid w:val="00A412AD"/>
    <w:rsid w:val="00A42A76"/>
    <w:rsid w:val="00A42BB1"/>
    <w:rsid w:val="00A446C5"/>
    <w:rsid w:val="00A47313"/>
    <w:rsid w:val="00A53014"/>
    <w:rsid w:val="00A538B2"/>
    <w:rsid w:val="00A56F63"/>
    <w:rsid w:val="00A60424"/>
    <w:rsid w:val="00A60A40"/>
    <w:rsid w:val="00A612D8"/>
    <w:rsid w:val="00A63ED5"/>
    <w:rsid w:val="00A67347"/>
    <w:rsid w:val="00A6741A"/>
    <w:rsid w:val="00A7019D"/>
    <w:rsid w:val="00A71E56"/>
    <w:rsid w:val="00A7396F"/>
    <w:rsid w:val="00A75B3E"/>
    <w:rsid w:val="00A82FF3"/>
    <w:rsid w:val="00A831E7"/>
    <w:rsid w:val="00A85CE4"/>
    <w:rsid w:val="00A85D7A"/>
    <w:rsid w:val="00A85DBC"/>
    <w:rsid w:val="00A86F9A"/>
    <w:rsid w:val="00A901CE"/>
    <w:rsid w:val="00A91D9D"/>
    <w:rsid w:val="00A92765"/>
    <w:rsid w:val="00A92B63"/>
    <w:rsid w:val="00A9486B"/>
    <w:rsid w:val="00AA0B1D"/>
    <w:rsid w:val="00AA10DA"/>
    <w:rsid w:val="00AA1283"/>
    <w:rsid w:val="00AA41BC"/>
    <w:rsid w:val="00AA4248"/>
    <w:rsid w:val="00AA4634"/>
    <w:rsid w:val="00AA4A63"/>
    <w:rsid w:val="00AA4D4B"/>
    <w:rsid w:val="00AA6DD6"/>
    <w:rsid w:val="00AB1946"/>
    <w:rsid w:val="00AB2653"/>
    <w:rsid w:val="00AB6567"/>
    <w:rsid w:val="00AC04CA"/>
    <w:rsid w:val="00AC18EB"/>
    <w:rsid w:val="00AC460C"/>
    <w:rsid w:val="00AC54C8"/>
    <w:rsid w:val="00AC5FFD"/>
    <w:rsid w:val="00AD24C0"/>
    <w:rsid w:val="00AE133D"/>
    <w:rsid w:val="00AE4B33"/>
    <w:rsid w:val="00AE6370"/>
    <w:rsid w:val="00AE67DF"/>
    <w:rsid w:val="00AE6FC6"/>
    <w:rsid w:val="00AE73D0"/>
    <w:rsid w:val="00AF108B"/>
    <w:rsid w:val="00AF2AE5"/>
    <w:rsid w:val="00AF3041"/>
    <w:rsid w:val="00AF5D1B"/>
    <w:rsid w:val="00AF7024"/>
    <w:rsid w:val="00B016BD"/>
    <w:rsid w:val="00B026AF"/>
    <w:rsid w:val="00B02DBE"/>
    <w:rsid w:val="00B05719"/>
    <w:rsid w:val="00B067B4"/>
    <w:rsid w:val="00B068E7"/>
    <w:rsid w:val="00B108DD"/>
    <w:rsid w:val="00B113E5"/>
    <w:rsid w:val="00B124A8"/>
    <w:rsid w:val="00B14C49"/>
    <w:rsid w:val="00B14D4C"/>
    <w:rsid w:val="00B15A1C"/>
    <w:rsid w:val="00B208B5"/>
    <w:rsid w:val="00B210F8"/>
    <w:rsid w:val="00B23450"/>
    <w:rsid w:val="00B238D8"/>
    <w:rsid w:val="00B24365"/>
    <w:rsid w:val="00B2646B"/>
    <w:rsid w:val="00B26693"/>
    <w:rsid w:val="00B34A46"/>
    <w:rsid w:val="00B35D9F"/>
    <w:rsid w:val="00B37E19"/>
    <w:rsid w:val="00B414DE"/>
    <w:rsid w:val="00B448C0"/>
    <w:rsid w:val="00B45A55"/>
    <w:rsid w:val="00B525B3"/>
    <w:rsid w:val="00B528E6"/>
    <w:rsid w:val="00B52990"/>
    <w:rsid w:val="00B544D4"/>
    <w:rsid w:val="00B55BBB"/>
    <w:rsid w:val="00B61ACC"/>
    <w:rsid w:val="00B62934"/>
    <w:rsid w:val="00B62ED9"/>
    <w:rsid w:val="00B63C0B"/>
    <w:rsid w:val="00B64AEA"/>
    <w:rsid w:val="00B67326"/>
    <w:rsid w:val="00B67EC2"/>
    <w:rsid w:val="00B71398"/>
    <w:rsid w:val="00B721AE"/>
    <w:rsid w:val="00B7478D"/>
    <w:rsid w:val="00B748A1"/>
    <w:rsid w:val="00B774EE"/>
    <w:rsid w:val="00B81AAC"/>
    <w:rsid w:val="00B83D94"/>
    <w:rsid w:val="00B86786"/>
    <w:rsid w:val="00B867EC"/>
    <w:rsid w:val="00B918F6"/>
    <w:rsid w:val="00B95B3E"/>
    <w:rsid w:val="00B969C7"/>
    <w:rsid w:val="00B978D1"/>
    <w:rsid w:val="00BA13B9"/>
    <w:rsid w:val="00BB15F4"/>
    <w:rsid w:val="00BB2046"/>
    <w:rsid w:val="00BB21E2"/>
    <w:rsid w:val="00BB32AE"/>
    <w:rsid w:val="00BB3A36"/>
    <w:rsid w:val="00BB3F47"/>
    <w:rsid w:val="00BB59FB"/>
    <w:rsid w:val="00BB5B7E"/>
    <w:rsid w:val="00BB641F"/>
    <w:rsid w:val="00BB7336"/>
    <w:rsid w:val="00BC30CF"/>
    <w:rsid w:val="00BC4DE9"/>
    <w:rsid w:val="00BC5D3F"/>
    <w:rsid w:val="00BC7EF6"/>
    <w:rsid w:val="00BD7783"/>
    <w:rsid w:val="00BE11D4"/>
    <w:rsid w:val="00BE1CFE"/>
    <w:rsid w:val="00BE2125"/>
    <w:rsid w:val="00BE2CA6"/>
    <w:rsid w:val="00BF4023"/>
    <w:rsid w:val="00BF6B6F"/>
    <w:rsid w:val="00BF72D8"/>
    <w:rsid w:val="00BF7BFC"/>
    <w:rsid w:val="00BF7F25"/>
    <w:rsid w:val="00C00FE6"/>
    <w:rsid w:val="00C022B3"/>
    <w:rsid w:val="00C03FFA"/>
    <w:rsid w:val="00C045C9"/>
    <w:rsid w:val="00C05293"/>
    <w:rsid w:val="00C0545D"/>
    <w:rsid w:val="00C11A92"/>
    <w:rsid w:val="00C12836"/>
    <w:rsid w:val="00C1330F"/>
    <w:rsid w:val="00C145FD"/>
    <w:rsid w:val="00C15EBB"/>
    <w:rsid w:val="00C229B3"/>
    <w:rsid w:val="00C22D60"/>
    <w:rsid w:val="00C24805"/>
    <w:rsid w:val="00C27CA1"/>
    <w:rsid w:val="00C32708"/>
    <w:rsid w:val="00C33D2D"/>
    <w:rsid w:val="00C34437"/>
    <w:rsid w:val="00C3498F"/>
    <w:rsid w:val="00C3646F"/>
    <w:rsid w:val="00C367F7"/>
    <w:rsid w:val="00C36D4C"/>
    <w:rsid w:val="00C40820"/>
    <w:rsid w:val="00C608B6"/>
    <w:rsid w:val="00C639FA"/>
    <w:rsid w:val="00C650D3"/>
    <w:rsid w:val="00C67D08"/>
    <w:rsid w:val="00C763B6"/>
    <w:rsid w:val="00C77C6E"/>
    <w:rsid w:val="00C82033"/>
    <w:rsid w:val="00C832DE"/>
    <w:rsid w:val="00C84FD0"/>
    <w:rsid w:val="00C85E96"/>
    <w:rsid w:val="00C86B59"/>
    <w:rsid w:val="00C872FD"/>
    <w:rsid w:val="00C87CFA"/>
    <w:rsid w:val="00C92E52"/>
    <w:rsid w:val="00C93D5F"/>
    <w:rsid w:val="00C958BE"/>
    <w:rsid w:val="00C96663"/>
    <w:rsid w:val="00CA08DE"/>
    <w:rsid w:val="00CA1A92"/>
    <w:rsid w:val="00CB02A7"/>
    <w:rsid w:val="00CB0487"/>
    <w:rsid w:val="00CC0579"/>
    <w:rsid w:val="00CC3EE6"/>
    <w:rsid w:val="00CC73BE"/>
    <w:rsid w:val="00CC776F"/>
    <w:rsid w:val="00CD29BB"/>
    <w:rsid w:val="00CD65C4"/>
    <w:rsid w:val="00CE0DD7"/>
    <w:rsid w:val="00CE4F33"/>
    <w:rsid w:val="00CE4F6E"/>
    <w:rsid w:val="00CF254C"/>
    <w:rsid w:val="00CF327F"/>
    <w:rsid w:val="00D01946"/>
    <w:rsid w:val="00D05A94"/>
    <w:rsid w:val="00D13032"/>
    <w:rsid w:val="00D1477C"/>
    <w:rsid w:val="00D239D1"/>
    <w:rsid w:val="00D24211"/>
    <w:rsid w:val="00D248BC"/>
    <w:rsid w:val="00D2775F"/>
    <w:rsid w:val="00D34F34"/>
    <w:rsid w:val="00D375C3"/>
    <w:rsid w:val="00D40A22"/>
    <w:rsid w:val="00D620DA"/>
    <w:rsid w:val="00D6468A"/>
    <w:rsid w:val="00D6502B"/>
    <w:rsid w:val="00D66644"/>
    <w:rsid w:val="00D7089B"/>
    <w:rsid w:val="00D70DE5"/>
    <w:rsid w:val="00D72F91"/>
    <w:rsid w:val="00D74A96"/>
    <w:rsid w:val="00D76232"/>
    <w:rsid w:val="00D768E5"/>
    <w:rsid w:val="00D81DB4"/>
    <w:rsid w:val="00D828B7"/>
    <w:rsid w:val="00D860AD"/>
    <w:rsid w:val="00D90240"/>
    <w:rsid w:val="00D9143F"/>
    <w:rsid w:val="00D9158C"/>
    <w:rsid w:val="00D91C22"/>
    <w:rsid w:val="00D9475E"/>
    <w:rsid w:val="00D95533"/>
    <w:rsid w:val="00D97EEE"/>
    <w:rsid w:val="00DA2AFC"/>
    <w:rsid w:val="00DA42DB"/>
    <w:rsid w:val="00DA5504"/>
    <w:rsid w:val="00DA7473"/>
    <w:rsid w:val="00DA76E2"/>
    <w:rsid w:val="00DB0C9E"/>
    <w:rsid w:val="00DB1620"/>
    <w:rsid w:val="00DB3389"/>
    <w:rsid w:val="00DB5829"/>
    <w:rsid w:val="00DC1284"/>
    <w:rsid w:val="00DC160A"/>
    <w:rsid w:val="00DC29FF"/>
    <w:rsid w:val="00DC3610"/>
    <w:rsid w:val="00DC6DE5"/>
    <w:rsid w:val="00DD340B"/>
    <w:rsid w:val="00DD4557"/>
    <w:rsid w:val="00DD51A6"/>
    <w:rsid w:val="00DD6359"/>
    <w:rsid w:val="00DD72A4"/>
    <w:rsid w:val="00DE0475"/>
    <w:rsid w:val="00DE11F0"/>
    <w:rsid w:val="00DF3FE9"/>
    <w:rsid w:val="00DF43C2"/>
    <w:rsid w:val="00DF4CA1"/>
    <w:rsid w:val="00DF5A29"/>
    <w:rsid w:val="00DF6AD5"/>
    <w:rsid w:val="00E018CE"/>
    <w:rsid w:val="00E02763"/>
    <w:rsid w:val="00E076BE"/>
    <w:rsid w:val="00E07E60"/>
    <w:rsid w:val="00E13958"/>
    <w:rsid w:val="00E145C7"/>
    <w:rsid w:val="00E22584"/>
    <w:rsid w:val="00E30A1E"/>
    <w:rsid w:val="00E34E98"/>
    <w:rsid w:val="00E35856"/>
    <w:rsid w:val="00E4195D"/>
    <w:rsid w:val="00E5050A"/>
    <w:rsid w:val="00E54915"/>
    <w:rsid w:val="00E54F55"/>
    <w:rsid w:val="00E6053E"/>
    <w:rsid w:val="00E62100"/>
    <w:rsid w:val="00E70A72"/>
    <w:rsid w:val="00E73D69"/>
    <w:rsid w:val="00E73EB1"/>
    <w:rsid w:val="00E77DF1"/>
    <w:rsid w:val="00E80F46"/>
    <w:rsid w:val="00E83FAC"/>
    <w:rsid w:val="00E91D09"/>
    <w:rsid w:val="00E9477C"/>
    <w:rsid w:val="00E94E24"/>
    <w:rsid w:val="00E96F4B"/>
    <w:rsid w:val="00EA1519"/>
    <w:rsid w:val="00EA3998"/>
    <w:rsid w:val="00EA50F5"/>
    <w:rsid w:val="00EA6FB9"/>
    <w:rsid w:val="00EA73AF"/>
    <w:rsid w:val="00EA7ADF"/>
    <w:rsid w:val="00EB5DAF"/>
    <w:rsid w:val="00EC211B"/>
    <w:rsid w:val="00EC22C5"/>
    <w:rsid w:val="00EC26B1"/>
    <w:rsid w:val="00EC2DC3"/>
    <w:rsid w:val="00EC38E6"/>
    <w:rsid w:val="00ED0AD6"/>
    <w:rsid w:val="00ED107D"/>
    <w:rsid w:val="00ED7035"/>
    <w:rsid w:val="00EE3581"/>
    <w:rsid w:val="00EE78AF"/>
    <w:rsid w:val="00F10D0A"/>
    <w:rsid w:val="00F1142D"/>
    <w:rsid w:val="00F12A02"/>
    <w:rsid w:val="00F1482F"/>
    <w:rsid w:val="00F157A6"/>
    <w:rsid w:val="00F17F59"/>
    <w:rsid w:val="00F21781"/>
    <w:rsid w:val="00F222FA"/>
    <w:rsid w:val="00F235C0"/>
    <w:rsid w:val="00F23CF8"/>
    <w:rsid w:val="00F246FD"/>
    <w:rsid w:val="00F248CA"/>
    <w:rsid w:val="00F306CB"/>
    <w:rsid w:val="00F32DF0"/>
    <w:rsid w:val="00F3577A"/>
    <w:rsid w:val="00F425FD"/>
    <w:rsid w:val="00F427F9"/>
    <w:rsid w:val="00F42FF2"/>
    <w:rsid w:val="00F459A2"/>
    <w:rsid w:val="00F45EA2"/>
    <w:rsid w:val="00F562E4"/>
    <w:rsid w:val="00F5654A"/>
    <w:rsid w:val="00F604F4"/>
    <w:rsid w:val="00F6212B"/>
    <w:rsid w:val="00F63967"/>
    <w:rsid w:val="00F64876"/>
    <w:rsid w:val="00F6660C"/>
    <w:rsid w:val="00F673EF"/>
    <w:rsid w:val="00F67BB9"/>
    <w:rsid w:val="00F7490A"/>
    <w:rsid w:val="00F762D5"/>
    <w:rsid w:val="00F773D4"/>
    <w:rsid w:val="00F814DA"/>
    <w:rsid w:val="00F846AD"/>
    <w:rsid w:val="00F91730"/>
    <w:rsid w:val="00F939B4"/>
    <w:rsid w:val="00F9601D"/>
    <w:rsid w:val="00FA0401"/>
    <w:rsid w:val="00FA106F"/>
    <w:rsid w:val="00FA3F1F"/>
    <w:rsid w:val="00FA5429"/>
    <w:rsid w:val="00FB07B8"/>
    <w:rsid w:val="00FB6AF5"/>
    <w:rsid w:val="00FB70CB"/>
    <w:rsid w:val="00FC1F65"/>
    <w:rsid w:val="00FC2294"/>
    <w:rsid w:val="00FC41EF"/>
    <w:rsid w:val="00FE0140"/>
    <w:rsid w:val="00FF06AD"/>
    <w:rsid w:val="00FF15C3"/>
    <w:rsid w:val="00FF223F"/>
    <w:rsid w:val="00FF28D1"/>
    <w:rsid w:val="00FF3DEE"/>
    <w:rsid w:val="00FF5196"/>
    <w:rsid w:val="00FF53BD"/>
    <w:rsid w:val="00FF6451"/>
    <w:rsid w:val="011C044B"/>
    <w:rsid w:val="012A6320"/>
    <w:rsid w:val="01420CCD"/>
    <w:rsid w:val="017171C2"/>
    <w:rsid w:val="01857ADF"/>
    <w:rsid w:val="018866B7"/>
    <w:rsid w:val="018E1696"/>
    <w:rsid w:val="019718A7"/>
    <w:rsid w:val="01A6246F"/>
    <w:rsid w:val="01AD4477"/>
    <w:rsid w:val="01D263F9"/>
    <w:rsid w:val="01DB76D5"/>
    <w:rsid w:val="01E63396"/>
    <w:rsid w:val="0206670C"/>
    <w:rsid w:val="02101CA0"/>
    <w:rsid w:val="021E1539"/>
    <w:rsid w:val="02320430"/>
    <w:rsid w:val="02496663"/>
    <w:rsid w:val="024B07D6"/>
    <w:rsid w:val="02621D44"/>
    <w:rsid w:val="026C6611"/>
    <w:rsid w:val="027058F8"/>
    <w:rsid w:val="02707E57"/>
    <w:rsid w:val="02851D51"/>
    <w:rsid w:val="029F29AE"/>
    <w:rsid w:val="02A84E26"/>
    <w:rsid w:val="02AB41A9"/>
    <w:rsid w:val="02B821CB"/>
    <w:rsid w:val="02B86AC4"/>
    <w:rsid w:val="02BF6320"/>
    <w:rsid w:val="02D2532D"/>
    <w:rsid w:val="030077B4"/>
    <w:rsid w:val="03067456"/>
    <w:rsid w:val="030843B5"/>
    <w:rsid w:val="03166C96"/>
    <w:rsid w:val="03205686"/>
    <w:rsid w:val="033019BD"/>
    <w:rsid w:val="033367BD"/>
    <w:rsid w:val="033F3CE2"/>
    <w:rsid w:val="034B3951"/>
    <w:rsid w:val="034C7535"/>
    <w:rsid w:val="037D0229"/>
    <w:rsid w:val="03823F59"/>
    <w:rsid w:val="038B1080"/>
    <w:rsid w:val="0390478C"/>
    <w:rsid w:val="03934C69"/>
    <w:rsid w:val="03EA0392"/>
    <w:rsid w:val="03EA78D7"/>
    <w:rsid w:val="03ED3E40"/>
    <w:rsid w:val="03F168DA"/>
    <w:rsid w:val="04241348"/>
    <w:rsid w:val="04310F31"/>
    <w:rsid w:val="043247D6"/>
    <w:rsid w:val="04380449"/>
    <w:rsid w:val="043C04B9"/>
    <w:rsid w:val="043C2ED7"/>
    <w:rsid w:val="04442BD1"/>
    <w:rsid w:val="04674402"/>
    <w:rsid w:val="04732704"/>
    <w:rsid w:val="048F3D0F"/>
    <w:rsid w:val="04B00633"/>
    <w:rsid w:val="04E81607"/>
    <w:rsid w:val="04FA5A93"/>
    <w:rsid w:val="053E61D9"/>
    <w:rsid w:val="054957AC"/>
    <w:rsid w:val="05556526"/>
    <w:rsid w:val="0559652D"/>
    <w:rsid w:val="057B5E9C"/>
    <w:rsid w:val="057F1FDA"/>
    <w:rsid w:val="059A012F"/>
    <w:rsid w:val="059C05D4"/>
    <w:rsid w:val="05AE4A34"/>
    <w:rsid w:val="05BE0C68"/>
    <w:rsid w:val="05C77BA4"/>
    <w:rsid w:val="05DE434D"/>
    <w:rsid w:val="05F24B5E"/>
    <w:rsid w:val="0613393A"/>
    <w:rsid w:val="061E5DCF"/>
    <w:rsid w:val="0658074F"/>
    <w:rsid w:val="065C2EF8"/>
    <w:rsid w:val="065F554F"/>
    <w:rsid w:val="06730C91"/>
    <w:rsid w:val="06941A87"/>
    <w:rsid w:val="06A338D6"/>
    <w:rsid w:val="06A94A06"/>
    <w:rsid w:val="06CD5FCA"/>
    <w:rsid w:val="06CF36B8"/>
    <w:rsid w:val="06D632B3"/>
    <w:rsid w:val="06E356CD"/>
    <w:rsid w:val="07076C28"/>
    <w:rsid w:val="07101F9F"/>
    <w:rsid w:val="07185BA3"/>
    <w:rsid w:val="073D7F5B"/>
    <w:rsid w:val="07454A9E"/>
    <w:rsid w:val="07531B12"/>
    <w:rsid w:val="07594948"/>
    <w:rsid w:val="07690A68"/>
    <w:rsid w:val="07780569"/>
    <w:rsid w:val="07823F46"/>
    <w:rsid w:val="0783081A"/>
    <w:rsid w:val="078B1323"/>
    <w:rsid w:val="079B0757"/>
    <w:rsid w:val="07B3594D"/>
    <w:rsid w:val="07CF05A2"/>
    <w:rsid w:val="07E24249"/>
    <w:rsid w:val="07EB0A08"/>
    <w:rsid w:val="07FE3A0B"/>
    <w:rsid w:val="081221A2"/>
    <w:rsid w:val="08145FE1"/>
    <w:rsid w:val="08285F2F"/>
    <w:rsid w:val="08383C75"/>
    <w:rsid w:val="084A5E3A"/>
    <w:rsid w:val="084D1AD6"/>
    <w:rsid w:val="085435E5"/>
    <w:rsid w:val="086835B8"/>
    <w:rsid w:val="087B121B"/>
    <w:rsid w:val="089025A5"/>
    <w:rsid w:val="08B15DF8"/>
    <w:rsid w:val="08B2674B"/>
    <w:rsid w:val="08BA7055"/>
    <w:rsid w:val="08D41884"/>
    <w:rsid w:val="08F31A8B"/>
    <w:rsid w:val="08FC0A31"/>
    <w:rsid w:val="090153C1"/>
    <w:rsid w:val="091C39C6"/>
    <w:rsid w:val="092A274A"/>
    <w:rsid w:val="09313D0B"/>
    <w:rsid w:val="093B171E"/>
    <w:rsid w:val="093E0DD7"/>
    <w:rsid w:val="0942344E"/>
    <w:rsid w:val="094E4020"/>
    <w:rsid w:val="09546B62"/>
    <w:rsid w:val="095A19D9"/>
    <w:rsid w:val="096437B8"/>
    <w:rsid w:val="096962FB"/>
    <w:rsid w:val="096B5599"/>
    <w:rsid w:val="096E16E2"/>
    <w:rsid w:val="099D2BCE"/>
    <w:rsid w:val="09A25C91"/>
    <w:rsid w:val="09B61B7D"/>
    <w:rsid w:val="09C51CE5"/>
    <w:rsid w:val="09E06F61"/>
    <w:rsid w:val="0A130DE0"/>
    <w:rsid w:val="0A1C7A2E"/>
    <w:rsid w:val="0A462366"/>
    <w:rsid w:val="0A4C63CE"/>
    <w:rsid w:val="0A686458"/>
    <w:rsid w:val="0A805407"/>
    <w:rsid w:val="0A8B204E"/>
    <w:rsid w:val="0A940AE8"/>
    <w:rsid w:val="0AD32D79"/>
    <w:rsid w:val="0AF611A9"/>
    <w:rsid w:val="0AF95AC5"/>
    <w:rsid w:val="0B061B7E"/>
    <w:rsid w:val="0B111C6F"/>
    <w:rsid w:val="0B204D78"/>
    <w:rsid w:val="0B2B3680"/>
    <w:rsid w:val="0B31399C"/>
    <w:rsid w:val="0B3A44A8"/>
    <w:rsid w:val="0B4D6A66"/>
    <w:rsid w:val="0B732551"/>
    <w:rsid w:val="0B7778CB"/>
    <w:rsid w:val="0B7D4634"/>
    <w:rsid w:val="0B8226A4"/>
    <w:rsid w:val="0B872BBD"/>
    <w:rsid w:val="0BA4400F"/>
    <w:rsid w:val="0BC346DC"/>
    <w:rsid w:val="0BC71254"/>
    <w:rsid w:val="0BC9049A"/>
    <w:rsid w:val="0BD14C83"/>
    <w:rsid w:val="0BD67A6D"/>
    <w:rsid w:val="0BF07CE2"/>
    <w:rsid w:val="0BF473E8"/>
    <w:rsid w:val="0BFA4201"/>
    <w:rsid w:val="0C1F5C31"/>
    <w:rsid w:val="0C314278"/>
    <w:rsid w:val="0C4661A2"/>
    <w:rsid w:val="0C466C4E"/>
    <w:rsid w:val="0C6D2028"/>
    <w:rsid w:val="0C8C1806"/>
    <w:rsid w:val="0C9C702F"/>
    <w:rsid w:val="0CA47D6F"/>
    <w:rsid w:val="0CA577E7"/>
    <w:rsid w:val="0CAC571E"/>
    <w:rsid w:val="0CCD2B3D"/>
    <w:rsid w:val="0CEC4B41"/>
    <w:rsid w:val="0D2A00E9"/>
    <w:rsid w:val="0D2F1FF4"/>
    <w:rsid w:val="0D3712BF"/>
    <w:rsid w:val="0D581A12"/>
    <w:rsid w:val="0D5F7696"/>
    <w:rsid w:val="0D6D4B1D"/>
    <w:rsid w:val="0D893446"/>
    <w:rsid w:val="0D955566"/>
    <w:rsid w:val="0D9C3206"/>
    <w:rsid w:val="0DAF267F"/>
    <w:rsid w:val="0DB238CF"/>
    <w:rsid w:val="0DEF112D"/>
    <w:rsid w:val="0DEF4BFB"/>
    <w:rsid w:val="0DF169B9"/>
    <w:rsid w:val="0E207E83"/>
    <w:rsid w:val="0E3A040A"/>
    <w:rsid w:val="0E4D4660"/>
    <w:rsid w:val="0E4E691F"/>
    <w:rsid w:val="0E860A3E"/>
    <w:rsid w:val="0EDA71A0"/>
    <w:rsid w:val="0EE459D6"/>
    <w:rsid w:val="0EE62909"/>
    <w:rsid w:val="0EF0144C"/>
    <w:rsid w:val="0EF022A5"/>
    <w:rsid w:val="0F0A42B1"/>
    <w:rsid w:val="0F1401F2"/>
    <w:rsid w:val="0F1929F1"/>
    <w:rsid w:val="0F1B1F6E"/>
    <w:rsid w:val="0F2946E1"/>
    <w:rsid w:val="0F302203"/>
    <w:rsid w:val="0F34103D"/>
    <w:rsid w:val="0F4470FA"/>
    <w:rsid w:val="0F4E38F2"/>
    <w:rsid w:val="0F501B3E"/>
    <w:rsid w:val="0F572486"/>
    <w:rsid w:val="0F9336F3"/>
    <w:rsid w:val="0F9405A9"/>
    <w:rsid w:val="0FC45E1D"/>
    <w:rsid w:val="0FD4149F"/>
    <w:rsid w:val="0FE46C5C"/>
    <w:rsid w:val="0FEB1A32"/>
    <w:rsid w:val="0FFB6DC6"/>
    <w:rsid w:val="10185ECB"/>
    <w:rsid w:val="10671DA8"/>
    <w:rsid w:val="10837D8E"/>
    <w:rsid w:val="10866E45"/>
    <w:rsid w:val="10A73560"/>
    <w:rsid w:val="10AC526C"/>
    <w:rsid w:val="10C50DCF"/>
    <w:rsid w:val="10D6711C"/>
    <w:rsid w:val="10DF21AD"/>
    <w:rsid w:val="10FA5431"/>
    <w:rsid w:val="1113274B"/>
    <w:rsid w:val="111E2105"/>
    <w:rsid w:val="11214955"/>
    <w:rsid w:val="11230BB0"/>
    <w:rsid w:val="11341406"/>
    <w:rsid w:val="11426F29"/>
    <w:rsid w:val="11456E86"/>
    <w:rsid w:val="115F6087"/>
    <w:rsid w:val="115F75D6"/>
    <w:rsid w:val="11600FA6"/>
    <w:rsid w:val="11673992"/>
    <w:rsid w:val="11915C99"/>
    <w:rsid w:val="11CC3E11"/>
    <w:rsid w:val="11E16A0A"/>
    <w:rsid w:val="11E626D9"/>
    <w:rsid w:val="120B0BCF"/>
    <w:rsid w:val="120D5B9A"/>
    <w:rsid w:val="120D5CCF"/>
    <w:rsid w:val="12172C41"/>
    <w:rsid w:val="12190507"/>
    <w:rsid w:val="12194882"/>
    <w:rsid w:val="12417F9D"/>
    <w:rsid w:val="124F1588"/>
    <w:rsid w:val="1258542F"/>
    <w:rsid w:val="126808B1"/>
    <w:rsid w:val="127A53C2"/>
    <w:rsid w:val="127D1822"/>
    <w:rsid w:val="12962051"/>
    <w:rsid w:val="12962CEB"/>
    <w:rsid w:val="12A73825"/>
    <w:rsid w:val="12B32D35"/>
    <w:rsid w:val="12C17BEA"/>
    <w:rsid w:val="12C56A85"/>
    <w:rsid w:val="12CB061A"/>
    <w:rsid w:val="12DE093B"/>
    <w:rsid w:val="12DE4AA7"/>
    <w:rsid w:val="12F33438"/>
    <w:rsid w:val="12F65CE5"/>
    <w:rsid w:val="130B5F39"/>
    <w:rsid w:val="13151BB6"/>
    <w:rsid w:val="131A118D"/>
    <w:rsid w:val="13460B12"/>
    <w:rsid w:val="13494F87"/>
    <w:rsid w:val="134F4770"/>
    <w:rsid w:val="1356059E"/>
    <w:rsid w:val="13703322"/>
    <w:rsid w:val="13726531"/>
    <w:rsid w:val="13907C73"/>
    <w:rsid w:val="139423A1"/>
    <w:rsid w:val="13A14784"/>
    <w:rsid w:val="13AD0EBD"/>
    <w:rsid w:val="13BD256D"/>
    <w:rsid w:val="13C06788"/>
    <w:rsid w:val="13DC0D65"/>
    <w:rsid w:val="13E33B31"/>
    <w:rsid w:val="13F352B9"/>
    <w:rsid w:val="13FA18B8"/>
    <w:rsid w:val="13FF106D"/>
    <w:rsid w:val="14001024"/>
    <w:rsid w:val="143E0958"/>
    <w:rsid w:val="14447C03"/>
    <w:rsid w:val="148C66B9"/>
    <w:rsid w:val="14A0688C"/>
    <w:rsid w:val="14A27418"/>
    <w:rsid w:val="14B75795"/>
    <w:rsid w:val="14D0694E"/>
    <w:rsid w:val="14D13521"/>
    <w:rsid w:val="14E71EEE"/>
    <w:rsid w:val="150005E3"/>
    <w:rsid w:val="150561CE"/>
    <w:rsid w:val="150C41C0"/>
    <w:rsid w:val="154E0CBA"/>
    <w:rsid w:val="15567BDD"/>
    <w:rsid w:val="156505D8"/>
    <w:rsid w:val="1585401D"/>
    <w:rsid w:val="159F7376"/>
    <w:rsid w:val="15A43E0D"/>
    <w:rsid w:val="15AA0E8F"/>
    <w:rsid w:val="15B26E27"/>
    <w:rsid w:val="15C11202"/>
    <w:rsid w:val="16044E20"/>
    <w:rsid w:val="160B06B5"/>
    <w:rsid w:val="160E14A4"/>
    <w:rsid w:val="16110280"/>
    <w:rsid w:val="161F3F9E"/>
    <w:rsid w:val="16250402"/>
    <w:rsid w:val="16286AF8"/>
    <w:rsid w:val="16295BD2"/>
    <w:rsid w:val="16563E27"/>
    <w:rsid w:val="165A2B2F"/>
    <w:rsid w:val="165F479B"/>
    <w:rsid w:val="16656C45"/>
    <w:rsid w:val="166E3124"/>
    <w:rsid w:val="166E4F67"/>
    <w:rsid w:val="167A5637"/>
    <w:rsid w:val="168701E4"/>
    <w:rsid w:val="16930A1B"/>
    <w:rsid w:val="169C7707"/>
    <w:rsid w:val="16B525BF"/>
    <w:rsid w:val="16D53C9F"/>
    <w:rsid w:val="16FC6A83"/>
    <w:rsid w:val="17153F66"/>
    <w:rsid w:val="171E6B3F"/>
    <w:rsid w:val="17390D45"/>
    <w:rsid w:val="173B1E26"/>
    <w:rsid w:val="174359EA"/>
    <w:rsid w:val="174E6C06"/>
    <w:rsid w:val="17502E66"/>
    <w:rsid w:val="176708C5"/>
    <w:rsid w:val="178A0B6C"/>
    <w:rsid w:val="17993718"/>
    <w:rsid w:val="179D3ADE"/>
    <w:rsid w:val="179F203C"/>
    <w:rsid w:val="17BF458B"/>
    <w:rsid w:val="17CA35BD"/>
    <w:rsid w:val="17CD350A"/>
    <w:rsid w:val="17CD6C71"/>
    <w:rsid w:val="17D11E07"/>
    <w:rsid w:val="17D32784"/>
    <w:rsid w:val="17FB6A06"/>
    <w:rsid w:val="17FD3566"/>
    <w:rsid w:val="1801531D"/>
    <w:rsid w:val="1803377F"/>
    <w:rsid w:val="18145CB9"/>
    <w:rsid w:val="18300576"/>
    <w:rsid w:val="18444C9C"/>
    <w:rsid w:val="18594785"/>
    <w:rsid w:val="185955F0"/>
    <w:rsid w:val="187D5625"/>
    <w:rsid w:val="18801906"/>
    <w:rsid w:val="18853E72"/>
    <w:rsid w:val="188829A7"/>
    <w:rsid w:val="18A958F0"/>
    <w:rsid w:val="18AF589D"/>
    <w:rsid w:val="18B03ED9"/>
    <w:rsid w:val="18CB33F4"/>
    <w:rsid w:val="18D44F1E"/>
    <w:rsid w:val="18FA334B"/>
    <w:rsid w:val="19022E58"/>
    <w:rsid w:val="190568A5"/>
    <w:rsid w:val="190A5AEE"/>
    <w:rsid w:val="192A2941"/>
    <w:rsid w:val="193171D4"/>
    <w:rsid w:val="193F2900"/>
    <w:rsid w:val="196F5219"/>
    <w:rsid w:val="19733082"/>
    <w:rsid w:val="19765264"/>
    <w:rsid w:val="19925AC4"/>
    <w:rsid w:val="19E57259"/>
    <w:rsid w:val="19EC310B"/>
    <w:rsid w:val="19FC2BA9"/>
    <w:rsid w:val="1A2F2C9E"/>
    <w:rsid w:val="1A422931"/>
    <w:rsid w:val="1A465F57"/>
    <w:rsid w:val="1A524743"/>
    <w:rsid w:val="1A6810E0"/>
    <w:rsid w:val="1A8E3156"/>
    <w:rsid w:val="1A95203E"/>
    <w:rsid w:val="1A9669BB"/>
    <w:rsid w:val="1AAD4A83"/>
    <w:rsid w:val="1AAD7AAE"/>
    <w:rsid w:val="1AB72801"/>
    <w:rsid w:val="1AC239E6"/>
    <w:rsid w:val="1ADA0656"/>
    <w:rsid w:val="1AE13713"/>
    <w:rsid w:val="1AE630FD"/>
    <w:rsid w:val="1AE778A2"/>
    <w:rsid w:val="1AEB4138"/>
    <w:rsid w:val="1AED1C6A"/>
    <w:rsid w:val="1B6B50E2"/>
    <w:rsid w:val="1B6F53CE"/>
    <w:rsid w:val="1B8A51CD"/>
    <w:rsid w:val="1BA34032"/>
    <w:rsid w:val="1BB13F19"/>
    <w:rsid w:val="1BC56F06"/>
    <w:rsid w:val="1BD82A04"/>
    <w:rsid w:val="1BDD1C43"/>
    <w:rsid w:val="1BDE7694"/>
    <w:rsid w:val="1BEE08A3"/>
    <w:rsid w:val="1BFF6170"/>
    <w:rsid w:val="1C300AF7"/>
    <w:rsid w:val="1C34522E"/>
    <w:rsid w:val="1C367359"/>
    <w:rsid w:val="1C3D42B9"/>
    <w:rsid w:val="1C646A6F"/>
    <w:rsid w:val="1C9E0C54"/>
    <w:rsid w:val="1CC94183"/>
    <w:rsid w:val="1CE21682"/>
    <w:rsid w:val="1CE55D47"/>
    <w:rsid w:val="1CF41C42"/>
    <w:rsid w:val="1CF87134"/>
    <w:rsid w:val="1D080F79"/>
    <w:rsid w:val="1D0C2F62"/>
    <w:rsid w:val="1D17676F"/>
    <w:rsid w:val="1D1C0E90"/>
    <w:rsid w:val="1D3F1ADD"/>
    <w:rsid w:val="1D4653BF"/>
    <w:rsid w:val="1D4A7D0B"/>
    <w:rsid w:val="1D792127"/>
    <w:rsid w:val="1DA31B4E"/>
    <w:rsid w:val="1DAA0FFE"/>
    <w:rsid w:val="1DC1708A"/>
    <w:rsid w:val="1DCE7B81"/>
    <w:rsid w:val="1DE13D45"/>
    <w:rsid w:val="1DE57EA3"/>
    <w:rsid w:val="1DEE518D"/>
    <w:rsid w:val="1DFE35E5"/>
    <w:rsid w:val="1E100EE4"/>
    <w:rsid w:val="1E130DF9"/>
    <w:rsid w:val="1E1C6C10"/>
    <w:rsid w:val="1E30013E"/>
    <w:rsid w:val="1E3D0AE7"/>
    <w:rsid w:val="1E7278EA"/>
    <w:rsid w:val="1E863693"/>
    <w:rsid w:val="1E914B6B"/>
    <w:rsid w:val="1EAA7AFD"/>
    <w:rsid w:val="1EC275AF"/>
    <w:rsid w:val="1ECB663E"/>
    <w:rsid w:val="1ED52A67"/>
    <w:rsid w:val="1EEE45E9"/>
    <w:rsid w:val="1EF529FF"/>
    <w:rsid w:val="1F0E327D"/>
    <w:rsid w:val="1F1D1FC0"/>
    <w:rsid w:val="1F2343E3"/>
    <w:rsid w:val="1F265DF9"/>
    <w:rsid w:val="1F2B1763"/>
    <w:rsid w:val="1F3D3BB3"/>
    <w:rsid w:val="1F43313D"/>
    <w:rsid w:val="1F4F62A2"/>
    <w:rsid w:val="1F662A00"/>
    <w:rsid w:val="1F7F0D57"/>
    <w:rsid w:val="1F824484"/>
    <w:rsid w:val="1F885641"/>
    <w:rsid w:val="1F9B2EE3"/>
    <w:rsid w:val="1FB3764C"/>
    <w:rsid w:val="1FB8769E"/>
    <w:rsid w:val="1FD913DF"/>
    <w:rsid w:val="1FEE719D"/>
    <w:rsid w:val="200343ED"/>
    <w:rsid w:val="20096BA8"/>
    <w:rsid w:val="20126487"/>
    <w:rsid w:val="20174521"/>
    <w:rsid w:val="201A3751"/>
    <w:rsid w:val="202A1534"/>
    <w:rsid w:val="203E3F52"/>
    <w:rsid w:val="20605D8F"/>
    <w:rsid w:val="206C7B38"/>
    <w:rsid w:val="2088258C"/>
    <w:rsid w:val="20B10E4F"/>
    <w:rsid w:val="20BA1D16"/>
    <w:rsid w:val="20BB2DF0"/>
    <w:rsid w:val="20C56BFD"/>
    <w:rsid w:val="20CE260B"/>
    <w:rsid w:val="20D52EF1"/>
    <w:rsid w:val="20DC1021"/>
    <w:rsid w:val="20EF12E3"/>
    <w:rsid w:val="20FB115A"/>
    <w:rsid w:val="21021158"/>
    <w:rsid w:val="21357300"/>
    <w:rsid w:val="21542F17"/>
    <w:rsid w:val="21545063"/>
    <w:rsid w:val="215E4541"/>
    <w:rsid w:val="219F028E"/>
    <w:rsid w:val="219F643B"/>
    <w:rsid w:val="21EF1642"/>
    <w:rsid w:val="2207775A"/>
    <w:rsid w:val="22096EDB"/>
    <w:rsid w:val="220D1AB5"/>
    <w:rsid w:val="220F4C36"/>
    <w:rsid w:val="221B7729"/>
    <w:rsid w:val="222A0A32"/>
    <w:rsid w:val="22310BDD"/>
    <w:rsid w:val="22460828"/>
    <w:rsid w:val="224800B7"/>
    <w:rsid w:val="225968E0"/>
    <w:rsid w:val="225A4D57"/>
    <w:rsid w:val="22650D02"/>
    <w:rsid w:val="22871265"/>
    <w:rsid w:val="22CA751D"/>
    <w:rsid w:val="22D30626"/>
    <w:rsid w:val="22DE4295"/>
    <w:rsid w:val="22E805A4"/>
    <w:rsid w:val="22F91372"/>
    <w:rsid w:val="22FE2614"/>
    <w:rsid w:val="230137BA"/>
    <w:rsid w:val="232E40F8"/>
    <w:rsid w:val="233E5D35"/>
    <w:rsid w:val="23473351"/>
    <w:rsid w:val="236064EC"/>
    <w:rsid w:val="2361092C"/>
    <w:rsid w:val="237E566D"/>
    <w:rsid w:val="23814005"/>
    <w:rsid w:val="23967A64"/>
    <w:rsid w:val="239C3C5B"/>
    <w:rsid w:val="23AD69D2"/>
    <w:rsid w:val="23DE7999"/>
    <w:rsid w:val="23ED7C09"/>
    <w:rsid w:val="240D310D"/>
    <w:rsid w:val="245C7C0C"/>
    <w:rsid w:val="246D7575"/>
    <w:rsid w:val="24814E74"/>
    <w:rsid w:val="24947C71"/>
    <w:rsid w:val="24A950E1"/>
    <w:rsid w:val="24B175B3"/>
    <w:rsid w:val="24BF6D23"/>
    <w:rsid w:val="24CF500E"/>
    <w:rsid w:val="251F7ADD"/>
    <w:rsid w:val="25203C48"/>
    <w:rsid w:val="252F5BA0"/>
    <w:rsid w:val="253F303A"/>
    <w:rsid w:val="2544213A"/>
    <w:rsid w:val="255417AE"/>
    <w:rsid w:val="25570738"/>
    <w:rsid w:val="255812C6"/>
    <w:rsid w:val="25626263"/>
    <w:rsid w:val="257F2188"/>
    <w:rsid w:val="2580748B"/>
    <w:rsid w:val="25810F92"/>
    <w:rsid w:val="25927BB2"/>
    <w:rsid w:val="2596597E"/>
    <w:rsid w:val="25AE11F7"/>
    <w:rsid w:val="25C80E14"/>
    <w:rsid w:val="25D830B4"/>
    <w:rsid w:val="25E0250B"/>
    <w:rsid w:val="25FC0C9A"/>
    <w:rsid w:val="26101C1D"/>
    <w:rsid w:val="262C5A24"/>
    <w:rsid w:val="262D1D9F"/>
    <w:rsid w:val="264350CE"/>
    <w:rsid w:val="26564205"/>
    <w:rsid w:val="266444C6"/>
    <w:rsid w:val="26647F6D"/>
    <w:rsid w:val="266729A8"/>
    <w:rsid w:val="266D3E0C"/>
    <w:rsid w:val="26706816"/>
    <w:rsid w:val="267725A8"/>
    <w:rsid w:val="26772C7A"/>
    <w:rsid w:val="269244BD"/>
    <w:rsid w:val="269E36B3"/>
    <w:rsid w:val="269F199E"/>
    <w:rsid w:val="26A64AD6"/>
    <w:rsid w:val="26A96CF2"/>
    <w:rsid w:val="26BB0D4F"/>
    <w:rsid w:val="26C615C6"/>
    <w:rsid w:val="26D6373A"/>
    <w:rsid w:val="270374F8"/>
    <w:rsid w:val="270D6864"/>
    <w:rsid w:val="2716161B"/>
    <w:rsid w:val="27202027"/>
    <w:rsid w:val="27207AC4"/>
    <w:rsid w:val="27297576"/>
    <w:rsid w:val="272E1246"/>
    <w:rsid w:val="273D4BAB"/>
    <w:rsid w:val="274E31F3"/>
    <w:rsid w:val="27595721"/>
    <w:rsid w:val="27766974"/>
    <w:rsid w:val="2776734B"/>
    <w:rsid w:val="27837BAD"/>
    <w:rsid w:val="278B4E60"/>
    <w:rsid w:val="2799495A"/>
    <w:rsid w:val="27A259C6"/>
    <w:rsid w:val="27AE708E"/>
    <w:rsid w:val="27B039FF"/>
    <w:rsid w:val="27DE38B4"/>
    <w:rsid w:val="27E95801"/>
    <w:rsid w:val="27F159F1"/>
    <w:rsid w:val="27F2374A"/>
    <w:rsid w:val="27F64AC3"/>
    <w:rsid w:val="27FA45DA"/>
    <w:rsid w:val="280247A7"/>
    <w:rsid w:val="28127711"/>
    <w:rsid w:val="2816136F"/>
    <w:rsid w:val="28254BEA"/>
    <w:rsid w:val="286C64A4"/>
    <w:rsid w:val="28A45ACB"/>
    <w:rsid w:val="28A73A2B"/>
    <w:rsid w:val="28AC6804"/>
    <w:rsid w:val="28B27E59"/>
    <w:rsid w:val="28C15211"/>
    <w:rsid w:val="28C827E9"/>
    <w:rsid w:val="28EB3370"/>
    <w:rsid w:val="294029A8"/>
    <w:rsid w:val="294045C9"/>
    <w:rsid w:val="296A69BF"/>
    <w:rsid w:val="297938A0"/>
    <w:rsid w:val="297F583C"/>
    <w:rsid w:val="298140F8"/>
    <w:rsid w:val="299E57F5"/>
    <w:rsid w:val="29A516E3"/>
    <w:rsid w:val="29CC3CFC"/>
    <w:rsid w:val="29CF51CE"/>
    <w:rsid w:val="29D02E22"/>
    <w:rsid w:val="29D7087E"/>
    <w:rsid w:val="29DA3604"/>
    <w:rsid w:val="29E179B5"/>
    <w:rsid w:val="29F87931"/>
    <w:rsid w:val="2A0D2FEE"/>
    <w:rsid w:val="2A1671C6"/>
    <w:rsid w:val="2A2550FC"/>
    <w:rsid w:val="2A297981"/>
    <w:rsid w:val="2A2C4244"/>
    <w:rsid w:val="2A3D1D93"/>
    <w:rsid w:val="2A5A16C4"/>
    <w:rsid w:val="2A5C5AE4"/>
    <w:rsid w:val="2A63029B"/>
    <w:rsid w:val="2A665781"/>
    <w:rsid w:val="2A695B70"/>
    <w:rsid w:val="2A6F222E"/>
    <w:rsid w:val="2A7D4CDF"/>
    <w:rsid w:val="2A892FE4"/>
    <w:rsid w:val="2A910DA3"/>
    <w:rsid w:val="2ABB1767"/>
    <w:rsid w:val="2AE02608"/>
    <w:rsid w:val="2AF115A9"/>
    <w:rsid w:val="2B03097C"/>
    <w:rsid w:val="2B0528E7"/>
    <w:rsid w:val="2B1558D3"/>
    <w:rsid w:val="2B215414"/>
    <w:rsid w:val="2B2332C1"/>
    <w:rsid w:val="2B2D11FD"/>
    <w:rsid w:val="2B4130B7"/>
    <w:rsid w:val="2B5F1878"/>
    <w:rsid w:val="2B6946ED"/>
    <w:rsid w:val="2B83075F"/>
    <w:rsid w:val="2B930B93"/>
    <w:rsid w:val="2B9C3965"/>
    <w:rsid w:val="2B9F45D8"/>
    <w:rsid w:val="2BA409D5"/>
    <w:rsid w:val="2BA970F3"/>
    <w:rsid w:val="2BB73D2E"/>
    <w:rsid w:val="2BC10531"/>
    <w:rsid w:val="2BCA5F9F"/>
    <w:rsid w:val="2BCC1A24"/>
    <w:rsid w:val="2BE01BE1"/>
    <w:rsid w:val="2BF43E85"/>
    <w:rsid w:val="2BFC7D7F"/>
    <w:rsid w:val="2C010A0F"/>
    <w:rsid w:val="2C1C16C4"/>
    <w:rsid w:val="2C265C58"/>
    <w:rsid w:val="2C374FFA"/>
    <w:rsid w:val="2C4518CA"/>
    <w:rsid w:val="2C4C30EF"/>
    <w:rsid w:val="2C561221"/>
    <w:rsid w:val="2C886711"/>
    <w:rsid w:val="2C8A1588"/>
    <w:rsid w:val="2C8B58F4"/>
    <w:rsid w:val="2C966354"/>
    <w:rsid w:val="2CA035D6"/>
    <w:rsid w:val="2CAA5AD4"/>
    <w:rsid w:val="2CAC5A0A"/>
    <w:rsid w:val="2CB148E1"/>
    <w:rsid w:val="2CBB03FD"/>
    <w:rsid w:val="2CE21F1B"/>
    <w:rsid w:val="2CF24E3D"/>
    <w:rsid w:val="2CFB090C"/>
    <w:rsid w:val="2D2D1615"/>
    <w:rsid w:val="2D2D1EE0"/>
    <w:rsid w:val="2D3557AD"/>
    <w:rsid w:val="2D451378"/>
    <w:rsid w:val="2D6504AF"/>
    <w:rsid w:val="2D6A0545"/>
    <w:rsid w:val="2D75635F"/>
    <w:rsid w:val="2D8C3A17"/>
    <w:rsid w:val="2D9844BB"/>
    <w:rsid w:val="2D9B40C9"/>
    <w:rsid w:val="2DAC19CD"/>
    <w:rsid w:val="2DDD0AB5"/>
    <w:rsid w:val="2E093F28"/>
    <w:rsid w:val="2E1058C1"/>
    <w:rsid w:val="2E4C04B3"/>
    <w:rsid w:val="2E4F29A5"/>
    <w:rsid w:val="2E770E2F"/>
    <w:rsid w:val="2E811783"/>
    <w:rsid w:val="2E8C4F19"/>
    <w:rsid w:val="2E9C08B3"/>
    <w:rsid w:val="2E9F2DFC"/>
    <w:rsid w:val="2EA41164"/>
    <w:rsid w:val="2EA471A2"/>
    <w:rsid w:val="2EAF6834"/>
    <w:rsid w:val="2EB72E3B"/>
    <w:rsid w:val="2EDB1672"/>
    <w:rsid w:val="2EDB2C6E"/>
    <w:rsid w:val="2EE258E7"/>
    <w:rsid w:val="2EF11A47"/>
    <w:rsid w:val="2EFE123D"/>
    <w:rsid w:val="2F044935"/>
    <w:rsid w:val="2F197F23"/>
    <w:rsid w:val="2F36171E"/>
    <w:rsid w:val="2F434EFA"/>
    <w:rsid w:val="2F561573"/>
    <w:rsid w:val="2F566BAA"/>
    <w:rsid w:val="2F6A2019"/>
    <w:rsid w:val="2F747177"/>
    <w:rsid w:val="2F873A4A"/>
    <w:rsid w:val="2F900463"/>
    <w:rsid w:val="2FA52EE4"/>
    <w:rsid w:val="2FF941DC"/>
    <w:rsid w:val="30025493"/>
    <w:rsid w:val="300C00B9"/>
    <w:rsid w:val="3012371E"/>
    <w:rsid w:val="30182BA0"/>
    <w:rsid w:val="301A6E3C"/>
    <w:rsid w:val="30207FE6"/>
    <w:rsid w:val="302E2290"/>
    <w:rsid w:val="30364695"/>
    <w:rsid w:val="304A1F13"/>
    <w:rsid w:val="30A42684"/>
    <w:rsid w:val="30AE6FAE"/>
    <w:rsid w:val="30B17BD7"/>
    <w:rsid w:val="30B6042B"/>
    <w:rsid w:val="30C204F6"/>
    <w:rsid w:val="30C63241"/>
    <w:rsid w:val="30D17326"/>
    <w:rsid w:val="30D721E5"/>
    <w:rsid w:val="30E63143"/>
    <w:rsid w:val="30EB45C1"/>
    <w:rsid w:val="310D309D"/>
    <w:rsid w:val="3151028F"/>
    <w:rsid w:val="31650935"/>
    <w:rsid w:val="316B53CD"/>
    <w:rsid w:val="317625B3"/>
    <w:rsid w:val="3178414D"/>
    <w:rsid w:val="319C298B"/>
    <w:rsid w:val="31B461DD"/>
    <w:rsid w:val="31B6580E"/>
    <w:rsid w:val="31D02298"/>
    <w:rsid w:val="31DF1BF1"/>
    <w:rsid w:val="31E31374"/>
    <w:rsid w:val="31E45E38"/>
    <w:rsid w:val="31E46994"/>
    <w:rsid w:val="31EE224A"/>
    <w:rsid w:val="31F37251"/>
    <w:rsid w:val="32114A00"/>
    <w:rsid w:val="325A05D7"/>
    <w:rsid w:val="3264333C"/>
    <w:rsid w:val="32730D0E"/>
    <w:rsid w:val="32984959"/>
    <w:rsid w:val="32AB3111"/>
    <w:rsid w:val="32AE62A6"/>
    <w:rsid w:val="32B77B39"/>
    <w:rsid w:val="32CA09D6"/>
    <w:rsid w:val="32D369FE"/>
    <w:rsid w:val="32D86446"/>
    <w:rsid w:val="32F372A7"/>
    <w:rsid w:val="32FA7407"/>
    <w:rsid w:val="33202480"/>
    <w:rsid w:val="332B4238"/>
    <w:rsid w:val="334D4363"/>
    <w:rsid w:val="335316CF"/>
    <w:rsid w:val="335A4C59"/>
    <w:rsid w:val="335D309A"/>
    <w:rsid w:val="33766BF2"/>
    <w:rsid w:val="337B3089"/>
    <w:rsid w:val="338B27ED"/>
    <w:rsid w:val="338E0A00"/>
    <w:rsid w:val="338E309D"/>
    <w:rsid w:val="339F25CF"/>
    <w:rsid w:val="33B31245"/>
    <w:rsid w:val="33E111F1"/>
    <w:rsid w:val="33EF2F91"/>
    <w:rsid w:val="34073BA4"/>
    <w:rsid w:val="340744FB"/>
    <w:rsid w:val="341A402A"/>
    <w:rsid w:val="343B0B17"/>
    <w:rsid w:val="344A0B78"/>
    <w:rsid w:val="344B777B"/>
    <w:rsid w:val="344F1B35"/>
    <w:rsid w:val="34585291"/>
    <w:rsid w:val="34726413"/>
    <w:rsid w:val="348A60A2"/>
    <w:rsid w:val="34A43C7B"/>
    <w:rsid w:val="34AD5429"/>
    <w:rsid w:val="34AE5E78"/>
    <w:rsid w:val="34D5529C"/>
    <w:rsid w:val="34D721B7"/>
    <w:rsid w:val="34E83D70"/>
    <w:rsid w:val="34E84689"/>
    <w:rsid w:val="34EC5C04"/>
    <w:rsid w:val="34F21DBC"/>
    <w:rsid w:val="34FC641A"/>
    <w:rsid w:val="350134F3"/>
    <w:rsid w:val="351137AF"/>
    <w:rsid w:val="35127816"/>
    <w:rsid w:val="352209DA"/>
    <w:rsid w:val="35227F2D"/>
    <w:rsid w:val="35325736"/>
    <w:rsid w:val="35573BC7"/>
    <w:rsid w:val="35585014"/>
    <w:rsid w:val="35586B05"/>
    <w:rsid w:val="35610937"/>
    <w:rsid w:val="35830379"/>
    <w:rsid w:val="359534CF"/>
    <w:rsid w:val="359D1FA4"/>
    <w:rsid w:val="35BC575F"/>
    <w:rsid w:val="35C614D6"/>
    <w:rsid w:val="36083648"/>
    <w:rsid w:val="362F6CD6"/>
    <w:rsid w:val="363A3523"/>
    <w:rsid w:val="365328D8"/>
    <w:rsid w:val="365D3172"/>
    <w:rsid w:val="36795BC1"/>
    <w:rsid w:val="367F5910"/>
    <w:rsid w:val="36A7737B"/>
    <w:rsid w:val="36F82348"/>
    <w:rsid w:val="37326F61"/>
    <w:rsid w:val="373E7EF9"/>
    <w:rsid w:val="374F6A97"/>
    <w:rsid w:val="37542D2E"/>
    <w:rsid w:val="376F1CA5"/>
    <w:rsid w:val="377F4B57"/>
    <w:rsid w:val="37E045F5"/>
    <w:rsid w:val="3803426E"/>
    <w:rsid w:val="380C6583"/>
    <w:rsid w:val="380D3A8A"/>
    <w:rsid w:val="38132DB6"/>
    <w:rsid w:val="382B7749"/>
    <w:rsid w:val="383B5977"/>
    <w:rsid w:val="383F427C"/>
    <w:rsid w:val="38507DED"/>
    <w:rsid w:val="385861DC"/>
    <w:rsid w:val="3868353A"/>
    <w:rsid w:val="387A4785"/>
    <w:rsid w:val="387B23DA"/>
    <w:rsid w:val="389F28D3"/>
    <w:rsid w:val="38A57B50"/>
    <w:rsid w:val="38D61491"/>
    <w:rsid w:val="391158C2"/>
    <w:rsid w:val="39147D6B"/>
    <w:rsid w:val="39156E65"/>
    <w:rsid w:val="39160986"/>
    <w:rsid w:val="391A2277"/>
    <w:rsid w:val="394C757E"/>
    <w:rsid w:val="39646D89"/>
    <w:rsid w:val="398F7D3E"/>
    <w:rsid w:val="39946D0A"/>
    <w:rsid w:val="39965EBA"/>
    <w:rsid w:val="39B2168E"/>
    <w:rsid w:val="39B27288"/>
    <w:rsid w:val="39C06FE4"/>
    <w:rsid w:val="39D76364"/>
    <w:rsid w:val="39DC75BA"/>
    <w:rsid w:val="39EB70F0"/>
    <w:rsid w:val="39EE5890"/>
    <w:rsid w:val="39F206E1"/>
    <w:rsid w:val="3A016473"/>
    <w:rsid w:val="3A0D142C"/>
    <w:rsid w:val="3A3F5548"/>
    <w:rsid w:val="3A574F32"/>
    <w:rsid w:val="3A596833"/>
    <w:rsid w:val="3A8074A7"/>
    <w:rsid w:val="3AD93388"/>
    <w:rsid w:val="3AEB1972"/>
    <w:rsid w:val="3AF211DC"/>
    <w:rsid w:val="3AF92EED"/>
    <w:rsid w:val="3B0C521F"/>
    <w:rsid w:val="3B1B1BB3"/>
    <w:rsid w:val="3B2611F8"/>
    <w:rsid w:val="3B491C21"/>
    <w:rsid w:val="3B4E3AA2"/>
    <w:rsid w:val="3B603782"/>
    <w:rsid w:val="3B6723AB"/>
    <w:rsid w:val="3B741747"/>
    <w:rsid w:val="3B8A1F69"/>
    <w:rsid w:val="3BBA6441"/>
    <w:rsid w:val="3BBD0932"/>
    <w:rsid w:val="3BDB5677"/>
    <w:rsid w:val="3C08714B"/>
    <w:rsid w:val="3C152AD9"/>
    <w:rsid w:val="3C2E7D26"/>
    <w:rsid w:val="3C3469CB"/>
    <w:rsid w:val="3C346DC1"/>
    <w:rsid w:val="3C3A1B0D"/>
    <w:rsid w:val="3C441C3D"/>
    <w:rsid w:val="3C561C6F"/>
    <w:rsid w:val="3C642DF7"/>
    <w:rsid w:val="3C6655AA"/>
    <w:rsid w:val="3C9808D9"/>
    <w:rsid w:val="3CA02F6A"/>
    <w:rsid w:val="3CAB78C6"/>
    <w:rsid w:val="3CAF15AD"/>
    <w:rsid w:val="3CB74250"/>
    <w:rsid w:val="3CBF7635"/>
    <w:rsid w:val="3CCF534B"/>
    <w:rsid w:val="3CDC72EE"/>
    <w:rsid w:val="3CEB4B3E"/>
    <w:rsid w:val="3CFC5FC1"/>
    <w:rsid w:val="3D390C43"/>
    <w:rsid w:val="3D484034"/>
    <w:rsid w:val="3D524A89"/>
    <w:rsid w:val="3D5B4868"/>
    <w:rsid w:val="3D642124"/>
    <w:rsid w:val="3D6B53A5"/>
    <w:rsid w:val="3D744CF2"/>
    <w:rsid w:val="3D7B2CD7"/>
    <w:rsid w:val="3DC31E24"/>
    <w:rsid w:val="3DE15585"/>
    <w:rsid w:val="3DF002AA"/>
    <w:rsid w:val="3E0D5240"/>
    <w:rsid w:val="3E130523"/>
    <w:rsid w:val="3E375E88"/>
    <w:rsid w:val="3E595F33"/>
    <w:rsid w:val="3E7147B9"/>
    <w:rsid w:val="3E780C84"/>
    <w:rsid w:val="3E7C1EDC"/>
    <w:rsid w:val="3E841ED2"/>
    <w:rsid w:val="3EC01515"/>
    <w:rsid w:val="3EC934F9"/>
    <w:rsid w:val="3ECC0FE4"/>
    <w:rsid w:val="3ED3466C"/>
    <w:rsid w:val="3EDB09A2"/>
    <w:rsid w:val="3EDD4223"/>
    <w:rsid w:val="3EDD4A7A"/>
    <w:rsid w:val="3EE05FD9"/>
    <w:rsid w:val="3EEA6A38"/>
    <w:rsid w:val="3F0401AE"/>
    <w:rsid w:val="3F0E25DB"/>
    <w:rsid w:val="3F1B2893"/>
    <w:rsid w:val="3F23709C"/>
    <w:rsid w:val="3F27166F"/>
    <w:rsid w:val="3F2C3004"/>
    <w:rsid w:val="3F3D11D3"/>
    <w:rsid w:val="3F4B3DF3"/>
    <w:rsid w:val="3F5043EB"/>
    <w:rsid w:val="3F6F60BA"/>
    <w:rsid w:val="3F724937"/>
    <w:rsid w:val="3F9D0C8C"/>
    <w:rsid w:val="3FA432C4"/>
    <w:rsid w:val="3FAF22E0"/>
    <w:rsid w:val="3FDA6395"/>
    <w:rsid w:val="3FDB0471"/>
    <w:rsid w:val="3FE95C8F"/>
    <w:rsid w:val="400F178E"/>
    <w:rsid w:val="401727AA"/>
    <w:rsid w:val="402D0732"/>
    <w:rsid w:val="403A13EA"/>
    <w:rsid w:val="403C6E65"/>
    <w:rsid w:val="403F39F3"/>
    <w:rsid w:val="40496517"/>
    <w:rsid w:val="4053320D"/>
    <w:rsid w:val="405355AE"/>
    <w:rsid w:val="40624F85"/>
    <w:rsid w:val="40850E9E"/>
    <w:rsid w:val="40950BB6"/>
    <w:rsid w:val="40A05C66"/>
    <w:rsid w:val="40A515A1"/>
    <w:rsid w:val="40C614E7"/>
    <w:rsid w:val="40D10C47"/>
    <w:rsid w:val="410F2479"/>
    <w:rsid w:val="41164311"/>
    <w:rsid w:val="41190BBD"/>
    <w:rsid w:val="413F0BC3"/>
    <w:rsid w:val="413F1701"/>
    <w:rsid w:val="413F1780"/>
    <w:rsid w:val="415A5DE5"/>
    <w:rsid w:val="418305E6"/>
    <w:rsid w:val="41992FA5"/>
    <w:rsid w:val="419C28F7"/>
    <w:rsid w:val="41AF388D"/>
    <w:rsid w:val="41C83F60"/>
    <w:rsid w:val="41F16B6D"/>
    <w:rsid w:val="41F355EC"/>
    <w:rsid w:val="41F856D9"/>
    <w:rsid w:val="41FC4DF8"/>
    <w:rsid w:val="421348C8"/>
    <w:rsid w:val="42292381"/>
    <w:rsid w:val="424312B4"/>
    <w:rsid w:val="4255110C"/>
    <w:rsid w:val="425F6996"/>
    <w:rsid w:val="42692B0B"/>
    <w:rsid w:val="427A0DFE"/>
    <w:rsid w:val="427E5A24"/>
    <w:rsid w:val="4284451E"/>
    <w:rsid w:val="428576F4"/>
    <w:rsid w:val="4291369B"/>
    <w:rsid w:val="429D1A36"/>
    <w:rsid w:val="42A45AA2"/>
    <w:rsid w:val="42AA1786"/>
    <w:rsid w:val="42C83799"/>
    <w:rsid w:val="42C9273B"/>
    <w:rsid w:val="42FF4811"/>
    <w:rsid w:val="43103B7F"/>
    <w:rsid w:val="43151470"/>
    <w:rsid w:val="432E17AE"/>
    <w:rsid w:val="434A595F"/>
    <w:rsid w:val="434F5CA4"/>
    <w:rsid w:val="43523FD0"/>
    <w:rsid w:val="438E69DE"/>
    <w:rsid w:val="439018D4"/>
    <w:rsid w:val="43972C69"/>
    <w:rsid w:val="43B94920"/>
    <w:rsid w:val="43BC0C30"/>
    <w:rsid w:val="43EE57D9"/>
    <w:rsid w:val="43F90C0D"/>
    <w:rsid w:val="44130309"/>
    <w:rsid w:val="442B7277"/>
    <w:rsid w:val="443D4591"/>
    <w:rsid w:val="443F05D2"/>
    <w:rsid w:val="444733D1"/>
    <w:rsid w:val="44492049"/>
    <w:rsid w:val="44972ED2"/>
    <w:rsid w:val="449B02CA"/>
    <w:rsid w:val="44A15C3A"/>
    <w:rsid w:val="44AE19A6"/>
    <w:rsid w:val="44B10472"/>
    <w:rsid w:val="44BD336D"/>
    <w:rsid w:val="44C37C8F"/>
    <w:rsid w:val="44E6073E"/>
    <w:rsid w:val="44F55A94"/>
    <w:rsid w:val="452F615C"/>
    <w:rsid w:val="453553EB"/>
    <w:rsid w:val="4539752C"/>
    <w:rsid w:val="453A7F0E"/>
    <w:rsid w:val="454408C8"/>
    <w:rsid w:val="45461679"/>
    <w:rsid w:val="45492153"/>
    <w:rsid w:val="454A79B4"/>
    <w:rsid w:val="455B76F5"/>
    <w:rsid w:val="455E7DF4"/>
    <w:rsid w:val="45691F0D"/>
    <w:rsid w:val="456D2294"/>
    <w:rsid w:val="45702752"/>
    <w:rsid w:val="45711ED8"/>
    <w:rsid w:val="457B46F7"/>
    <w:rsid w:val="45882E18"/>
    <w:rsid w:val="45A16160"/>
    <w:rsid w:val="45AD217E"/>
    <w:rsid w:val="45C74A60"/>
    <w:rsid w:val="45FE0158"/>
    <w:rsid w:val="462C2496"/>
    <w:rsid w:val="462C55A0"/>
    <w:rsid w:val="462E6E36"/>
    <w:rsid w:val="4669727C"/>
    <w:rsid w:val="466D672F"/>
    <w:rsid w:val="469007DE"/>
    <w:rsid w:val="46C6223E"/>
    <w:rsid w:val="46D347B8"/>
    <w:rsid w:val="46DC6F62"/>
    <w:rsid w:val="46E55972"/>
    <w:rsid w:val="46E57C88"/>
    <w:rsid w:val="46EE333B"/>
    <w:rsid w:val="470012A3"/>
    <w:rsid w:val="4708496F"/>
    <w:rsid w:val="470D00B1"/>
    <w:rsid w:val="47192BBF"/>
    <w:rsid w:val="47195EE9"/>
    <w:rsid w:val="47236109"/>
    <w:rsid w:val="472C7D9B"/>
    <w:rsid w:val="473068B8"/>
    <w:rsid w:val="474705DE"/>
    <w:rsid w:val="474B3605"/>
    <w:rsid w:val="476D555D"/>
    <w:rsid w:val="477043E9"/>
    <w:rsid w:val="47704D50"/>
    <w:rsid w:val="477D6743"/>
    <w:rsid w:val="477E0410"/>
    <w:rsid w:val="47890004"/>
    <w:rsid w:val="47897B9C"/>
    <w:rsid w:val="479F74D4"/>
    <w:rsid w:val="47A65693"/>
    <w:rsid w:val="47AE2061"/>
    <w:rsid w:val="47C61085"/>
    <w:rsid w:val="47FC57F5"/>
    <w:rsid w:val="481A3C80"/>
    <w:rsid w:val="484D4A17"/>
    <w:rsid w:val="485669E1"/>
    <w:rsid w:val="485E507D"/>
    <w:rsid w:val="48635370"/>
    <w:rsid w:val="48665B65"/>
    <w:rsid w:val="486F67DD"/>
    <w:rsid w:val="487E782A"/>
    <w:rsid w:val="48883850"/>
    <w:rsid w:val="48AD02EC"/>
    <w:rsid w:val="48C14312"/>
    <w:rsid w:val="48DE2791"/>
    <w:rsid w:val="48E97A98"/>
    <w:rsid w:val="48EA61B0"/>
    <w:rsid w:val="4906578A"/>
    <w:rsid w:val="491C6D80"/>
    <w:rsid w:val="491E072D"/>
    <w:rsid w:val="49377667"/>
    <w:rsid w:val="49407246"/>
    <w:rsid w:val="494E3029"/>
    <w:rsid w:val="495D1669"/>
    <w:rsid w:val="49657622"/>
    <w:rsid w:val="496C39A0"/>
    <w:rsid w:val="49742C18"/>
    <w:rsid w:val="498F7AAA"/>
    <w:rsid w:val="499D5803"/>
    <w:rsid w:val="49A37130"/>
    <w:rsid w:val="49BE4D4E"/>
    <w:rsid w:val="49D15056"/>
    <w:rsid w:val="49DB14DE"/>
    <w:rsid w:val="49F74595"/>
    <w:rsid w:val="49FA0B19"/>
    <w:rsid w:val="4A0E1E23"/>
    <w:rsid w:val="4A202A87"/>
    <w:rsid w:val="4A2C3FA0"/>
    <w:rsid w:val="4A317D73"/>
    <w:rsid w:val="4A337A76"/>
    <w:rsid w:val="4A6358D4"/>
    <w:rsid w:val="4A651633"/>
    <w:rsid w:val="4A701547"/>
    <w:rsid w:val="4A80549B"/>
    <w:rsid w:val="4A835120"/>
    <w:rsid w:val="4A915473"/>
    <w:rsid w:val="4AA85994"/>
    <w:rsid w:val="4AAC74AD"/>
    <w:rsid w:val="4ABD678F"/>
    <w:rsid w:val="4ABF1592"/>
    <w:rsid w:val="4AC501C2"/>
    <w:rsid w:val="4ACA2852"/>
    <w:rsid w:val="4ADC194B"/>
    <w:rsid w:val="4AEB2999"/>
    <w:rsid w:val="4B27317F"/>
    <w:rsid w:val="4B385395"/>
    <w:rsid w:val="4B4A6DC0"/>
    <w:rsid w:val="4B5C7C35"/>
    <w:rsid w:val="4B6A0D98"/>
    <w:rsid w:val="4B6B3106"/>
    <w:rsid w:val="4B7A7289"/>
    <w:rsid w:val="4B7E5E28"/>
    <w:rsid w:val="4BA37456"/>
    <w:rsid w:val="4BCA187F"/>
    <w:rsid w:val="4BE37E51"/>
    <w:rsid w:val="4BE74795"/>
    <w:rsid w:val="4BF447FB"/>
    <w:rsid w:val="4C0C0B24"/>
    <w:rsid w:val="4C4F5D4B"/>
    <w:rsid w:val="4C5625EA"/>
    <w:rsid w:val="4C582364"/>
    <w:rsid w:val="4C5C0098"/>
    <w:rsid w:val="4CAF5F49"/>
    <w:rsid w:val="4CB65B48"/>
    <w:rsid w:val="4CC127D6"/>
    <w:rsid w:val="4CCC0401"/>
    <w:rsid w:val="4CCE3651"/>
    <w:rsid w:val="4CDD4A49"/>
    <w:rsid w:val="4CF46849"/>
    <w:rsid w:val="4D181D5C"/>
    <w:rsid w:val="4D1E012E"/>
    <w:rsid w:val="4D2053C3"/>
    <w:rsid w:val="4D267CA4"/>
    <w:rsid w:val="4D314546"/>
    <w:rsid w:val="4D57252B"/>
    <w:rsid w:val="4D5D0B47"/>
    <w:rsid w:val="4D5E41A7"/>
    <w:rsid w:val="4D717058"/>
    <w:rsid w:val="4D74654F"/>
    <w:rsid w:val="4D7E582F"/>
    <w:rsid w:val="4D823799"/>
    <w:rsid w:val="4D9F0716"/>
    <w:rsid w:val="4DBF1FD1"/>
    <w:rsid w:val="4DC11AC7"/>
    <w:rsid w:val="4DC735B9"/>
    <w:rsid w:val="4DC77902"/>
    <w:rsid w:val="4DCD3F6A"/>
    <w:rsid w:val="4DDF759D"/>
    <w:rsid w:val="4DF228E9"/>
    <w:rsid w:val="4E1522C3"/>
    <w:rsid w:val="4E3261EB"/>
    <w:rsid w:val="4E5204C0"/>
    <w:rsid w:val="4E5E19A9"/>
    <w:rsid w:val="4E885EF8"/>
    <w:rsid w:val="4E8C1AF4"/>
    <w:rsid w:val="4E966AB9"/>
    <w:rsid w:val="4E9A78EB"/>
    <w:rsid w:val="4EC01E54"/>
    <w:rsid w:val="4EF2755F"/>
    <w:rsid w:val="4EFF147D"/>
    <w:rsid w:val="4F132E6F"/>
    <w:rsid w:val="4F27140C"/>
    <w:rsid w:val="4F3A5446"/>
    <w:rsid w:val="4F3C443A"/>
    <w:rsid w:val="4F3E3A3F"/>
    <w:rsid w:val="4F4844F1"/>
    <w:rsid w:val="4F63466C"/>
    <w:rsid w:val="4F8E68BB"/>
    <w:rsid w:val="4F9255EA"/>
    <w:rsid w:val="4FA00893"/>
    <w:rsid w:val="4FA51941"/>
    <w:rsid w:val="4FAA0FB0"/>
    <w:rsid w:val="4FCC56D6"/>
    <w:rsid w:val="4FE20ACC"/>
    <w:rsid w:val="4FEC4734"/>
    <w:rsid w:val="4FEC72FD"/>
    <w:rsid w:val="4FFB1BBA"/>
    <w:rsid w:val="50095C3D"/>
    <w:rsid w:val="500B48E2"/>
    <w:rsid w:val="5015713C"/>
    <w:rsid w:val="501C66C8"/>
    <w:rsid w:val="501E55E3"/>
    <w:rsid w:val="503570B8"/>
    <w:rsid w:val="504B76B4"/>
    <w:rsid w:val="50547AFD"/>
    <w:rsid w:val="505613BC"/>
    <w:rsid w:val="505911B0"/>
    <w:rsid w:val="506378F4"/>
    <w:rsid w:val="507F4D11"/>
    <w:rsid w:val="509F231C"/>
    <w:rsid w:val="50A85654"/>
    <w:rsid w:val="50AA06A4"/>
    <w:rsid w:val="50AC1773"/>
    <w:rsid w:val="50AE784F"/>
    <w:rsid w:val="50EE4043"/>
    <w:rsid w:val="51043A26"/>
    <w:rsid w:val="512B7CE8"/>
    <w:rsid w:val="512C1126"/>
    <w:rsid w:val="51300E8D"/>
    <w:rsid w:val="51400532"/>
    <w:rsid w:val="51411317"/>
    <w:rsid w:val="516B6A36"/>
    <w:rsid w:val="51747AB8"/>
    <w:rsid w:val="51884DE6"/>
    <w:rsid w:val="51AF444E"/>
    <w:rsid w:val="51AF568B"/>
    <w:rsid w:val="51BE09A5"/>
    <w:rsid w:val="51C17ABA"/>
    <w:rsid w:val="51C72940"/>
    <w:rsid w:val="51E876CB"/>
    <w:rsid w:val="51EC2403"/>
    <w:rsid w:val="51F02A62"/>
    <w:rsid w:val="51F35CF7"/>
    <w:rsid w:val="5211210C"/>
    <w:rsid w:val="522B2A45"/>
    <w:rsid w:val="52313A96"/>
    <w:rsid w:val="523F0C7D"/>
    <w:rsid w:val="524F0DA0"/>
    <w:rsid w:val="5259714F"/>
    <w:rsid w:val="525D37D6"/>
    <w:rsid w:val="52643FD5"/>
    <w:rsid w:val="526E4B7E"/>
    <w:rsid w:val="527B37DA"/>
    <w:rsid w:val="527D4E25"/>
    <w:rsid w:val="52945680"/>
    <w:rsid w:val="52A71F3E"/>
    <w:rsid w:val="52C1508F"/>
    <w:rsid w:val="52CD3B71"/>
    <w:rsid w:val="52D36B20"/>
    <w:rsid w:val="52DD7B19"/>
    <w:rsid w:val="52E61B19"/>
    <w:rsid w:val="52FD6CBA"/>
    <w:rsid w:val="53624F07"/>
    <w:rsid w:val="53657B35"/>
    <w:rsid w:val="538630F5"/>
    <w:rsid w:val="53A40D36"/>
    <w:rsid w:val="53B21FF5"/>
    <w:rsid w:val="53B420C1"/>
    <w:rsid w:val="53CB47FB"/>
    <w:rsid w:val="53F948EF"/>
    <w:rsid w:val="53FD6BB0"/>
    <w:rsid w:val="53FF427A"/>
    <w:rsid w:val="54015817"/>
    <w:rsid w:val="54047856"/>
    <w:rsid w:val="540A688B"/>
    <w:rsid w:val="541277AC"/>
    <w:rsid w:val="541770D4"/>
    <w:rsid w:val="541A0EDF"/>
    <w:rsid w:val="541E78FE"/>
    <w:rsid w:val="54284A47"/>
    <w:rsid w:val="542C53D0"/>
    <w:rsid w:val="543E7AB8"/>
    <w:rsid w:val="54520FF9"/>
    <w:rsid w:val="546122FA"/>
    <w:rsid w:val="54774646"/>
    <w:rsid w:val="548032AA"/>
    <w:rsid w:val="548804A7"/>
    <w:rsid w:val="54AF1FD9"/>
    <w:rsid w:val="54C31C1A"/>
    <w:rsid w:val="54E47843"/>
    <w:rsid w:val="54F848BC"/>
    <w:rsid w:val="55090EDC"/>
    <w:rsid w:val="550E4A5B"/>
    <w:rsid w:val="550F7C40"/>
    <w:rsid w:val="551D6FA8"/>
    <w:rsid w:val="554435BB"/>
    <w:rsid w:val="554A70C5"/>
    <w:rsid w:val="555350F9"/>
    <w:rsid w:val="555A0247"/>
    <w:rsid w:val="555D399A"/>
    <w:rsid w:val="556C4C67"/>
    <w:rsid w:val="55833C22"/>
    <w:rsid w:val="55AA6830"/>
    <w:rsid w:val="55C6537B"/>
    <w:rsid w:val="55E70476"/>
    <w:rsid w:val="55F44516"/>
    <w:rsid w:val="56091766"/>
    <w:rsid w:val="562F61A2"/>
    <w:rsid w:val="56650694"/>
    <w:rsid w:val="5683271B"/>
    <w:rsid w:val="569279E7"/>
    <w:rsid w:val="56B30727"/>
    <w:rsid w:val="56C12EF5"/>
    <w:rsid w:val="56C41EC9"/>
    <w:rsid w:val="56C504FD"/>
    <w:rsid w:val="56CC08D6"/>
    <w:rsid w:val="56D826CA"/>
    <w:rsid w:val="56DE4800"/>
    <w:rsid w:val="56E4350D"/>
    <w:rsid w:val="56F36FF7"/>
    <w:rsid w:val="56F56DE7"/>
    <w:rsid w:val="570E03BA"/>
    <w:rsid w:val="57107C55"/>
    <w:rsid w:val="571647D7"/>
    <w:rsid w:val="573473CB"/>
    <w:rsid w:val="57395216"/>
    <w:rsid w:val="573F341C"/>
    <w:rsid w:val="57483663"/>
    <w:rsid w:val="574D7C4C"/>
    <w:rsid w:val="575667E8"/>
    <w:rsid w:val="575768D0"/>
    <w:rsid w:val="575B7A72"/>
    <w:rsid w:val="57697BAC"/>
    <w:rsid w:val="576D0C31"/>
    <w:rsid w:val="577C64A6"/>
    <w:rsid w:val="57913B2D"/>
    <w:rsid w:val="579523C5"/>
    <w:rsid w:val="579905AB"/>
    <w:rsid w:val="57990C6A"/>
    <w:rsid w:val="57AD72E0"/>
    <w:rsid w:val="57BE1EE3"/>
    <w:rsid w:val="57C550FE"/>
    <w:rsid w:val="57D7071C"/>
    <w:rsid w:val="57ED5C5B"/>
    <w:rsid w:val="57F2691E"/>
    <w:rsid w:val="57FB5461"/>
    <w:rsid w:val="581B0FDB"/>
    <w:rsid w:val="5844305D"/>
    <w:rsid w:val="584728A3"/>
    <w:rsid w:val="585D7997"/>
    <w:rsid w:val="58627256"/>
    <w:rsid w:val="587C01F6"/>
    <w:rsid w:val="587D3DAB"/>
    <w:rsid w:val="58CE4167"/>
    <w:rsid w:val="58D070E1"/>
    <w:rsid w:val="58D43B49"/>
    <w:rsid w:val="58DD096F"/>
    <w:rsid w:val="58E21D72"/>
    <w:rsid w:val="58EB05C4"/>
    <w:rsid w:val="58EC28DB"/>
    <w:rsid w:val="58FF6620"/>
    <w:rsid w:val="59033BA4"/>
    <w:rsid w:val="590D105E"/>
    <w:rsid w:val="5918588A"/>
    <w:rsid w:val="59252F07"/>
    <w:rsid w:val="593B5BFF"/>
    <w:rsid w:val="594D5BD6"/>
    <w:rsid w:val="59553E67"/>
    <w:rsid w:val="596205A0"/>
    <w:rsid w:val="59634098"/>
    <w:rsid w:val="597053F2"/>
    <w:rsid w:val="59840EFE"/>
    <w:rsid w:val="598B424B"/>
    <w:rsid w:val="59A222C5"/>
    <w:rsid w:val="59B61EEB"/>
    <w:rsid w:val="59BF3082"/>
    <w:rsid w:val="59E90D94"/>
    <w:rsid w:val="59EC6A36"/>
    <w:rsid w:val="59F243B7"/>
    <w:rsid w:val="59F921BC"/>
    <w:rsid w:val="5A06101D"/>
    <w:rsid w:val="5A0751B0"/>
    <w:rsid w:val="5A1F7058"/>
    <w:rsid w:val="5A38044C"/>
    <w:rsid w:val="5A556A97"/>
    <w:rsid w:val="5A6523C9"/>
    <w:rsid w:val="5A676149"/>
    <w:rsid w:val="5A9F15B9"/>
    <w:rsid w:val="5A9F74AA"/>
    <w:rsid w:val="5AA06877"/>
    <w:rsid w:val="5AA273D2"/>
    <w:rsid w:val="5AAB30DB"/>
    <w:rsid w:val="5AB533FA"/>
    <w:rsid w:val="5AB90DF8"/>
    <w:rsid w:val="5AB97FC3"/>
    <w:rsid w:val="5AC44FE9"/>
    <w:rsid w:val="5ACA078A"/>
    <w:rsid w:val="5AD20EAD"/>
    <w:rsid w:val="5AE238FE"/>
    <w:rsid w:val="5AE668DC"/>
    <w:rsid w:val="5AEE107A"/>
    <w:rsid w:val="5AF94FB9"/>
    <w:rsid w:val="5B001DF9"/>
    <w:rsid w:val="5B494D44"/>
    <w:rsid w:val="5B6F68D7"/>
    <w:rsid w:val="5B8505A7"/>
    <w:rsid w:val="5BA80C42"/>
    <w:rsid w:val="5BA915DA"/>
    <w:rsid w:val="5BB15FE7"/>
    <w:rsid w:val="5BBD1572"/>
    <w:rsid w:val="5BC52024"/>
    <w:rsid w:val="5BCD661E"/>
    <w:rsid w:val="5BDB3398"/>
    <w:rsid w:val="5BDC6BB1"/>
    <w:rsid w:val="5BE16206"/>
    <w:rsid w:val="5BE87148"/>
    <w:rsid w:val="5BFB030A"/>
    <w:rsid w:val="5BFC04E6"/>
    <w:rsid w:val="5C0124D0"/>
    <w:rsid w:val="5C0138AC"/>
    <w:rsid w:val="5C076ACA"/>
    <w:rsid w:val="5C16638D"/>
    <w:rsid w:val="5C2C3115"/>
    <w:rsid w:val="5C2D657D"/>
    <w:rsid w:val="5C33300A"/>
    <w:rsid w:val="5C580471"/>
    <w:rsid w:val="5C8A3571"/>
    <w:rsid w:val="5C9F3C9C"/>
    <w:rsid w:val="5CA17FE3"/>
    <w:rsid w:val="5CA31409"/>
    <w:rsid w:val="5CB66649"/>
    <w:rsid w:val="5CCD5213"/>
    <w:rsid w:val="5CD45F2B"/>
    <w:rsid w:val="5CD873DD"/>
    <w:rsid w:val="5CFB29AA"/>
    <w:rsid w:val="5D060753"/>
    <w:rsid w:val="5D0957ED"/>
    <w:rsid w:val="5D0B65D6"/>
    <w:rsid w:val="5D1120EE"/>
    <w:rsid w:val="5D1624B3"/>
    <w:rsid w:val="5D2C2E29"/>
    <w:rsid w:val="5D3935A1"/>
    <w:rsid w:val="5D4778A4"/>
    <w:rsid w:val="5D5A2E1C"/>
    <w:rsid w:val="5D5E13EC"/>
    <w:rsid w:val="5D73543B"/>
    <w:rsid w:val="5D77172D"/>
    <w:rsid w:val="5D873189"/>
    <w:rsid w:val="5D945250"/>
    <w:rsid w:val="5D9B036E"/>
    <w:rsid w:val="5DAF29CB"/>
    <w:rsid w:val="5DAF629F"/>
    <w:rsid w:val="5DB5338C"/>
    <w:rsid w:val="5DC63D94"/>
    <w:rsid w:val="5DC801AD"/>
    <w:rsid w:val="5DCD429F"/>
    <w:rsid w:val="5DDA0384"/>
    <w:rsid w:val="5DE646F7"/>
    <w:rsid w:val="5DE976B5"/>
    <w:rsid w:val="5DEE233C"/>
    <w:rsid w:val="5DF75DEB"/>
    <w:rsid w:val="5DFE2C3A"/>
    <w:rsid w:val="5E105A63"/>
    <w:rsid w:val="5E235679"/>
    <w:rsid w:val="5E2B65A7"/>
    <w:rsid w:val="5E31642C"/>
    <w:rsid w:val="5E556920"/>
    <w:rsid w:val="5E946E45"/>
    <w:rsid w:val="5EA02AC5"/>
    <w:rsid w:val="5EA70E27"/>
    <w:rsid w:val="5EAF3F93"/>
    <w:rsid w:val="5EB12D40"/>
    <w:rsid w:val="5EBA6211"/>
    <w:rsid w:val="5EC724E8"/>
    <w:rsid w:val="5EC928D2"/>
    <w:rsid w:val="5EE16B67"/>
    <w:rsid w:val="5EED4E15"/>
    <w:rsid w:val="5F462585"/>
    <w:rsid w:val="5F4B5C8F"/>
    <w:rsid w:val="5F5766DB"/>
    <w:rsid w:val="5F5B1B3B"/>
    <w:rsid w:val="5F5D6D71"/>
    <w:rsid w:val="5F6C18EC"/>
    <w:rsid w:val="5F6E2FFA"/>
    <w:rsid w:val="5F6E3CFB"/>
    <w:rsid w:val="5F6F472D"/>
    <w:rsid w:val="5F9A6E45"/>
    <w:rsid w:val="5FC926F3"/>
    <w:rsid w:val="5FE34764"/>
    <w:rsid w:val="5FF75C82"/>
    <w:rsid w:val="600246EA"/>
    <w:rsid w:val="601A7528"/>
    <w:rsid w:val="60266899"/>
    <w:rsid w:val="602C2A32"/>
    <w:rsid w:val="60354EC0"/>
    <w:rsid w:val="603D4AF0"/>
    <w:rsid w:val="604F1DA0"/>
    <w:rsid w:val="60893D9E"/>
    <w:rsid w:val="60AD13B8"/>
    <w:rsid w:val="60B126A8"/>
    <w:rsid w:val="60DC5019"/>
    <w:rsid w:val="610B3FF5"/>
    <w:rsid w:val="61142C9D"/>
    <w:rsid w:val="611C6E40"/>
    <w:rsid w:val="61300E38"/>
    <w:rsid w:val="614916F1"/>
    <w:rsid w:val="615974FE"/>
    <w:rsid w:val="61604653"/>
    <w:rsid w:val="616D2556"/>
    <w:rsid w:val="616F68FE"/>
    <w:rsid w:val="6183185E"/>
    <w:rsid w:val="61872037"/>
    <w:rsid w:val="61881480"/>
    <w:rsid w:val="61B32DF5"/>
    <w:rsid w:val="61E579C1"/>
    <w:rsid w:val="620F29B3"/>
    <w:rsid w:val="621017AA"/>
    <w:rsid w:val="621A7870"/>
    <w:rsid w:val="62241669"/>
    <w:rsid w:val="62820B9B"/>
    <w:rsid w:val="629426CB"/>
    <w:rsid w:val="62B51502"/>
    <w:rsid w:val="62C55693"/>
    <w:rsid w:val="62D50505"/>
    <w:rsid w:val="63002ABE"/>
    <w:rsid w:val="631058DF"/>
    <w:rsid w:val="6312643C"/>
    <w:rsid w:val="631B2FE5"/>
    <w:rsid w:val="631F6588"/>
    <w:rsid w:val="63206931"/>
    <w:rsid w:val="6332109C"/>
    <w:rsid w:val="633324C5"/>
    <w:rsid w:val="634261D0"/>
    <w:rsid w:val="6356262B"/>
    <w:rsid w:val="635E1346"/>
    <w:rsid w:val="6360386F"/>
    <w:rsid w:val="63664315"/>
    <w:rsid w:val="636A746D"/>
    <w:rsid w:val="639A5838"/>
    <w:rsid w:val="63A9036D"/>
    <w:rsid w:val="63D87801"/>
    <w:rsid w:val="64231E98"/>
    <w:rsid w:val="642677A4"/>
    <w:rsid w:val="642E61B9"/>
    <w:rsid w:val="644210DE"/>
    <w:rsid w:val="644668D5"/>
    <w:rsid w:val="644E5E97"/>
    <w:rsid w:val="64511728"/>
    <w:rsid w:val="645769BF"/>
    <w:rsid w:val="6459374F"/>
    <w:rsid w:val="64774387"/>
    <w:rsid w:val="6496539A"/>
    <w:rsid w:val="64BF3ECB"/>
    <w:rsid w:val="64C7292B"/>
    <w:rsid w:val="64C91106"/>
    <w:rsid w:val="64CA2CB2"/>
    <w:rsid w:val="64D63F1B"/>
    <w:rsid w:val="64EC1A5A"/>
    <w:rsid w:val="64F534D0"/>
    <w:rsid w:val="64F555D1"/>
    <w:rsid w:val="651F1B54"/>
    <w:rsid w:val="651F6C39"/>
    <w:rsid w:val="65300BB2"/>
    <w:rsid w:val="653D0A90"/>
    <w:rsid w:val="6542793F"/>
    <w:rsid w:val="654A1597"/>
    <w:rsid w:val="65512EB5"/>
    <w:rsid w:val="6556148C"/>
    <w:rsid w:val="65796741"/>
    <w:rsid w:val="65A236BD"/>
    <w:rsid w:val="65C3298A"/>
    <w:rsid w:val="65D553CC"/>
    <w:rsid w:val="65DE21A3"/>
    <w:rsid w:val="65E250EA"/>
    <w:rsid w:val="65EF63F4"/>
    <w:rsid w:val="66096788"/>
    <w:rsid w:val="66150BA1"/>
    <w:rsid w:val="661643CE"/>
    <w:rsid w:val="661D1790"/>
    <w:rsid w:val="66451F6D"/>
    <w:rsid w:val="664B1E9E"/>
    <w:rsid w:val="664B323C"/>
    <w:rsid w:val="664C424E"/>
    <w:rsid w:val="664D173D"/>
    <w:rsid w:val="66672ABC"/>
    <w:rsid w:val="6685129C"/>
    <w:rsid w:val="668E12DE"/>
    <w:rsid w:val="66A6317C"/>
    <w:rsid w:val="66A77D14"/>
    <w:rsid w:val="66C551E2"/>
    <w:rsid w:val="66C709FE"/>
    <w:rsid w:val="66CE4719"/>
    <w:rsid w:val="66D54843"/>
    <w:rsid w:val="66E45AB4"/>
    <w:rsid w:val="66F05E68"/>
    <w:rsid w:val="66F215AA"/>
    <w:rsid w:val="66F46C4F"/>
    <w:rsid w:val="67094BB4"/>
    <w:rsid w:val="670F52BD"/>
    <w:rsid w:val="671D62A7"/>
    <w:rsid w:val="67215CE7"/>
    <w:rsid w:val="672E026A"/>
    <w:rsid w:val="67310C47"/>
    <w:rsid w:val="673F0438"/>
    <w:rsid w:val="67456DB8"/>
    <w:rsid w:val="675535E4"/>
    <w:rsid w:val="675E3F0D"/>
    <w:rsid w:val="675F013E"/>
    <w:rsid w:val="67663B8A"/>
    <w:rsid w:val="6775680A"/>
    <w:rsid w:val="677B3F77"/>
    <w:rsid w:val="6787055D"/>
    <w:rsid w:val="67923412"/>
    <w:rsid w:val="6792378F"/>
    <w:rsid w:val="67A84C9A"/>
    <w:rsid w:val="67B56F41"/>
    <w:rsid w:val="67BE5C13"/>
    <w:rsid w:val="67CA0161"/>
    <w:rsid w:val="67D27CC6"/>
    <w:rsid w:val="67E56FE9"/>
    <w:rsid w:val="67EE2C47"/>
    <w:rsid w:val="67F37323"/>
    <w:rsid w:val="68170D07"/>
    <w:rsid w:val="6817457F"/>
    <w:rsid w:val="68427293"/>
    <w:rsid w:val="684B21B1"/>
    <w:rsid w:val="685339C1"/>
    <w:rsid w:val="6855527D"/>
    <w:rsid w:val="686175A5"/>
    <w:rsid w:val="686758EE"/>
    <w:rsid w:val="68796087"/>
    <w:rsid w:val="68A85A40"/>
    <w:rsid w:val="68B87EED"/>
    <w:rsid w:val="68C50A3F"/>
    <w:rsid w:val="68D234F8"/>
    <w:rsid w:val="68DF3A9A"/>
    <w:rsid w:val="68FC780E"/>
    <w:rsid w:val="690A0AD0"/>
    <w:rsid w:val="6929137D"/>
    <w:rsid w:val="694202CA"/>
    <w:rsid w:val="696B2EEC"/>
    <w:rsid w:val="696D0F06"/>
    <w:rsid w:val="697C67DE"/>
    <w:rsid w:val="69820358"/>
    <w:rsid w:val="69825B73"/>
    <w:rsid w:val="699363AA"/>
    <w:rsid w:val="699E5454"/>
    <w:rsid w:val="69AB3BF6"/>
    <w:rsid w:val="69C66EBF"/>
    <w:rsid w:val="69CD4DA3"/>
    <w:rsid w:val="69CE4B86"/>
    <w:rsid w:val="69EA0780"/>
    <w:rsid w:val="69F0119C"/>
    <w:rsid w:val="6A185F53"/>
    <w:rsid w:val="6A227E48"/>
    <w:rsid w:val="6A250085"/>
    <w:rsid w:val="6A380059"/>
    <w:rsid w:val="6A387A12"/>
    <w:rsid w:val="6A474F36"/>
    <w:rsid w:val="6A562BC9"/>
    <w:rsid w:val="6A5E061F"/>
    <w:rsid w:val="6A7E6435"/>
    <w:rsid w:val="6A8B305F"/>
    <w:rsid w:val="6A8D6472"/>
    <w:rsid w:val="6A945B8F"/>
    <w:rsid w:val="6A9C0829"/>
    <w:rsid w:val="6A9F6CD8"/>
    <w:rsid w:val="6AB21455"/>
    <w:rsid w:val="6AE1107B"/>
    <w:rsid w:val="6AE77BA1"/>
    <w:rsid w:val="6AEB4A9D"/>
    <w:rsid w:val="6AF2236D"/>
    <w:rsid w:val="6AF942F9"/>
    <w:rsid w:val="6AFC5FBE"/>
    <w:rsid w:val="6B005721"/>
    <w:rsid w:val="6B074E40"/>
    <w:rsid w:val="6B130218"/>
    <w:rsid w:val="6B1750EC"/>
    <w:rsid w:val="6B4814DF"/>
    <w:rsid w:val="6B4B1601"/>
    <w:rsid w:val="6B572B50"/>
    <w:rsid w:val="6B587CDB"/>
    <w:rsid w:val="6B766AFA"/>
    <w:rsid w:val="6B996B52"/>
    <w:rsid w:val="6BBC1D7D"/>
    <w:rsid w:val="6BC01DA0"/>
    <w:rsid w:val="6BDD2873"/>
    <w:rsid w:val="6BE12881"/>
    <w:rsid w:val="6C0F674A"/>
    <w:rsid w:val="6C163BFE"/>
    <w:rsid w:val="6C233910"/>
    <w:rsid w:val="6C34629C"/>
    <w:rsid w:val="6C385F55"/>
    <w:rsid w:val="6C3E3F93"/>
    <w:rsid w:val="6C5A0347"/>
    <w:rsid w:val="6C5A337C"/>
    <w:rsid w:val="6C5B7FC6"/>
    <w:rsid w:val="6C6F09AC"/>
    <w:rsid w:val="6C8C04EB"/>
    <w:rsid w:val="6CDB6112"/>
    <w:rsid w:val="6CFD0C1F"/>
    <w:rsid w:val="6CFD709C"/>
    <w:rsid w:val="6D0D0121"/>
    <w:rsid w:val="6D3A4E4A"/>
    <w:rsid w:val="6D403694"/>
    <w:rsid w:val="6D456594"/>
    <w:rsid w:val="6D655AFD"/>
    <w:rsid w:val="6D803150"/>
    <w:rsid w:val="6D8A6DD9"/>
    <w:rsid w:val="6D8F69D9"/>
    <w:rsid w:val="6D9E2694"/>
    <w:rsid w:val="6DA2159C"/>
    <w:rsid w:val="6DBE31A7"/>
    <w:rsid w:val="6DC8339E"/>
    <w:rsid w:val="6DDA249D"/>
    <w:rsid w:val="6DED31BA"/>
    <w:rsid w:val="6DEF32BC"/>
    <w:rsid w:val="6E0B4D58"/>
    <w:rsid w:val="6E1537CF"/>
    <w:rsid w:val="6E1F2E3B"/>
    <w:rsid w:val="6E3C43ED"/>
    <w:rsid w:val="6E427CC0"/>
    <w:rsid w:val="6E4D06C0"/>
    <w:rsid w:val="6E6E3225"/>
    <w:rsid w:val="6E855FDC"/>
    <w:rsid w:val="6E8E68F7"/>
    <w:rsid w:val="6E8E70A1"/>
    <w:rsid w:val="6E91342F"/>
    <w:rsid w:val="6EE34AEB"/>
    <w:rsid w:val="6EEB0794"/>
    <w:rsid w:val="6EF26326"/>
    <w:rsid w:val="6F010E0F"/>
    <w:rsid w:val="6F02627F"/>
    <w:rsid w:val="6F0316AA"/>
    <w:rsid w:val="6F0B5321"/>
    <w:rsid w:val="6F106CE1"/>
    <w:rsid w:val="6F3F1F9C"/>
    <w:rsid w:val="6F552EF6"/>
    <w:rsid w:val="6F5661B4"/>
    <w:rsid w:val="6F6824D9"/>
    <w:rsid w:val="6F683B7A"/>
    <w:rsid w:val="6F68412A"/>
    <w:rsid w:val="6F805EB3"/>
    <w:rsid w:val="6F88675D"/>
    <w:rsid w:val="6F9942EE"/>
    <w:rsid w:val="6F9A7E36"/>
    <w:rsid w:val="6FB97FF8"/>
    <w:rsid w:val="6FC72A33"/>
    <w:rsid w:val="6FCF548B"/>
    <w:rsid w:val="6FDF1A89"/>
    <w:rsid w:val="6FE224CA"/>
    <w:rsid w:val="6FE9634B"/>
    <w:rsid w:val="6FEA76A2"/>
    <w:rsid w:val="6FFE1F0B"/>
    <w:rsid w:val="70051FA8"/>
    <w:rsid w:val="702974F0"/>
    <w:rsid w:val="702B21D8"/>
    <w:rsid w:val="7032152B"/>
    <w:rsid w:val="703A59D4"/>
    <w:rsid w:val="703C4979"/>
    <w:rsid w:val="704A7A8A"/>
    <w:rsid w:val="705C65D0"/>
    <w:rsid w:val="705F6CFD"/>
    <w:rsid w:val="707A13C8"/>
    <w:rsid w:val="70A55C8A"/>
    <w:rsid w:val="70C57EA4"/>
    <w:rsid w:val="70D85E05"/>
    <w:rsid w:val="70DA4EAD"/>
    <w:rsid w:val="70EC7944"/>
    <w:rsid w:val="70ED4444"/>
    <w:rsid w:val="70EF2EE2"/>
    <w:rsid w:val="70EF3677"/>
    <w:rsid w:val="70F63175"/>
    <w:rsid w:val="70FC62E0"/>
    <w:rsid w:val="712F255F"/>
    <w:rsid w:val="71426D94"/>
    <w:rsid w:val="71434A1C"/>
    <w:rsid w:val="714F62CD"/>
    <w:rsid w:val="71611D9A"/>
    <w:rsid w:val="716B1DBE"/>
    <w:rsid w:val="719B4D77"/>
    <w:rsid w:val="71B77817"/>
    <w:rsid w:val="71BC12AD"/>
    <w:rsid w:val="71C8324E"/>
    <w:rsid w:val="71C86352"/>
    <w:rsid w:val="71C943EB"/>
    <w:rsid w:val="71D0570B"/>
    <w:rsid w:val="71E30AB1"/>
    <w:rsid w:val="71E713AB"/>
    <w:rsid w:val="71FE3EB1"/>
    <w:rsid w:val="72157AB2"/>
    <w:rsid w:val="722430AE"/>
    <w:rsid w:val="72375893"/>
    <w:rsid w:val="724667CF"/>
    <w:rsid w:val="72525688"/>
    <w:rsid w:val="72550F66"/>
    <w:rsid w:val="727E30FA"/>
    <w:rsid w:val="72841A24"/>
    <w:rsid w:val="7285379E"/>
    <w:rsid w:val="728B2647"/>
    <w:rsid w:val="729B148D"/>
    <w:rsid w:val="72C473CF"/>
    <w:rsid w:val="72D61C90"/>
    <w:rsid w:val="72E72BD6"/>
    <w:rsid w:val="72EA7358"/>
    <w:rsid w:val="72EB5BF5"/>
    <w:rsid w:val="72F52208"/>
    <w:rsid w:val="72F73F78"/>
    <w:rsid w:val="7305097D"/>
    <w:rsid w:val="730C02F6"/>
    <w:rsid w:val="73110219"/>
    <w:rsid w:val="7313369C"/>
    <w:rsid w:val="73142582"/>
    <w:rsid w:val="73150CFA"/>
    <w:rsid w:val="731B7996"/>
    <w:rsid w:val="735D1F70"/>
    <w:rsid w:val="73785A20"/>
    <w:rsid w:val="7382454E"/>
    <w:rsid w:val="7389296E"/>
    <w:rsid w:val="738C7EA9"/>
    <w:rsid w:val="739706E0"/>
    <w:rsid w:val="73A155BC"/>
    <w:rsid w:val="73B72198"/>
    <w:rsid w:val="73BC6500"/>
    <w:rsid w:val="73EE54D4"/>
    <w:rsid w:val="740754A1"/>
    <w:rsid w:val="74223018"/>
    <w:rsid w:val="742452CA"/>
    <w:rsid w:val="74316752"/>
    <w:rsid w:val="745E4F17"/>
    <w:rsid w:val="745F5C6C"/>
    <w:rsid w:val="7476398D"/>
    <w:rsid w:val="7484272A"/>
    <w:rsid w:val="74A64CB6"/>
    <w:rsid w:val="74CC375E"/>
    <w:rsid w:val="74D079FB"/>
    <w:rsid w:val="74D30BB6"/>
    <w:rsid w:val="74D725ED"/>
    <w:rsid w:val="74DB40A0"/>
    <w:rsid w:val="74EF00C7"/>
    <w:rsid w:val="74F14575"/>
    <w:rsid w:val="74F66C8E"/>
    <w:rsid w:val="75144724"/>
    <w:rsid w:val="751D7CFB"/>
    <w:rsid w:val="7541474B"/>
    <w:rsid w:val="755547E1"/>
    <w:rsid w:val="7559457B"/>
    <w:rsid w:val="756F6C39"/>
    <w:rsid w:val="7577074D"/>
    <w:rsid w:val="759230B5"/>
    <w:rsid w:val="75C127CE"/>
    <w:rsid w:val="75C55B3B"/>
    <w:rsid w:val="75DB11A1"/>
    <w:rsid w:val="75E51A23"/>
    <w:rsid w:val="75F4069A"/>
    <w:rsid w:val="76183A1A"/>
    <w:rsid w:val="76402DC8"/>
    <w:rsid w:val="76460040"/>
    <w:rsid w:val="764933BA"/>
    <w:rsid w:val="765A0B8D"/>
    <w:rsid w:val="766E4F08"/>
    <w:rsid w:val="76777821"/>
    <w:rsid w:val="76863D9B"/>
    <w:rsid w:val="76910F80"/>
    <w:rsid w:val="769D3B60"/>
    <w:rsid w:val="76A2563E"/>
    <w:rsid w:val="76A32983"/>
    <w:rsid w:val="76B460F3"/>
    <w:rsid w:val="770F33E9"/>
    <w:rsid w:val="77224314"/>
    <w:rsid w:val="777729A5"/>
    <w:rsid w:val="777A3A37"/>
    <w:rsid w:val="778F3D2D"/>
    <w:rsid w:val="77C7092D"/>
    <w:rsid w:val="77CD3211"/>
    <w:rsid w:val="77DC6521"/>
    <w:rsid w:val="77DE08A2"/>
    <w:rsid w:val="77F8459F"/>
    <w:rsid w:val="78276B55"/>
    <w:rsid w:val="782E6174"/>
    <w:rsid w:val="78330811"/>
    <w:rsid w:val="78651C25"/>
    <w:rsid w:val="787335EA"/>
    <w:rsid w:val="787E6ADB"/>
    <w:rsid w:val="788127B2"/>
    <w:rsid w:val="78870D1F"/>
    <w:rsid w:val="789265EF"/>
    <w:rsid w:val="789476D1"/>
    <w:rsid w:val="78C35E86"/>
    <w:rsid w:val="78CD1673"/>
    <w:rsid w:val="78F334DE"/>
    <w:rsid w:val="790616CC"/>
    <w:rsid w:val="790F0BB2"/>
    <w:rsid w:val="7926264A"/>
    <w:rsid w:val="79352A48"/>
    <w:rsid w:val="7941677D"/>
    <w:rsid w:val="79471DF8"/>
    <w:rsid w:val="79550BFC"/>
    <w:rsid w:val="79883AFE"/>
    <w:rsid w:val="7988514B"/>
    <w:rsid w:val="799028A5"/>
    <w:rsid w:val="79AD0077"/>
    <w:rsid w:val="79D315E5"/>
    <w:rsid w:val="79E53CDE"/>
    <w:rsid w:val="79EC4D78"/>
    <w:rsid w:val="7A0E3925"/>
    <w:rsid w:val="7A386879"/>
    <w:rsid w:val="7A3A76EA"/>
    <w:rsid w:val="7A466659"/>
    <w:rsid w:val="7A5C349E"/>
    <w:rsid w:val="7A6D57C3"/>
    <w:rsid w:val="7A727D58"/>
    <w:rsid w:val="7A865ADD"/>
    <w:rsid w:val="7A8B288E"/>
    <w:rsid w:val="7A952AF9"/>
    <w:rsid w:val="7A9F1970"/>
    <w:rsid w:val="7AA92EC4"/>
    <w:rsid w:val="7AAC457B"/>
    <w:rsid w:val="7AB82C0D"/>
    <w:rsid w:val="7ABB0FE8"/>
    <w:rsid w:val="7AD070C4"/>
    <w:rsid w:val="7AE9186E"/>
    <w:rsid w:val="7AF11582"/>
    <w:rsid w:val="7AF33A7B"/>
    <w:rsid w:val="7AF54880"/>
    <w:rsid w:val="7AF95668"/>
    <w:rsid w:val="7AFA0526"/>
    <w:rsid w:val="7B2A74A2"/>
    <w:rsid w:val="7B406788"/>
    <w:rsid w:val="7B4C3F5E"/>
    <w:rsid w:val="7B666FC2"/>
    <w:rsid w:val="7B6804EA"/>
    <w:rsid w:val="7B6903A3"/>
    <w:rsid w:val="7B6D168B"/>
    <w:rsid w:val="7B7545F0"/>
    <w:rsid w:val="7B8D3E03"/>
    <w:rsid w:val="7B9C6D17"/>
    <w:rsid w:val="7BA32C38"/>
    <w:rsid w:val="7BA915E2"/>
    <w:rsid w:val="7BAB0C8A"/>
    <w:rsid w:val="7BB77012"/>
    <w:rsid w:val="7BC14729"/>
    <w:rsid w:val="7BC4035E"/>
    <w:rsid w:val="7BC86F79"/>
    <w:rsid w:val="7BD43EC1"/>
    <w:rsid w:val="7BD47394"/>
    <w:rsid w:val="7BEF38E2"/>
    <w:rsid w:val="7C2415C8"/>
    <w:rsid w:val="7C2E6696"/>
    <w:rsid w:val="7C2F7E7A"/>
    <w:rsid w:val="7C3E5882"/>
    <w:rsid w:val="7C4F1236"/>
    <w:rsid w:val="7C506134"/>
    <w:rsid w:val="7C536A44"/>
    <w:rsid w:val="7C5D3857"/>
    <w:rsid w:val="7C6256BC"/>
    <w:rsid w:val="7C7271D9"/>
    <w:rsid w:val="7C8B2D31"/>
    <w:rsid w:val="7CA32675"/>
    <w:rsid w:val="7CBD354E"/>
    <w:rsid w:val="7CC61DE1"/>
    <w:rsid w:val="7CC93C9C"/>
    <w:rsid w:val="7CEA29B6"/>
    <w:rsid w:val="7CEF5227"/>
    <w:rsid w:val="7CFD6602"/>
    <w:rsid w:val="7D075223"/>
    <w:rsid w:val="7D0E3EBB"/>
    <w:rsid w:val="7D1E33A0"/>
    <w:rsid w:val="7D254946"/>
    <w:rsid w:val="7D3A7CD2"/>
    <w:rsid w:val="7D4B5F6B"/>
    <w:rsid w:val="7D595A63"/>
    <w:rsid w:val="7D7F01FE"/>
    <w:rsid w:val="7DAB5C56"/>
    <w:rsid w:val="7DB73667"/>
    <w:rsid w:val="7DB74DD2"/>
    <w:rsid w:val="7DBF5218"/>
    <w:rsid w:val="7DDA624D"/>
    <w:rsid w:val="7DEC363C"/>
    <w:rsid w:val="7E0B6246"/>
    <w:rsid w:val="7E37779B"/>
    <w:rsid w:val="7E4D4A1F"/>
    <w:rsid w:val="7E61204A"/>
    <w:rsid w:val="7E646252"/>
    <w:rsid w:val="7E857A9B"/>
    <w:rsid w:val="7E861126"/>
    <w:rsid w:val="7E8F10D1"/>
    <w:rsid w:val="7E9E4DBB"/>
    <w:rsid w:val="7EB50716"/>
    <w:rsid w:val="7EDA7E57"/>
    <w:rsid w:val="7EE022EB"/>
    <w:rsid w:val="7EE94656"/>
    <w:rsid w:val="7EF85981"/>
    <w:rsid w:val="7F073841"/>
    <w:rsid w:val="7F2A2BDA"/>
    <w:rsid w:val="7F6C3CC4"/>
    <w:rsid w:val="7F7846EA"/>
    <w:rsid w:val="7F7A73C4"/>
    <w:rsid w:val="7F993B12"/>
    <w:rsid w:val="7FA52250"/>
    <w:rsid w:val="7FB45C6D"/>
    <w:rsid w:val="7FB55354"/>
    <w:rsid w:val="7FB6536B"/>
    <w:rsid w:val="7FBA3C32"/>
    <w:rsid w:val="7FBB2E91"/>
    <w:rsid w:val="7FD058AA"/>
    <w:rsid w:val="7FD36B3B"/>
    <w:rsid w:val="7FDB4210"/>
    <w:rsid w:val="7FDB4BAE"/>
    <w:rsid w:val="7FDF5458"/>
    <w:rsid w:val="7FEC2452"/>
    <w:rsid w:val="7FF94E1A"/>
    <w:rsid w:val="7FFD0FE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4"/>
    <w:qFormat/>
    <w:uiPriority w:val="99"/>
    <w:pPr>
      <w:jc w:val="center"/>
    </w:pPr>
    <w:rPr>
      <w:rFonts w:ascii="Times New Roman" w:hAnsi="Times New Roman" w:eastAsia="黑体" w:cs="Times New Roman"/>
      <w:sz w:val="44"/>
      <w:szCs w:val="44"/>
    </w:rPr>
  </w:style>
  <w:style w:type="paragraph" w:styleId="3">
    <w:name w:val="Document Map"/>
    <w:basedOn w:val="1"/>
    <w:link w:val="13"/>
    <w:semiHidden/>
    <w:qFormat/>
    <w:uiPriority w:val="99"/>
    <w:pPr>
      <w:shd w:val="clear" w:color="auto" w:fill="000080"/>
    </w:pPr>
  </w:style>
  <w:style w:type="paragraph" w:styleId="4">
    <w:name w:val="Plain Text"/>
    <w:basedOn w:val="1"/>
    <w:link w:val="15"/>
    <w:qFormat/>
    <w:uiPriority w:val="99"/>
    <w:pPr>
      <w:widowControl/>
      <w:spacing w:before="100" w:beforeAutospacing="1" w:after="100" w:afterAutospacing="1"/>
      <w:jc w:val="left"/>
    </w:pPr>
    <w:rPr>
      <w:rFonts w:ascii="宋体" w:hAnsi="宋体" w:cs="宋体"/>
      <w:color w:val="000000"/>
      <w:kern w:val="0"/>
      <w:sz w:val="24"/>
      <w:szCs w:val="24"/>
    </w:rPr>
  </w:style>
  <w:style w:type="paragraph" w:styleId="5">
    <w:name w:val="Balloon Text"/>
    <w:basedOn w:val="1"/>
    <w:link w:val="16"/>
    <w:semiHidden/>
    <w:qFormat/>
    <w:uiPriority w:val="99"/>
    <w:rPr>
      <w:sz w:val="16"/>
      <w:szCs w:val="16"/>
    </w:rPr>
  </w:style>
  <w:style w:type="paragraph" w:styleId="6">
    <w:name w:val="footer"/>
    <w:basedOn w:val="1"/>
    <w:link w:val="17"/>
    <w:qFormat/>
    <w:uiPriority w:val="99"/>
    <w:pPr>
      <w:tabs>
        <w:tab w:val="center" w:pos="4153"/>
        <w:tab w:val="right" w:pos="8306"/>
      </w:tabs>
      <w:snapToGrid w:val="0"/>
      <w:jc w:val="left"/>
    </w:pPr>
    <w:rPr>
      <w:sz w:val="18"/>
      <w:szCs w:val="18"/>
    </w:rPr>
  </w:style>
  <w:style w:type="paragraph" w:styleId="7">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spacing w:beforeAutospacing="1" w:afterAutospacing="1"/>
      <w:jc w:val="left"/>
    </w:pPr>
    <w:rPr>
      <w:kern w:val="0"/>
      <w:sz w:val="24"/>
      <w:szCs w:val="24"/>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99"/>
  </w:style>
  <w:style w:type="character" w:customStyle="1" w:styleId="13">
    <w:name w:val="文档结构图 Char"/>
    <w:basedOn w:val="11"/>
    <w:link w:val="3"/>
    <w:semiHidden/>
    <w:qFormat/>
    <w:locked/>
    <w:uiPriority w:val="99"/>
    <w:rPr>
      <w:sz w:val="2"/>
      <w:szCs w:val="2"/>
    </w:rPr>
  </w:style>
  <w:style w:type="character" w:customStyle="1" w:styleId="14">
    <w:name w:val="正文文本 Char"/>
    <w:basedOn w:val="11"/>
    <w:link w:val="2"/>
    <w:semiHidden/>
    <w:qFormat/>
    <w:locked/>
    <w:uiPriority w:val="99"/>
    <w:rPr>
      <w:rFonts w:ascii="Calibri" w:hAnsi="Calibri" w:cs="Calibri"/>
    </w:rPr>
  </w:style>
  <w:style w:type="character" w:customStyle="1" w:styleId="15">
    <w:name w:val="纯文本 Char"/>
    <w:basedOn w:val="11"/>
    <w:link w:val="4"/>
    <w:qFormat/>
    <w:locked/>
    <w:uiPriority w:val="99"/>
    <w:rPr>
      <w:rFonts w:ascii="宋体" w:hAnsi="Courier New" w:cs="宋体"/>
      <w:sz w:val="21"/>
      <w:szCs w:val="21"/>
    </w:rPr>
  </w:style>
  <w:style w:type="character" w:customStyle="1" w:styleId="16">
    <w:name w:val="批注框文本 Char"/>
    <w:basedOn w:val="11"/>
    <w:link w:val="5"/>
    <w:semiHidden/>
    <w:qFormat/>
    <w:locked/>
    <w:uiPriority w:val="99"/>
    <w:rPr>
      <w:sz w:val="16"/>
      <w:szCs w:val="16"/>
    </w:rPr>
  </w:style>
  <w:style w:type="character" w:customStyle="1" w:styleId="17">
    <w:name w:val="页脚 Char"/>
    <w:basedOn w:val="11"/>
    <w:link w:val="6"/>
    <w:qFormat/>
    <w:locked/>
    <w:uiPriority w:val="99"/>
    <w:rPr>
      <w:rFonts w:ascii="Calibri" w:hAnsi="Calibri" w:cs="Calibri"/>
      <w:kern w:val="2"/>
      <w:sz w:val="18"/>
      <w:szCs w:val="18"/>
    </w:rPr>
  </w:style>
  <w:style w:type="character" w:customStyle="1" w:styleId="18">
    <w:name w:val="页眉 Char"/>
    <w:basedOn w:val="11"/>
    <w:link w:val="7"/>
    <w:semiHidden/>
    <w:qFormat/>
    <w:locked/>
    <w:uiPriority w:val="99"/>
    <w:rPr>
      <w:rFonts w:ascii="Calibri" w:hAnsi="Calibri" w:cs="Calibri"/>
      <w:sz w:val="18"/>
      <w:szCs w:val="18"/>
    </w:rPr>
  </w:style>
  <w:style w:type="paragraph" w:customStyle="1" w:styleId="19">
    <w:name w:val="默认段落字体 Para Char Char Char Char Char Char Char Char Char Char Char Char Char Char Char1 Char Char Char Char"/>
    <w:basedOn w:val="3"/>
    <w:qFormat/>
    <w:uiPriority w:val="99"/>
    <w:pPr>
      <w:adjustRightInd w:val="0"/>
      <w:spacing w:line="436" w:lineRule="exact"/>
      <w:ind w:left="357"/>
      <w:jc w:val="left"/>
      <w:outlineLvl w:val="3"/>
    </w:pPr>
    <w:rPr>
      <w:rFonts w:ascii="Tahoma" w:hAnsi="Tahoma" w:cs="Tahoma"/>
      <w:b/>
      <w:bCs/>
      <w:sz w:val="24"/>
      <w:szCs w:val="24"/>
    </w:rPr>
  </w:style>
  <w:style w:type="paragraph" w:styleId="20">
    <w:name w:val="List Paragraph"/>
    <w:basedOn w:val="1"/>
    <w:qFormat/>
    <w:uiPriority w:val="99"/>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4098"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83BA7E-C2F6-4C05-930E-1D02F8B16FC8}">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33</Pages>
  <Words>14828</Words>
  <Characters>15675</Characters>
  <Lines>118</Lines>
  <Paragraphs>33</Paragraphs>
  <TotalTime>23</TotalTime>
  <ScaleCrop>false</ScaleCrop>
  <LinksUpToDate>false</LinksUpToDate>
  <CharactersWithSpaces>15898</CharactersWithSpaces>
  <Application>WPS Office_11.1.0.9998_F1E327BC-269C-435d-A152-05C5408002CA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2020-01-15T01:08:00Z</dcterms:created>
  <dc:creator>who</dc:creator>
  <cp:lastModifiedBy>merry</cp:lastModifiedBy>
  <cp:lastPrinted>2020-12-13T11:36:29Z</cp:lastPrinted>
  <dcterms:modified xsi:type="dcterms:W3CDTF">2020-12-13T11:36:44Z</dcterms:modified>
  <cp:revision>1126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2052-11.1.0.9998</vt:lpwstr>
  </property>
</Properties>
</file>