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textAlignment w:val="auto"/>
        <w:rPr>
          <w:rFonts w:hint="eastAsia"/>
          <w:lang w:val="en-US" w:eastAsia="zh-CN"/>
        </w:rPr>
      </w:pPr>
      <w:r>
        <w:rPr>
          <w:rFonts w:hint="eastAsia"/>
          <w:lang w:val="en-US" w:eastAsia="zh-CN"/>
        </w:rPr>
        <w:t>张店区人民政府办公室2024年政府信息公开工作年度报告</w:t>
      </w:r>
    </w:p>
    <w:p>
      <w:pPr>
        <w:rPr>
          <w:rFonts w:hint="eastAsia"/>
          <w:lang w:val="en-US" w:eastAsia="zh-CN"/>
        </w:rPr>
      </w:pPr>
    </w:p>
    <w:p>
      <w:pPr>
        <w:rPr>
          <w:rFonts w:hint="eastAsia"/>
          <w:lang w:val="en-US" w:eastAsia="zh-CN"/>
        </w:rPr>
      </w:pPr>
      <w:r>
        <w:rPr>
          <w:rFonts w:hint="default"/>
          <w:lang w:val="en-US" w:eastAsia="zh-CN"/>
        </w:rPr>
        <w:t>本年度报告中所列数据的统计期限自2024年1月1日起，至2024年12月31日止。如对报告内容有疑问，请与张店区人民政府办公室联系（地址：淄博市张店区新村西路226号区政务中心；邮编：255022；联系电话：0533-2869836</w:t>
      </w:r>
      <w:r>
        <w:rPr>
          <w:rFonts w:hint="eastAsia"/>
          <w:lang w:val="en-US" w:eastAsia="zh-CN"/>
        </w:rPr>
        <w:t>；电子邮箱：zdzwgk@zb.shandong.cn</w:t>
      </w:r>
      <w:r>
        <w:rPr>
          <w:rFonts w:hint="default"/>
          <w:lang w:val="en-US" w:eastAsia="zh-CN"/>
        </w:rPr>
        <w:t>）</w:t>
      </w:r>
      <w:r>
        <w:rPr>
          <w:rFonts w:hint="eastAsia"/>
          <w:lang w:val="en-US" w:eastAsia="zh-CN"/>
        </w:rPr>
        <w:t>。</w:t>
      </w:r>
    </w:p>
    <w:p>
      <w:pPr>
        <w:numPr>
          <w:ilvl w:val="0"/>
          <w:numId w:val="0"/>
        </w:numPr>
        <w:ind w:firstLine="640" w:firstLineChars="200"/>
        <w:rPr>
          <w:rFonts w:hint="eastAsia" w:eastAsia="黑体"/>
          <w:sz w:val="32"/>
          <w:lang w:val="en-US" w:eastAsia="zh-CN"/>
        </w:rPr>
      </w:pPr>
      <w:r>
        <w:rPr>
          <w:rFonts w:hint="eastAsia" w:ascii="Times New Roman" w:hAnsi="Times New Roman" w:eastAsia="黑体" w:cstheme="minorBidi"/>
          <w:kern w:val="2"/>
          <w:sz w:val="32"/>
          <w:szCs w:val="24"/>
          <w:lang w:val="en-US" w:eastAsia="zh-CN" w:bidi="ar-SA"/>
        </w:rPr>
        <w:t>一、</w:t>
      </w:r>
      <w:r>
        <w:rPr>
          <w:rFonts w:hint="eastAsia" w:eastAsia="黑体"/>
          <w:sz w:val="32"/>
          <w:lang w:val="en-US" w:eastAsia="zh-CN"/>
        </w:rPr>
        <w:t>总体情况</w:t>
      </w:r>
    </w:p>
    <w:p>
      <w:pPr>
        <w:numPr>
          <w:ilvl w:val="0"/>
          <w:numId w:val="0"/>
        </w:numPr>
        <w:ind w:firstLine="640"/>
        <w:rPr>
          <w:rFonts w:hint="eastAsia" w:cs="Times New Roman"/>
          <w:sz w:val="32"/>
          <w:szCs w:val="32"/>
          <w:lang w:val="en-US" w:eastAsia="zh-CN"/>
        </w:rPr>
      </w:pPr>
      <w:r>
        <w:rPr>
          <w:rFonts w:hint="eastAsia" w:cs="Times New Roman"/>
          <w:sz w:val="32"/>
          <w:szCs w:val="32"/>
          <w:lang w:val="en-US" w:eastAsia="zh-CN"/>
        </w:rPr>
        <w:t>2024年，区政府办公室坚持以习近平新时代中国特色社会主义思想为指导，全面贯彻落实党的二十大和二十届二中、三中全会精神，认真贯彻落实《中华人民共和国政府信息公开条例》要求，坚持以人民为中心，着力在深化政府信息主动公开、强化政务公开平台建设、创新政策解读方式等方面优化工作机制、提升工作水平，以高质量公开助推高质量发展。</w:t>
      </w:r>
    </w:p>
    <w:p>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（一）持续加大政府信息主动公开力度</w:t>
      </w:r>
    </w:p>
    <w:p>
      <w:pPr>
        <w:numPr>
          <w:ilvl w:val="0"/>
          <w:numId w:val="0"/>
        </w:numPr>
        <w:ind w:firstLine="642" w:firstLineChars="200"/>
        <w:rPr>
          <w:rFonts w:hint="eastAsia" w:ascii="Times New Roman" w:hAnsi="Times New Roman" w:cs="仿宋_GB2312"/>
          <w:sz w:val="32"/>
          <w:szCs w:val="32"/>
          <w:lang w:val="en-US" w:eastAsia="zh-CN"/>
        </w:rPr>
      </w:pPr>
      <w:r>
        <w:rPr>
          <w:rFonts w:hint="eastAsia" w:cs="Times New Roman"/>
          <w:b/>
          <w:bCs/>
          <w:sz w:val="32"/>
          <w:szCs w:val="32"/>
          <w:lang w:val="en-US" w:eastAsia="zh-CN"/>
        </w:rPr>
        <w:t>一是聚焦法定主动公开内容，深化政府信息公开</w:t>
      </w:r>
      <w:r>
        <w:rPr>
          <w:rFonts w:hint="eastAsia" w:cs="Times New Roman"/>
          <w:sz w:val="32"/>
          <w:szCs w:val="32"/>
          <w:lang w:val="en-US" w:eastAsia="zh-CN"/>
        </w:rPr>
        <w:t>。根据省、市工作要求，制定《2024年张店区政务公开工作方案》为年度工作指引，将公开重点放在高水平开放、高质量招商引资、社会治理精细化、人民群众生活品质提高等工作方面，围绕“营商环境提升年”工作主线，发挥以公开促落实、优服务、强监管作用。2024年，</w:t>
      </w:r>
      <w:r>
        <w:rPr>
          <w:rFonts w:hint="eastAsia" w:cs="Times New Roman"/>
          <w:sz w:val="32"/>
          <w:szCs w:val="32"/>
          <w:highlight w:val="none"/>
          <w:lang w:val="en-US" w:eastAsia="zh-CN"/>
        </w:rPr>
        <w:t>全区政府信息公开成员单位在区政府门户网站公开各类政府信息6458条，其中信息公开目录信息更新量5233条</w:t>
      </w:r>
      <w:r>
        <w:rPr>
          <w:rFonts w:hint="eastAsia" w:cs="Times New Roman"/>
          <w:sz w:val="32"/>
          <w:szCs w:val="32"/>
          <w:lang w:val="en-US" w:eastAsia="zh-CN"/>
        </w:rPr>
        <w:t>。</w:t>
      </w:r>
      <w:r>
        <w:rPr>
          <w:rFonts w:hint="eastAsia" w:cs="Times New Roman"/>
          <w:b/>
          <w:bCs/>
          <w:sz w:val="32"/>
          <w:szCs w:val="32"/>
          <w:lang w:val="en-US" w:eastAsia="zh-CN"/>
        </w:rPr>
        <w:t>二是提升解读率，解读形式向个性化倾斜。</w:t>
      </w:r>
      <w:r>
        <w:rPr>
          <w:rFonts w:hint="eastAsia" w:cs="Times New Roman"/>
          <w:sz w:val="32"/>
          <w:szCs w:val="32"/>
          <w:lang w:val="en-US" w:eastAsia="zh-CN"/>
        </w:rPr>
        <w:t>根据《2024年山东省政务公开效能监测实施方案》文件要求，不断提升重要政策文件解读率，</w:t>
      </w:r>
      <w:r>
        <w:rPr>
          <w:rFonts w:hint="eastAsia" w:cs="Times New Roman"/>
          <w:sz w:val="32"/>
          <w:szCs w:val="32"/>
          <w:highlight w:val="none"/>
          <w:lang w:val="en-US" w:eastAsia="zh-CN"/>
        </w:rPr>
        <w:t>2024年达90%以上</w:t>
      </w:r>
      <w:r>
        <w:rPr>
          <w:rFonts w:hint="eastAsia" w:cs="Times New Roman"/>
          <w:sz w:val="32"/>
          <w:szCs w:val="32"/>
          <w:lang w:val="en-US" w:eastAsia="zh-CN"/>
        </w:rPr>
        <w:t>。同时，保障解读质量与数量同步提升，</w:t>
      </w:r>
      <w:r>
        <w:rPr>
          <w:rFonts w:hint="eastAsia" w:ascii="Times New Roman" w:hAnsi="Times New Roman" w:cs="Times New Roman"/>
          <w:sz w:val="32"/>
          <w:szCs w:val="32"/>
          <w:lang w:val="en-US" w:eastAsia="zh-CN"/>
        </w:rPr>
        <w:t>推动政策解读向解读内容专业化、解读方式多样化、发布渠道广泛化等方向发展，鼓励部门采用图片图表、音频视频、H5动画、卡通动漫等解读制作方式，在文稿解读</w:t>
      </w:r>
      <w:r>
        <w:rPr>
          <w:rFonts w:hint="eastAsia" w:cs="Times New Roman"/>
          <w:sz w:val="32"/>
          <w:szCs w:val="32"/>
          <w:lang w:val="en-US" w:eastAsia="zh-CN"/>
        </w:rPr>
        <w:t>中</w:t>
      </w:r>
      <w:r>
        <w:rPr>
          <w:rFonts w:hint="eastAsia" w:ascii="Times New Roman" w:hAnsi="Times New Roman" w:cs="Times New Roman"/>
          <w:sz w:val="32"/>
          <w:szCs w:val="32"/>
          <w:lang w:val="en-US" w:eastAsia="zh-CN"/>
        </w:rPr>
        <w:t>突出重点，在领导干部解读中丰富形式，在专家解读中提升专业性。</w:t>
      </w:r>
      <w:r>
        <w:rPr>
          <w:rFonts w:hint="eastAsia"/>
        </w:rPr>
        <w:t>202</w:t>
      </w:r>
      <w:r>
        <w:rPr>
          <w:rFonts w:hint="eastAsia"/>
          <w:lang w:val="en-US" w:eastAsia="zh-CN"/>
        </w:rPr>
        <w:t>4</w:t>
      </w:r>
      <w:r>
        <w:rPr>
          <w:rFonts w:hint="eastAsia"/>
        </w:rPr>
        <w:t>年在张店区政府门户网站政策解读栏目公开解读</w:t>
      </w:r>
      <w:r>
        <w:rPr>
          <w:rFonts w:hint="eastAsia"/>
          <w:lang w:val="en-US" w:eastAsia="zh-CN"/>
        </w:rPr>
        <w:t>150</w:t>
      </w:r>
      <w:r>
        <w:rPr>
          <w:rFonts w:hint="eastAsia"/>
        </w:rPr>
        <w:t>余条，其中，</w:t>
      </w:r>
      <w:r>
        <w:rPr>
          <w:rFonts w:hint="eastAsia"/>
          <w:highlight w:val="none"/>
        </w:rPr>
        <w:t>部门解读</w:t>
      </w:r>
      <w:r>
        <w:rPr>
          <w:rFonts w:hint="eastAsia"/>
          <w:highlight w:val="none"/>
          <w:lang w:val="en-US" w:eastAsia="zh-CN"/>
        </w:rPr>
        <w:t>101</w:t>
      </w:r>
      <w:r>
        <w:rPr>
          <w:rFonts w:hint="eastAsia"/>
          <w:highlight w:val="none"/>
        </w:rPr>
        <w:t>条、领导干部解读</w:t>
      </w:r>
      <w:r>
        <w:rPr>
          <w:rFonts w:hint="eastAsia"/>
          <w:highlight w:val="none"/>
          <w:lang w:val="en-US" w:eastAsia="zh-CN"/>
        </w:rPr>
        <w:t>10</w:t>
      </w:r>
      <w:r>
        <w:rPr>
          <w:rFonts w:hint="eastAsia"/>
          <w:highlight w:val="none"/>
        </w:rPr>
        <w:t>条、专家解读</w:t>
      </w:r>
      <w:r>
        <w:rPr>
          <w:rFonts w:hint="eastAsia"/>
          <w:highlight w:val="none"/>
          <w:lang w:val="en-US" w:eastAsia="zh-CN"/>
        </w:rPr>
        <w:t>12</w:t>
      </w:r>
      <w:r>
        <w:rPr>
          <w:rFonts w:hint="eastAsia"/>
          <w:highlight w:val="none"/>
        </w:rPr>
        <w:t>条、图文解读</w:t>
      </w:r>
      <w:r>
        <w:rPr>
          <w:rFonts w:hint="eastAsia"/>
          <w:highlight w:val="none"/>
          <w:lang w:val="en-US" w:eastAsia="zh-CN"/>
        </w:rPr>
        <w:t>30</w:t>
      </w:r>
      <w:r>
        <w:rPr>
          <w:rFonts w:hint="eastAsia"/>
          <w:highlight w:val="none"/>
        </w:rPr>
        <w:t>条</w:t>
      </w:r>
      <w:r>
        <w:rPr>
          <w:rFonts w:hint="eastAsia"/>
        </w:rPr>
        <w:t>。</w:t>
      </w:r>
      <w:r>
        <w:rPr>
          <w:rFonts w:hint="eastAsia"/>
          <w:b/>
          <w:bCs/>
          <w:lang w:val="en-US" w:eastAsia="zh-CN"/>
        </w:rPr>
        <w:t>三是保障群众参与度，开展政府开放日活动。</w:t>
      </w:r>
      <w:r>
        <w:rPr>
          <w:rFonts w:hint="eastAsia"/>
          <w:lang w:val="en-US" w:eastAsia="zh-CN"/>
        </w:rPr>
        <w:t>要求各部门、单位填报《政府开放活动计划安排报送表》，提前做好本单位政府开放日主题、时间、内容安排，</w:t>
      </w:r>
      <w:r>
        <w:rPr>
          <w:rFonts w:hint="eastAsia" w:ascii="Times New Roman" w:hAnsi="Times New Roman" w:eastAsia="仿宋_GB2312" w:cs="仿宋_GB2312"/>
          <w:sz w:val="32"/>
          <w:szCs w:val="32"/>
          <w:lang w:val="en-US" w:eastAsia="zh-CN"/>
        </w:rPr>
        <w:t>切实保障群众的知情权、表达权、参与权和监督权</w:t>
      </w:r>
      <w:r>
        <w:rPr>
          <w:rFonts w:hint="eastAsia" w:ascii="Times New Roman" w:hAnsi="Times New Roman" w:cs="仿宋_GB2312"/>
          <w:sz w:val="32"/>
          <w:szCs w:val="32"/>
          <w:lang w:val="en-US" w:eastAsia="zh-CN"/>
        </w:rPr>
        <w:t>。</w:t>
      </w:r>
      <w:r>
        <w:rPr>
          <w:rFonts w:hint="eastAsia" w:ascii="Times New Roman" w:hAnsi="Times New Roman" w:cs="仿宋_GB2312"/>
          <w:sz w:val="32"/>
          <w:szCs w:val="32"/>
          <w:highlight w:val="none"/>
          <w:lang w:val="en-US" w:eastAsia="zh-CN"/>
        </w:rPr>
        <w:t>2024年开展政府开放日活动</w:t>
      </w:r>
      <w:r>
        <w:rPr>
          <w:rFonts w:hint="eastAsia" w:cs="仿宋_GB2312"/>
          <w:sz w:val="32"/>
          <w:szCs w:val="32"/>
          <w:highlight w:val="none"/>
          <w:lang w:val="en-US" w:eastAsia="zh-CN"/>
        </w:rPr>
        <w:t>近30</w:t>
      </w:r>
      <w:r>
        <w:rPr>
          <w:rFonts w:hint="eastAsia" w:ascii="Times New Roman" w:hAnsi="Times New Roman" w:cs="仿宋_GB2312"/>
          <w:sz w:val="32"/>
          <w:szCs w:val="32"/>
          <w:highlight w:val="none"/>
          <w:lang w:val="en-US" w:eastAsia="zh-CN"/>
        </w:rPr>
        <w:t>次</w:t>
      </w:r>
      <w:r>
        <w:rPr>
          <w:rFonts w:hint="eastAsia" w:ascii="Times New Roman" w:hAnsi="Times New Roman" w:cs="仿宋_GB2312"/>
          <w:sz w:val="32"/>
          <w:szCs w:val="32"/>
          <w:lang w:val="en-US" w:eastAsia="zh-CN"/>
        </w:rPr>
        <w:t>，活动内容涉及物业服务、社区治理、老旧小区改造参观、政府服务体验等群众、企业关注度高的多个方面。</w:t>
      </w:r>
    </w:p>
    <w:p>
      <w:pPr>
        <w:pStyle w:val="5"/>
        <w:numPr>
          <w:ilvl w:val="0"/>
          <w:numId w:val="0"/>
        </w:num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kern w:val="2"/>
          <w:sz w:val="32"/>
          <w:szCs w:val="24"/>
          <w:lang w:val="en-US" w:eastAsia="zh-CN" w:bidi="ar-SA"/>
        </w:rPr>
        <w:t>（二）持续规范依申请公开答复</w:t>
      </w:r>
    </w:p>
    <w:p>
      <w:pPr>
        <w:tabs>
          <w:tab w:val="left" w:pos="633"/>
        </w:tabs>
        <w:bidi w:val="0"/>
        <w:jc w:val="left"/>
        <w:rPr>
          <w:rFonts w:hint="eastAsia"/>
        </w:rPr>
      </w:pPr>
      <w:r>
        <w:rPr>
          <w:rFonts w:hint="eastAsia"/>
          <w:lang w:val="en-US" w:eastAsia="zh-CN"/>
        </w:rPr>
        <w:t>一方面，进一步完善政府信息公开申请备案制度，要求各相关职能部门在收到申请后2个工作日内及作出答复前3个工作日内，向政务公开办备案，进一步提升依申请公开工作的规范性和准确性。2024年，已备案各类公开申请100余件，切实落实备案审核责任。另一方面，对于收到的政府层面的申请，始终严格遵循工作流程，对答复涉及到的争议点，及时召开协调会议进行分析研判，在法定期限内规范给予答复。</w:t>
      </w:r>
      <w:r>
        <w:rPr>
          <w:rFonts w:hint="eastAsia"/>
        </w:rPr>
        <w:t>202</w:t>
      </w:r>
      <w:r>
        <w:rPr>
          <w:rFonts w:hint="eastAsia"/>
          <w:lang w:val="en-US" w:eastAsia="zh-CN"/>
        </w:rPr>
        <w:t>4</w:t>
      </w:r>
      <w:r>
        <w:rPr>
          <w:rFonts w:hint="eastAsia"/>
        </w:rPr>
        <w:t>年，共收到政府信息公开申请</w:t>
      </w:r>
      <w:r>
        <w:rPr>
          <w:rFonts w:hint="eastAsia"/>
          <w:lang w:val="en-US" w:eastAsia="zh-CN"/>
        </w:rPr>
        <w:t>53</w:t>
      </w:r>
      <w:r>
        <w:rPr>
          <w:rFonts w:hint="eastAsia"/>
        </w:rPr>
        <w:t>件（其中上年结转</w:t>
      </w:r>
      <w:r>
        <w:rPr>
          <w:rFonts w:hint="eastAsia"/>
          <w:lang w:val="en-US" w:eastAsia="zh-CN"/>
        </w:rPr>
        <w:t>1</w:t>
      </w:r>
      <w:r>
        <w:rPr>
          <w:rFonts w:hint="eastAsia"/>
        </w:rPr>
        <w:t>件），与</w:t>
      </w:r>
      <w:r>
        <w:rPr>
          <w:rFonts w:hint="eastAsia"/>
          <w:lang w:val="en-US" w:eastAsia="zh-CN"/>
        </w:rPr>
        <w:t>2023年</w:t>
      </w:r>
      <w:r>
        <w:rPr>
          <w:rFonts w:hint="eastAsia"/>
        </w:rPr>
        <w:t>数量相比略有减少，</w:t>
      </w:r>
      <w:r>
        <w:rPr>
          <w:rFonts w:hint="eastAsia"/>
          <w:highlight w:val="none"/>
        </w:rPr>
        <w:t>其中自然人申请</w:t>
      </w:r>
      <w:r>
        <w:rPr>
          <w:rFonts w:hint="eastAsia"/>
          <w:highlight w:val="none"/>
          <w:lang w:val="en-US" w:eastAsia="zh-CN"/>
        </w:rPr>
        <w:t>52</w:t>
      </w:r>
      <w:r>
        <w:rPr>
          <w:rFonts w:hint="eastAsia"/>
          <w:highlight w:val="none"/>
        </w:rPr>
        <w:t>件，商业企业申请</w:t>
      </w:r>
      <w:r>
        <w:rPr>
          <w:rFonts w:hint="eastAsia"/>
          <w:highlight w:val="none"/>
          <w:lang w:val="en-US" w:eastAsia="zh-CN"/>
        </w:rPr>
        <w:t>1</w:t>
      </w:r>
      <w:r>
        <w:rPr>
          <w:rFonts w:hint="eastAsia"/>
          <w:highlight w:val="none"/>
        </w:rPr>
        <w:t>件</w:t>
      </w:r>
      <w:r>
        <w:rPr>
          <w:rFonts w:hint="eastAsia"/>
        </w:rPr>
        <w:t>，主要涉及国有土地上房屋征收与补偿、集体土地征收等内容，</w:t>
      </w:r>
      <w:r>
        <w:rPr>
          <w:rFonts w:hint="eastAsia"/>
          <w:lang w:val="en-US" w:eastAsia="zh-CN"/>
        </w:rPr>
        <w:t>51</w:t>
      </w:r>
      <w:r>
        <w:rPr>
          <w:rFonts w:hint="eastAsia"/>
        </w:rPr>
        <w:t>件已在规定期限内办理完毕，</w:t>
      </w:r>
      <w:r>
        <w:rPr>
          <w:rFonts w:hint="eastAsia"/>
          <w:lang w:val="en-US" w:eastAsia="zh-CN"/>
        </w:rPr>
        <w:t>2</w:t>
      </w:r>
      <w:r>
        <w:rPr>
          <w:rFonts w:hint="eastAsia"/>
        </w:rPr>
        <w:t>件结转下年度继续办理。</w:t>
      </w:r>
    </w:p>
    <w:p>
      <w:pPr>
        <w:pStyle w:val="5"/>
        <w:numPr>
          <w:ilvl w:val="0"/>
          <w:numId w:val="0"/>
        </w:num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kern w:val="2"/>
          <w:sz w:val="32"/>
          <w:szCs w:val="24"/>
          <w:lang w:val="en-US" w:eastAsia="zh-CN" w:bidi="ar-SA"/>
        </w:rPr>
        <w:t>（三）持续提升政府信息管理水平</w:t>
      </w:r>
    </w:p>
    <w:p>
      <w:pPr>
        <w:numPr>
          <w:ilvl w:val="0"/>
          <w:numId w:val="0"/>
        </w:numPr>
        <w:ind w:firstLine="642" w:firstLineChars="200"/>
        <w:rPr>
          <w:rFonts w:hint="default"/>
          <w:lang w:val="en-US" w:eastAsia="zh-CN"/>
        </w:rPr>
      </w:pPr>
      <w:r>
        <w:rPr>
          <w:rFonts w:hint="eastAsia"/>
          <w:b/>
          <w:bCs/>
          <w:lang w:val="en-US" w:eastAsia="zh-CN"/>
        </w:rPr>
        <w:t>一是按时做好主动公开事项目录编制工作。</w:t>
      </w:r>
      <w:r>
        <w:rPr>
          <w:rFonts w:hint="eastAsia"/>
          <w:lang w:val="en-US" w:eastAsia="zh-CN"/>
        </w:rPr>
        <w:t>根据《淄博市人民政府办公室关于印发全市主动公开事项目录编制工作方案的通知》有关要求，区政府办公室</w:t>
      </w:r>
      <w:r>
        <w:rPr>
          <w:rFonts w:hint="eastAsia" w:cstheme="minorBidi"/>
          <w:kern w:val="2"/>
          <w:sz w:val="32"/>
          <w:szCs w:val="24"/>
          <w:lang w:val="en-US" w:eastAsia="zh-CN" w:bidi="ar-SA"/>
        </w:rPr>
        <w:t>依据法律、法规、规章关于主动公开信息的规定，梳理确定法定公开事项，逐项明确公开主体、内容、时限、方式、渠道、责任等要素，分别编制完成《张店区人民政府主动公开事项目录》《张店区人民政府办公室主动公开事项目录》，同时引导各部门、单位积极与上对接，根据上级单位所编制的《主动公开事项目录指引》，完成本单位目录编制。</w:t>
      </w:r>
      <w:r>
        <w:rPr>
          <w:rFonts w:hint="eastAsia" w:cstheme="minorBidi"/>
          <w:b/>
          <w:bCs/>
          <w:kern w:val="2"/>
          <w:sz w:val="32"/>
          <w:szCs w:val="24"/>
          <w:lang w:val="en-US" w:eastAsia="zh-CN" w:bidi="ar-SA"/>
        </w:rPr>
        <w:t>二是严格把控规范性文件制发流程</w:t>
      </w:r>
      <w:r>
        <w:rPr>
          <w:rFonts w:hint="eastAsia" w:cstheme="minorBidi"/>
          <w:kern w:val="2"/>
          <w:sz w:val="32"/>
          <w:szCs w:val="24"/>
          <w:lang w:val="en-US" w:eastAsia="zh-CN" w:bidi="ar-SA"/>
        </w:rPr>
        <w:t>。</w:t>
      </w:r>
      <w:r>
        <w:rPr>
          <w:rFonts w:hint="eastAsia"/>
        </w:rPr>
        <w:t>自</w:t>
      </w:r>
      <w:r>
        <w:rPr>
          <w:rFonts w:hint="eastAsia"/>
          <w:lang w:val="en-US" w:eastAsia="zh-CN"/>
        </w:rPr>
        <w:t>规范性</w:t>
      </w:r>
      <w:r>
        <w:rPr>
          <w:rFonts w:hint="eastAsia"/>
        </w:rPr>
        <w:t>文件印发之日起20个工作日内在政府门户网站公布</w:t>
      </w:r>
      <w:r>
        <w:rPr>
          <w:rFonts w:hint="eastAsia"/>
          <w:lang w:eastAsia="zh-CN"/>
        </w:rPr>
        <w:t>，</w:t>
      </w:r>
      <w:r>
        <w:rPr>
          <w:rFonts w:hint="eastAsia"/>
          <w:lang w:val="en-US" w:eastAsia="zh-CN"/>
        </w:rPr>
        <w:t>及时发布本级政府和部门行政规范性文件清理结果，当文件发生修改、废止、失效等情况，及时在公开页面更新有效性标注。2024年，公开区政府办公室规范性文件2件，保留区政府办公室行政规范性文件11件。</w:t>
      </w:r>
      <w:r>
        <w:rPr>
          <w:rFonts w:hint="eastAsia"/>
          <w:b/>
          <w:bCs/>
          <w:lang w:val="en-US" w:eastAsia="zh-CN"/>
        </w:rPr>
        <w:t>三是进一步完善政府信息公开制度。</w:t>
      </w:r>
      <w:r>
        <w:rPr>
          <w:rFonts w:hint="eastAsia"/>
          <w:lang w:val="en-US" w:eastAsia="zh-CN"/>
        </w:rPr>
        <w:t>做好每日巡网工作，动态解决政府信息更新不及时、更新格式有误、解读未双向关联等问题。依据全年各期《全市政务公开工作情况通报》，针对问题清单所列指标进行自查整改，切实解决政策解读、公共企事业单位信息公开、财政信息等方面问题，提升政府网站公开信息规范性。对于各单位网站信息发布情况，针对性整理出各单位《政府网站栏目内容更新清单》，要求其在规定时间内完成补发、整改等工作，进一步提升政府信息公开效能。</w:t>
      </w:r>
    </w:p>
    <w:p>
      <w:pPr>
        <w:numPr>
          <w:ilvl w:val="0"/>
          <w:numId w:val="0"/>
        </w:numPr>
        <w:ind w:firstLine="640" w:firstLineChars="200"/>
        <w:rPr>
          <w:rFonts w:hint="eastAsia" w:ascii="Times New Roman" w:hAnsi="Times New Roman" w:eastAsia="仿宋_GB2312" w:cstheme="minorBidi"/>
          <w:kern w:val="2"/>
          <w:sz w:val="32"/>
          <w:szCs w:val="24"/>
          <w:lang w:val="en-US" w:eastAsia="zh-CN" w:bidi="ar-SA"/>
        </w:rPr>
      </w:pPr>
      <w:r>
        <w:rPr>
          <w:rFonts w:hint="eastAsia" w:ascii="楷体_GB2312" w:hAnsi="楷体_GB2312" w:eastAsia="楷体_GB2312" w:cs="楷体_GB2312"/>
          <w:kern w:val="2"/>
          <w:sz w:val="32"/>
          <w:szCs w:val="24"/>
          <w:lang w:val="en-US" w:eastAsia="zh-CN" w:bidi="ar-SA"/>
        </w:rPr>
        <w:t>（四）持续推进政府信息公开平台建设</w:t>
      </w:r>
    </w:p>
    <w:p>
      <w:pPr>
        <w:numPr>
          <w:ilvl w:val="0"/>
          <w:numId w:val="0"/>
        </w:numPr>
        <w:ind w:firstLine="642" w:firstLineChars="200"/>
        <w:rPr>
          <w:rFonts w:hint="default" w:ascii="Times New Roman" w:hAnsi="Times New Roman" w:cs="仿宋_GB2312"/>
          <w:sz w:val="32"/>
          <w:szCs w:val="32"/>
          <w:highlight w:val="none"/>
          <w:lang w:val="en-US" w:eastAsia="zh-CN"/>
        </w:rPr>
      </w:pPr>
      <w:r>
        <w:rPr>
          <w:rFonts w:hint="eastAsia"/>
          <w:b/>
          <w:bCs/>
          <w:lang w:val="en-US" w:eastAsia="zh-CN"/>
        </w:rPr>
        <w:t>一方面初步进行政府网站栏目梳理工作。</w:t>
      </w:r>
      <w:r>
        <w:rPr>
          <w:rFonts w:hint="eastAsia"/>
          <w:lang w:val="en-US" w:eastAsia="zh-CN"/>
        </w:rPr>
        <w:t>在针对性整理各单位网站栏目更新清单的同时，完成对于各单位网站栏目的框架梳理，了解其中与当前重点工作、重点发布内容不相适应的部分，根据最新制定的《</w:t>
      </w:r>
      <w:r>
        <w:rPr>
          <w:rFonts w:hint="eastAsia" w:cstheme="minorBidi"/>
          <w:kern w:val="2"/>
          <w:sz w:val="32"/>
          <w:szCs w:val="24"/>
          <w:lang w:val="en-US" w:eastAsia="zh-CN" w:bidi="ar-SA"/>
        </w:rPr>
        <w:t>张店区人民政府主动公开事项目录</w:t>
      </w:r>
      <w:r>
        <w:rPr>
          <w:rFonts w:hint="eastAsia"/>
          <w:lang w:val="en-US" w:eastAsia="zh-CN"/>
        </w:rPr>
        <w:t>》和各单位《主动公开事项目录》要求，逐步完成对于政府网站栏目的调整。</w:t>
      </w:r>
      <w:r>
        <w:rPr>
          <w:rFonts w:hint="eastAsia" w:cs="仿宋_GB2312"/>
          <w:b/>
          <w:bCs/>
          <w:sz w:val="32"/>
          <w:szCs w:val="32"/>
          <w:highlight w:val="none"/>
          <w:lang w:val="en-US" w:eastAsia="zh-CN"/>
        </w:rPr>
        <w:t>另一方面</w:t>
      </w:r>
      <w:bookmarkStart w:id="10" w:name="_GoBack"/>
      <w:bookmarkEnd w:id="10"/>
      <w:r>
        <w:rPr>
          <w:rFonts w:hint="eastAsia" w:cs="仿宋_GB2312"/>
          <w:b/>
          <w:bCs/>
          <w:sz w:val="32"/>
          <w:szCs w:val="32"/>
          <w:highlight w:val="none"/>
          <w:lang w:val="en-US" w:eastAsia="zh-CN"/>
        </w:rPr>
        <w:t>按时完成政府公报编辑、发行工作</w:t>
      </w:r>
      <w:r>
        <w:rPr>
          <w:rFonts w:hint="eastAsia" w:cs="仿宋_GB2312"/>
          <w:sz w:val="32"/>
          <w:szCs w:val="32"/>
          <w:highlight w:val="none"/>
          <w:lang w:val="en-US" w:eastAsia="zh-CN"/>
        </w:rPr>
        <w:t>。</w:t>
      </w:r>
      <w:r>
        <w:rPr>
          <w:rFonts w:hint="eastAsia"/>
        </w:rPr>
        <w:t>202</w:t>
      </w:r>
      <w:r>
        <w:rPr>
          <w:rFonts w:hint="eastAsia"/>
          <w:lang w:val="en-US" w:eastAsia="zh-CN"/>
        </w:rPr>
        <w:t>4</w:t>
      </w:r>
      <w:r>
        <w:rPr>
          <w:rFonts w:hint="eastAsia"/>
        </w:rPr>
        <w:t>年</w:t>
      </w:r>
      <w:r>
        <w:rPr>
          <w:rFonts w:hint="eastAsia"/>
          <w:lang w:val="en-US" w:eastAsia="zh-CN"/>
        </w:rPr>
        <w:t>编发《张店区人民政府公报》电子版13期，并及时在政府公报平台向社会公开发布，编辑印发《张店区人民政府公报》期刊5期，按时</w:t>
      </w:r>
      <w:r>
        <w:rPr>
          <w:rFonts w:hint="eastAsia"/>
        </w:rPr>
        <w:t>下发至镇（街道）便民服务中心及区政务服务中心、区图书馆等公共场所，</w:t>
      </w:r>
      <w:r>
        <w:rPr>
          <w:rFonts w:hint="eastAsia"/>
          <w:lang w:val="en-US" w:eastAsia="zh-CN"/>
        </w:rPr>
        <w:t>同时在区档案馆、区市民中心、各镇办、各村居、社区党群服务中心等政务公开专区进行陈列，不断拓宽群众获知政府信息渠道。</w:t>
      </w:r>
    </w:p>
    <w:p>
      <w:pPr>
        <w:pStyle w:val="5"/>
        <w:numPr>
          <w:ilvl w:val="0"/>
          <w:numId w:val="0"/>
        </w:numPr>
        <w:ind w:firstLine="640" w:firstLineChars="200"/>
        <w:rPr>
          <w:rFonts w:hint="eastAsia" w:ascii="Times New Roman" w:hAnsi="Times New Roman" w:cs="仿宋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（五）持续强化政务公开监督保障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lang w:val="en-US" w:eastAsia="zh-CN"/>
        </w:rPr>
      </w:pPr>
      <w:r>
        <w:rPr>
          <w:rFonts w:hint="eastAsia"/>
          <w:b/>
          <w:bCs/>
          <w:lang w:val="en-US" w:eastAsia="zh-CN"/>
        </w:rPr>
        <w:t>一是明确区政府办公室各科室公开职责。</w:t>
      </w:r>
      <w:r>
        <w:rPr>
          <w:rFonts w:hint="eastAsia"/>
          <w:lang w:val="en-US" w:eastAsia="zh-CN"/>
        </w:rPr>
        <w:t>根据最新制定的《张店区人民政府办公室主动公开事项目录》，对于机关简介、履职依据、行政许可和其他对外管理服务信息、处罚强制信息等公开事项再次明确公开责任科室，进一步实现对区政府办公室主动公开内容时效性保障。</w:t>
      </w:r>
      <w:r>
        <w:rPr>
          <w:rFonts w:hint="eastAsia"/>
          <w:b/>
          <w:bCs/>
          <w:lang w:val="en-US" w:eastAsia="zh-CN"/>
        </w:rPr>
        <w:t>二是优化完善工作考核实施方案。</w:t>
      </w:r>
      <w:r>
        <w:rPr>
          <w:rFonts w:hint="eastAsia"/>
          <w:lang w:val="en-US" w:eastAsia="zh-CN"/>
        </w:rPr>
        <w:t>根据《2024年山东省政务公开效能检测实施方案》对于区政府监测指标及监测要点，优化完善张店区2024年工作考核实施方案，保障方案的科学性、合理性，有效发挥考核的指挥棒作用，推动政务公开工作提质增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333333"/>
          <w:spacing w:val="0"/>
          <w:kern w:val="0"/>
          <w:sz w:val="32"/>
          <w:szCs w:val="32"/>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本年制发件数</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本年废止件数</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规章</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eastAsia" w:ascii="仿宋_GB2312" w:hAnsi="宋体" w:eastAsia="仿宋_GB2312" w:cs="宋体"/>
                <w:color w:val="auto"/>
                <w:kern w:val="0"/>
                <w:sz w:val="21"/>
                <w:szCs w:val="21"/>
                <w:lang w:eastAsia="zh-CN"/>
              </w:rPr>
            </w:pPr>
            <w:r>
              <w:rPr>
                <w:rFonts w:hint="eastAsia" w:ascii="仿宋_GB2312" w:hAnsi="宋体" w:cs="宋体"/>
                <w:color w:val="auto"/>
                <w:kern w:val="0"/>
                <w:sz w:val="21"/>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auto"/>
                <w:kern w:val="0"/>
                <w:sz w:val="21"/>
                <w:szCs w:val="21"/>
              </w:rPr>
            </w:pPr>
            <w:r>
              <w:rPr>
                <w:rFonts w:hint="eastAsia" w:ascii="仿宋_GB2312" w:hAnsi="宋体" w:cs="宋体"/>
                <w:color w:val="auto"/>
                <w:kern w:val="0"/>
                <w:sz w:val="21"/>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Calibri" w:eastAsia="仿宋_GB2312" w:cs="Calibri"/>
                <w:color w:val="auto"/>
                <w:kern w:val="0"/>
                <w:sz w:val="21"/>
                <w:szCs w:val="21"/>
              </w:rPr>
            </w:pPr>
            <w:r>
              <w:rPr>
                <w:rFonts w:hint="eastAsia" w:ascii="仿宋_GB2312" w:hAnsi="宋体" w:cs="宋体"/>
                <w:color w:val="auto"/>
                <w:kern w:val="0"/>
                <w:sz w:val="21"/>
                <w:szCs w:val="21"/>
                <w:lang w:val="en-US" w:eastAsia="zh-CN"/>
              </w:rPr>
              <w:t>0</w:t>
            </w:r>
          </w:p>
        </w:tc>
      </w:tr>
      <w:tr>
        <w:tblPrEx>
          <w:tblCellMar>
            <w:top w:w="0" w:type="dxa"/>
            <w:left w:w="108" w:type="dxa"/>
            <w:bottom w:w="0" w:type="dxa"/>
            <w:right w:w="108" w:type="dxa"/>
          </w:tblCellMar>
        </w:tblPrEx>
        <w:trPr>
          <w:trHeight w:val="663"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eastAsia" w:ascii="仿宋_GB2312" w:hAnsi="宋体" w:eastAsia="仿宋_GB2312" w:cs="宋体"/>
                <w:color w:val="auto"/>
                <w:kern w:val="0"/>
                <w:sz w:val="21"/>
                <w:szCs w:val="21"/>
                <w:lang w:eastAsia="zh-CN"/>
              </w:rPr>
            </w:pPr>
            <w:r>
              <w:rPr>
                <w:rFonts w:hint="eastAsia" w:ascii="仿宋_GB2312" w:hAnsi="宋体" w:cs="宋体"/>
                <w:color w:val="auto"/>
                <w:kern w:val="0"/>
                <w:sz w:val="21"/>
                <w:szCs w:val="21"/>
                <w:lang w:val="en-US" w:eastAsia="zh-CN"/>
              </w:rPr>
              <w:t>2</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default" w:ascii="仿宋_GB2312" w:hAnsi="宋体" w:eastAsia="仿宋_GB2312" w:cs="宋体"/>
                <w:color w:val="auto"/>
                <w:kern w:val="0"/>
                <w:sz w:val="21"/>
                <w:szCs w:val="21"/>
                <w:lang w:val="en-US" w:eastAsia="zh-CN"/>
              </w:rPr>
            </w:pPr>
            <w:r>
              <w:rPr>
                <w:rFonts w:hint="eastAsia" w:ascii="仿宋_GB2312" w:hAnsi="宋体" w:cs="宋体"/>
                <w:color w:val="auto"/>
                <w:kern w:val="0"/>
                <w:sz w:val="21"/>
                <w:szCs w:val="21"/>
                <w:lang w:val="en-US" w:eastAsia="zh-CN"/>
              </w:rPr>
              <w:t>1</w:t>
            </w:r>
          </w:p>
        </w:tc>
        <w:tc>
          <w:tcPr>
            <w:tcW w:w="2206"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default" w:ascii="仿宋_GB2312" w:hAnsi="宋体" w:eastAsia="仿宋_GB2312" w:cs="宋体"/>
                <w:color w:val="auto"/>
                <w:kern w:val="0"/>
                <w:sz w:val="21"/>
                <w:szCs w:val="21"/>
                <w:lang w:val="en-US" w:eastAsia="zh-CN"/>
              </w:rPr>
            </w:pPr>
            <w:r>
              <w:rPr>
                <w:rFonts w:hint="eastAsia" w:ascii="仿宋_GB2312" w:hAnsi="宋体" w:cs="宋体"/>
                <w:color w:val="auto"/>
                <w:kern w:val="0"/>
                <w:sz w:val="21"/>
                <w:szCs w:val="21"/>
                <w:lang w:val="en-US" w:eastAsia="zh-CN"/>
              </w:rPr>
              <w:t>15</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eastAsia" w:ascii="仿宋_GB2312" w:hAnsi="Calibri" w:eastAsia="仿宋_GB2312" w:cs="Calibri"/>
                <w:color w:val="auto"/>
                <w:kern w:val="0"/>
                <w:sz w:val="21"/>
                <w:szCs w:val="21"/>
                <w:lang w:val="en-US" w:eastAsia="zh-CN"/>
              </w:rPr>
            </w:pPr>
            <w:r>
              <w:rPr>
                <w:rFonts w:hint="eastAsia" w:ascii="仿宋_GB2312" w:hAnsi="Calibri" w:cs="Calibri"/>
                <w:color w:val="auto"/>
                <w:kern w:val="0"/>
                <w:sz w:val="21"/>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eastAsia" w:ascii="仿宋_GB2312" w:hAnsi="Calibri" w:eastAsia="仿宋_GB2312" w:cs="Calibri"/>
                <w:color w:val="auto"/>
                <w:kern w:val="0"/>
                <w:sz w:val="21"/>
                <w:szCs w:val="21"/>
                <w:lang w:eastAsia="zh-CN"/>
              </w:rPr>
            </w:pPr>
            <w:r>
              <w:rPr>
                <w:rFonts w:hint="eastAsia" w:ascii="仿宋_GB2312" w:hAnsi="Calibri" w:cs="Calibri"/>
                <w:color w:val="auto"/>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eastAsia" w:ascii="仿宋_GB2312" w:hAnsi="Calibri" w:eastAsia="仿宋_GB2312" w:cs="Calibri"/>
                <w:color w:val="auto"/>
                <w:kern w:val="0"/>
                <w:sz w:val="21"/>
                <w:szCs w:val="21"/>
                <w:lang w:eastAsia="zh-CN"/>
              </w:rPr>
            </w:pPr>
            <w:r>
              <w:rPr>
                <w:rFonts w:hint="eastAsia" w:ascii="仿宋_GB2312" w:hAnsi="Calibri" w:cs="Calibri"/>
                <w:color w:val="auto"/>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eastAsia" w:ascii="仿宋_GB2312" w:hAnsi="Calibri" w:eastAsia="仿宋_GB2312" w:cs="Calibri"/>
                <w:color w:val="auto"/>
                <w:kern w:val="0"/>
                <w:sz w:val="21"/>
                <w:szCs w:val="21"/>
                <w:lang w:eastAsia="zh-CN"/>
              </w:rPr>
            </w:pPr>
            <w:r>
              <w:rPr>
                <w:rFonts w:hint="eastAsia" w:ascii="仿宋_GB2312" w:hAnsi="Calibri" w:cs="Calibri"/>
                <w:color w:val="auto"/>
                <w:kern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spacing w:line="240" w:lineRule="auto"/>
              <w:ind w:firstLine="0" w:firstLineChars="0"/>
              <w:jc w:val="center"/>
              <w:rPr>
                <w:rFonts w:ascii="楷体_GB2312" w:hAnsi="黑体" w:eastAsia="楷体_GB2312" w:cs="Times New Roman"/>
                <w:kern w:val="0"/>
                <w:sz w:val="21"/>
                <w:szCs w:val="21"/>
              </w:rPr>
            </w:pPr>
            <w:r>
              <w:rPr>
                <w:rFonts w:hint="eastAsia" w:ascii="楷体_GB2312" w:hAnsi="黑体" w:eastAsia="楷体_GB2312" w:cs="Times New Roman"/>
                <w:kern w:val="0"/>
                <w:sz w:val="21"/>
                <w:szCs w:val="21"/>
              </w:rPr>
              <w:t>（本列数据的勾稽关系为：第一项加第二项之和，</w:t>
            </w:r>
          </w:p>
          <w:p>
            <w:pPr>
              <w:widowControl/>
              <w:spacing w:line="240" w:lineRule="auto"/>
              <w:ind w:firstLine="0" w:firstLineChars="0"/>
              <w:jc w:val="center"/>
              <w:rPr>
                <w:rFonts w:ascii="仿宋_GB2312" w:hAnsi="Times New Roman" w:eastAsia="仿宋_GB2312" w:cs="Times New Roman"/>
                <w:sz w:val="21"/>
                <w:szCs w:val="21"/>
              </w:rPr>
            </w:pPr>
            <w:r>
              <w:rPr>
                <w:rFonts w:hint="eastAsia" w:ascii="楷体_GB2312" w:hAnsi="黑体" w:eastAsia="楷体_GB2312" w:cs="Times New Roman"/>
                <w:kern w:val="0"/>
                <w:sz w:val="21"/>
                <w:szCs w:val="21"/>
              </w:rPr>
              <w:t>等于第三项加第四项之和）</w:t>
            </w:r>
          </w:p>
        </w:tc>
        <w:tc>
          <w:tcPr>
            <w:tcW w:w="4448" w:type="dxa"/>
            <w:gridSpan w:val="10"/>
            <w:noWrap w:val="0"/>
            <w:tcMar>
              <w:left w:w="108" w:type="dxa"/>
              <w:right w:w="108" w:type="dxa"/>
            </w:tcMar>
            <w:vAlign w:val="center"/>
          </w:tcPr>
          <w:p>
            <w:pPr>
              <w:widowControl/>
              <w:spacing w:line="320" w:lineRule="exact"/>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spacing w:line="240" w:lineRule="auto"/>
              <w:ind w:firstLine="0" w:firstLineChars="0"/>
              <w:jc w:val="center"/>
              <w:rPr>
                <w:rFonts w:ascii="仿宋_GB2312" w:hAnsi="Times New Roman" w:eastAsia="仿宋_GB2312" w:cs="Times New Roman"/>
                <w:sz w:val="21"/>
                <w:szCs w:val="21"/>
              </w:rPr>
            </w:pPr>
          </w:p>
        </w:tc>
        <w:tc>
          <w:tcPr>
            <w:tcW w:w="747" w:type="dxa"/>
            <w:vMerge w:val="restart"/>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自然人</w:t>
            </w:r>
          </w:p>
        </w:tc>
        <w:tc>
          <w:tcPr>
            <w:tcW w:w="3000" w:type="dxa"/>
            <w:gridSpan w:val="7"/>
            <w:noWrap w:val="0"/>
            <w:tcMar>
              <w:left w:w="108" w:type="dxa"/>
              <w:right w:w="108" w:type="dxa"/>
            </w:tcMar>
            <w:vAlign w:val="center"/>
          </w:tcPr>
          <w:p>
            <w:pPr>
              <w:widowControl/>
              <w:spacing w:line="320" w:lineRule="exact"/>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法人或其他组织</w:t>
            </w:r>
          </w:p>
        </w:tc>
        <w:tc>
          <w:tcPr>
            <w:tcW w:w="701" w:type="dxa"/>
            <w:gridSpan w:val="2"/>
            <w:vMerge w:val="restart"/>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spacing w:line="240" w:lineRule="auto"/>
              <w:ind w:firstLine="0" w:firstLineChars="0"/>
              <w:jc w:val="center"/>
              <w:rPr>
                <w:rFonts w:ascii="仿宋_GB2312" w:hAnsi="Times New Roman" w:eastAsia="仿宋_GB2312" w:cs="Times New Roman"/>
                <w:sz w:val="21"/>
                <w:szCs w:val="21"/>
              </w:rPr>
            </w:pPr>
          </w:p>
        </w:tc>
        <w:tc>
          <w:tcPr>
            <w:tcW w:w="747" w:type="dxa"/>
            <w:vMerge w:val="continue"/>
            <w:noWrap w:val="0"/>
            <w:tcMar>
              <w:left w:w="108" w:type="dxa"/>
              <w:right w:w="108" w:type="dxa"/>
            </w:tcMar>
            <w:vAlign w:val="center"/>
          </w:tcPr>
          <w:p>
            <w:pPr>
              <w:spacing w:line="240" w:lineRule="auto"/>
              <w:ind w:firstLine="0" w:firstLineChars="0"/>
              <w:jc w:val="center"/>
              <w:rPr>
                <w:rFonts w:ascii="黑体" w:hAnsi="黑体" w:eastAsia="黑体" w:cs="Times New Roman"/>
                <w:sz w:val="21"/>
                <w:szCs w:val="21"/>
              </w:rPr>
            </w:pPr>
          </w:p>
        </w:tc>
        <w:tc>
          <w:tcPr>
            <w:tcW w:w="540" w:type="dxa"/>
            <w:gridSpan w:val="2"/>
            <w:noWrap w:val="0"/>
            <w:tcMar>
              <w:left w:w="108" w:type="dxa"/>
              <w:right w:w="108" w:type="dxa"/>
            </w:tcMar>
            <w:vAlign w:val="center"/>
          </w:tcPr>
          <w:p>
            <w:pPr>
              <w:widowControl/>
              <w:spacing w:line="320" w:lineRule="exact"/>
              <w:ind w:left="-162" w:leftChars="-51" w:right="-163" w:rightChars="-51" w:hanging="1" w:firstLineChars="0"/>
              <w:jc w:val="center"/>
              <w:rPr>
                <w:rFonts w:ascii="黑体" w:hAnsi="黑体" w:eastAsia="黑体" w:cs="Times New Roman"/>
                <w:sz w:val="21"/>
                <w:szCs w:val="21"/>
              </w:rPr>
            </w:pPr>
            <w:r>
              <w:rPr>
                <w:rFonts w:hint="eastAsia" w:ascii="黑体" w:hAnsi="黑体" w:eastAsia="黑体" w:cs="Times New Roman"/>
                <w:kern w:val="0"/>
                <w:sz w:val="21"/>
                <w:szCs w:val="21"/>
              </w:rPr>
              <w:t>商业企业</w:t>
            </w:r>
          </w:p>
        </w:tc>
        <w:tc>
          <w:tcPr>
            <w:tcW w:w="540" w:type="dxa"/>
            <w:gridSpan w:val="2"/>
            <w:noWrap w:val="0"/>
            <w:tcMar>
              <w:left w:w="108" w:type="dxa"/>
              <w:right w:w="108" w:type="dxa"/>
            </w:tcMar>
            <w:vAlign w:val="center"/>
          </w:tcPr>
          <w:p>
            <w:pPr>
              <w:widowControl/>
              <w:spacing w:line="320" w:lineRule="exact"/>
              <w:ind w:left="-163" w:leftChars="-51" w:right="-163" w:rightChars="-51"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科研机构</w:t>
            </w:r>
          </w:p>
        </w:tc>
        <w:tc>
          <w:tcPr>
            <w:tcW w:w="720" w:type="dxa"/>
            <w:noWrap w:val="0"/>
            <w:tcMar>
              <w:left w:w="108" w:type="dxa"/>
              <w:right w:w="108" w:type="dxa"/>
            </w:tcMar>
            <w:vAlign w:val="center"/>
          </w:tcPr>
          <w:p>
            <w:pPr>
              <w:widowControl/>
              <w:spacing w:line="320" w:lineRule="exact"/>
              <w:ind w:left="-163" w:leftChars="-51" w:right="-163" w:rightChars="-51"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社会公益组织</w:t>
            </w:r>
          </w:p>
        </w:tc>
        <w:tc>
          <w:tcPr>
            <w:tcW w:w="675" w:type="dxa"/>
            <w:noWrap w:val="0"/>
            <w:tcMar>
              <w:left w:w="108" w:type="dxa"/>
              <w:right w:w="108" w:type="dxa"/>
            </w:tcMar>
            <w:vAlign w:val="center"/>
          </w:tcPr>
          <w:p>
            <w:pPr>
              <w:widowControl/>
              <w:spacing w:line="320" w:lineRule="exact"/>
              <w:ind w:left="-162" w:leftChars="-51" w:right="-163" w:rightChars="-51" w:hanging="1" w:firstLineChars="0"/>
              <w:jc w:val="center"/>
              <w:rPr>
                <w:rFonts w:ascii="黑体" w:hAnsi="黑体" w:eastAsia="黑体" w:cs="Times New Roman"/>
                <w:sz w:val="21"/>
                <w:szCs w:val="21"/>
              </w:rPr>
            </w:pPr>
            <w:r>
              <w:rPr>
                <w:rFonts w:hint="eastAsia" w:ascii="黑体" w:hAnsi="黑体" w:eastAsia="黑体" w:cs="Times New Roman"/>
                <w:kern w:val="0"/>
                <w:sz w:val="21"/>
                <w:szCs w:val="21"/>
              </w:rPr>
              <w:t>法律服务机构</w:t>
            </w:r>
          </w:p>
        </w:tc>
        <w:tc>
          <w:tcPr>
            <w:tcW w:w="525" w:type="dxa"/>
            <w:noWrap w:val="0"/>
            <w:tcMar>
              <w:left w:w="108" w:type="dxa"/>
              <w:right w:w="108" w:type="dxa"/>
            </w:tcMar>
            <w:vAlign w:val="center"/>
          </w:tcPr>
          <w:p>
            <w:pPr>
              <w:widowControl/>
              <w:spacing w:line="360" w:lineRule="exact"/>
              <w:ind w:left="-96" w:leftChars="-30" w:right="-205" w:rightChars="-64"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其他</w:t>
            </w:r>
          </w:p>
        </w:tc>
        <w:tc>
          <w:tcPr>
            <w:tcW w:w="701" w:type="dxa"/>
            <w:gridSpan w:val="2"/>
            <w:vMerge w:val="continue"/>
            <w:noWrap w:val="0"/>
            <w:tcMar>
              <w:left w:w="108" w:type="dxa"/>
              <w:right w:w="108" w:type="dxa"/>
            </w:tcMar>
            <w:vAlign w:val="center"/>
          </w:tcPr>
          <w:p>
            <w:pPr>
              <w:spacing w:line="240" w:lineRule="auto"/>
              <w:ind w:firstLine="0" w:firstLineChars="0"/>
              <w:jc w:val="center"/>
              <w:rPr>
                <w:rFonts w:ascii="仿宋_GB2312"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一、</w:t>
            </w:r>
            <w:bookmarkStart w:id="0" w:name="_Hlk66973412"/>
            <w:r>
              <w:rPr>
                <w:rFonts w:hint="eastAsia" w:ascii="黑体" w:hAnsi="黑体" w:eastAsia="黑体" w:cs="Times New Roman"/>
                <w:kern w:val="0"/>
                <w:sz w:val="21"/>
                <w:szCs w:val="21"/>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default"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51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default"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三、本年度办理结果</w:t>
            </w:r>
          </w:p>
        </w:tc>
        <w:tc>
          <w:tcPr>
            <w:tcW w:w="4677" w:type="dxa"/>
            <w:gridSpan w:val="2"/>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6</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4677" w:type="dxa"/>
            <w:gridSpan w:val="2"/>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（二）部分公开（</w:t>
            </w:r>
            <w:bookmarkStart w:id="1" w:name="_Hlk66973981"/>
            <w:r>
              <w:rPr>
                <w:rFonts w:hint="eastAsia" w:ascii="黑体" w:hAnsi="黑体" w:eastAsia="黑体" w:cs="Times New Roman"/>
                <w:kern w:val="0"/>
                <w:sz w:val="21"/>
                <w:szCs w:val="21"/>
              </w:rPr>
              <w:t>区分处理的，只计这一情形，不计其他情形</w:t>
            </w:r>
            <w:bookmarkEnd w:id="1"/>
            <w:r>
              <w:rPr>
                <w:rFonts w:hint="eastAsia" w:ascii="黑体" w:hAnsi="黑体" w:eastAsia="黑体" w:cs="Times New Roman"/>
                <w:kern w:val="0"/>
                <w:sz w:val="21"/>
                <w:szCs w:val="21"/>
              </w:rPr>
              <w:t>）</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5</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1</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widowControl/>
              <w:spacing w:line="200" w:lineRule="exact"/>
              <w:ind w:left="-163" w:leftChars="-51" w:firstLine="0" w:firstLineChars="0"/>
              <w:rPr>
                <w:rFonts w:ascii="黑体" w:hAnsi="黑体" w:eastAsia="黑体" w:cs="Times New Roman"/>
                <w:sz w:val="21"/>
                <w:szCs w:val="21"/>
              </w:rPr>
            </w:pPr>
            <w:r>
              <w:rPr>
                <w:rFonts w:hint="eastAsia" w:ascii="黑体" w:hAnsi="黑体" w:eastAsia="黑体" w:cs="Times New Roman"/>
                <w:kern w:val="0"/>
                <w:sz w:val="21"/>
                <w:szCs w:val="21"/>
              </w:rPr>
              <w:t>（三）不予公开</w:t>
            </w: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w:t>
            </w:r>
            <w:bookmarkStart w:id="2" w:name="_Hlk66974104"/>
            <w:r>
              <w:rPr>
                <w:rFonts w:hint="eastAsia" w:ascii="仿宋_GB2312" w:hAnsi="黑体" w:eastAsia="仿宋_GB2312" w:cs="Times New Roman"/>
                <w:kern w:val="0"/>
                <w:sz w:val="21"/>
                <w:szCs w:val="21"/>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4.</w:t>
            </w:r>
            <w:bookmarkStart w:id="3" w:name="_Hlk66974290"/>
            <w:r>
              <w:rPr>
                <w:rFonts w:hint="eastAsia" w:ascii="仿宋_GB2312" w:hAnsi="黑体" w:eastAsia="仿宋_GB2312" w:cs="Times New Roman"/>
                <w:kern w:val="0"/>
                <w:sz w:val="21"/>
                <w:szCs w:val="21"/>
              </w:rPr>
              <w:t>保护第三方合法权益</w:t>
            </w:r>
            <w:bookmarkEnd w:id="3"/>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6.</w:t>
            </w:r>
            <w:bookmarkStart w:id="4" w:name="_Hlk66974555"/>
            <w:r>
              <w:rPr>
                <w:rFonts w:hint="eastAsia" w:ascii="仿宋_GB2312" w:hAnsi="黑体" w:eastAsia="仿宋_GB2312" w:cs="Times New Roman"/>
                <w:kern w:val="0"/>
                <w:sz w:val="21"/>
                <w:szCs w:val="21"/>
              </w:rPr>
              <w:t>属于四类过程性信息</w:t>
            </w:r>
            <w:bookmarkEnd w:id="4"/>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8.</w:t>
            </w:r>
            <w:bookmarkStart w:id="5" w:name="_Hlk66975211"/>
            <w:r>
              <w:rPr>
                <w:rFonts w:hint="eastAsia" w:ascii="仿宋_GB2312" w:hAnsi="黑体" w:eastAsia="仿宋_GB2312" w:cs="Times New Roman"/>
                <w:kern w:val="0"/>
                <w:sz w:val="21"/>
                <w:szCs w:val="21"/>
              </w:rPr>
              <w:t>属于行政查询事项</w:t>
            </w:r>
            <w:bookmarkEnd w:id="5"/>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widowControl/>
              <w:spacing w:line="200" w:lineRule="exact"/>
              <w:ind w:left="-163" w:leftChars="-51" w:firstLine="0" w:firstLineChars="0"/>
              <w:rPr>
                <w:rFonts w:ascii="黑体" w:hAnsi="黑体" w:eastAsia="黑体" w:cs="Times New Roman"/>
                <w:sz w:val="21"/>
                <w:szCs w:val="21"/>
              </w:rPr>
            </w:pPr>
            <w:r>
              <w:rPr>
                <w:rFonts w:hint="eastAsia" w:ascii="黑体" w:hAnsi="黑体" w:eastAsia="黑体" w:cs="Times New Roman"/>
                <w:kern w:val="0"/>
                <w:sz w:val="21"/>
                <w:szCs w:val="21"/>
              </w:rPr>
              <w:t>（四）无法提供</w:t>
            </w: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default" w:ascii="仿宋_GB2312" w:hAnsi="Times New Roman" w:eastAsia="仿宋_GB2312" w:cs="Times New Roman"/>
                <w:sz w:val="21"/>
                <w:szCs w:val="21"/>
                <w:lang w:val="en-US"/>
              </w:rPr>
            </w:pPr>
            <w:r>
              <w:rPr>
                <w:rFonts w:hint="eastAsia" w:ascii="仿宋_GB2312" w:cs="Times New Roman"/>
                <w:sz w:val="21"/>
                <w:szCs w:val="21"/>
                <w:lang w:val="en-US" w:eastAsia="zh-CN"/>
              </w:rPr>
              <w:t>37</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default" w:ascii="仿宋_GB2312" w:hAnsi="Times New Roman" w:eastAsia="仿宋_GB2312" w:cs="Times New Roman"/>
                <w:sz w:val="21"/>
                <w:szCs w:val="21"/>
                <w:lang w:val="en-US"/>
              </w:rPr>
            </w:pPr>
            <w:r>
              <w:rPr>
                <w:rFonts w:hint="eastAsia" w:ascii="仿宋_GB2312" w:cs="Times New Roman"/>
                <w:sz w:val="21"/>
                <w:szCs w:val="21"/>
                <w:lang w:val="en-US" w:eastAsia="zh-CN"/>
              </w:rPr>
              <w:t>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left="-163" w:leftChars="-51"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w:t>
            </w:r>
            <w:bookmarkStart w:id="6" w:name="_Hlk66975392"/>
            <w:r>
              <w:rPr>
                <w:rFonts w:hint="eastAsia" w:ascii="仿宋_GB2312" w:hAnsi="黑体" w:eastAsia="仿宋_GB2312" w:cs="Times New Roman"/>
                <w:kern w:val="0"/>
                <w:sz w:val="21"/>
                <w:szCs w:val="21"/>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left="-163" w:leftChars="-51"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3.</w:t>
            </w:r>
            <w:bookmarkStart w:id="7" w:name="_Hlk66975466"/>
            <w:r>
              <w:rPr>
                <w:rFonts w:hint="eastAsia" w:ascii="仿宋_GB2312" w:hAnsi="黑体" w:eastAsia="仿宋_GB2312" w:cs="Times New Roman"/>
                <w:kern w:val="0"/>
                <w:sz w:val="21"/>
                <w:szCs w:val="21"/>
              </w:rPr>
              <w:t>补正后申请内容仍不明确</w:t>
            </w:r>
            <w:bookmarkEnd w:id="7"/>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widowControl/>
              <w:spacing w:line="200" w:lineRule="exact"/>
              <w:ind w:left="-163" w:leftChars="-51" w:firstLine="0" w:firstLineChars="0"/>
              <w:rPr>
                <w:rFonts w:ascii="黑体" w:hAnsi="黑体" w:eastAsia="黑体" w:cs="Times New Roman"/>
                <w:sz w:val="21"/>
                <w:szCs w:val="21"/>
              </w:rPr>
            </w:pPr>
            <w:r>
              <w:rPr>
                <w:rFonts w:hint="eastAsia" w:ascii="黑体" w:hAnsi="黑体" w:eastAsia="黑体" w:cs="Times New Roman"/>
                <w:kern w:val="0"/>
                <w:sz w:val="21"/>
                <w:szCs w:val="21"/>
              </w:rPr>
              <w:t>（五）不予处理</w:t>
            </w: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w:t>
            </w:r>
            <w:bookmarkStart w:id="8" w:name="_Hlk66975537"/>
            <w:r>
              <w:rPr>
                <w:rFonts w:hint="eastAsia" w:ascii="仿宋_GB2312" w:hAnsi="黑体" w:eastAsia="仿宋_GB2312" w:cs="Times New Roman"/>
                <w:kern w:val="0"/>
                <w:sz w:val="21"/>
                <w:szCs w:val="21"/>
              </w:rPr>
              <w:t>信访举报投诉类申请</w:t>
            </w:r>
            <w:bookmarkEnd w:id="8"/>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sz w:val="21"/>
                <w:szCs w:val="21"/>
              </w:rPr>
            </w:pPr>
            <w:r>
              <w:rPr>
                <w:rFonts w:hint="eastAsia" w:ascii="仿宋_GB2312" w:hAnsi="黑体" w:eastAsia="仿宋_GB2312" w:cs="Times New Roman"/>
                <w:kern w:val="0"/>
                <w:sz w:val="21"/>
                <w:szCs w:val="21"/>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200" w:lineRule="exact"/>
              <w:ind w:firstLine="0" w:firstLineChars="0"/>
              <w:rPr>
                <w:rFonts w:ascii="仿宋_GB2312" w:hAnsi="黑体" w:eastAsia="仿宋_GB2312" w:cs="Times New Roman"/>
                <w:sz w:val="21"/>
                <w:szCs w:val="21"/>
              </w:rPr>
            </w:pPr>
            <w:r>
              <w:rPr>
                <w:rFonts w:hint="eastAsia" w:ascii="仿宋_GB2312" w:hAnsi="黑体" w:eastAsia="仿宋_GB2312" w:cs="Times New Roman"/>
                <w:kern w:val="0"/>
                <w:sz w:val="21"/>
                <w:szCs w:val="21"/>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spacing w:line="200" w:lineRule="exact"/>
              <w:ind w:firstLine="0" w:firstLineChars="0"/>
              <w:rPr>
                <w:rFonts w:ascii="黑体" w:hAnsi="黑体" w:eastAsia="黑体" w:cs="Times New Roman"/>
                <w:sz w:val="21"/>
                <w:szCs w:val="21"/>
              </w:rPr>
            </w:pPr>
          </w:p>
        </w:tc>
        <w:tc>
          <w:tcPr>
            <w:tcW w:w="2976" w:type="dxa"/>
            <w:noWrap w:val="0"/>
            <w:tcMar>
              <w:left w:w="108" w:type="dxa"/>
              <w:right w:w="108" w:type="dxa"/>
            </w:tcMar>
            <w:vAlign w:val="center"/>
          </w:tcPr>
          <w:p>
            <w:pPr>
              <w:widowControl/>
              <w:spacing w:line="300" w:lineRule="exact"/>
              <w:ind w:firstLine="0" w:firstLineChars="0"/>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5.要求行政机关确认或重新</w:t>
            </w:r>
          </w:p>
          <w:p>
            <w:pPr>
              <w:widowControl/>
              <w:spacing w:line="300" w:lineRule="exact"/>
              <w:ind w:firstLine="210" w:firstLineChars="100"/>
              <w:rPr>
                <w:rFonts w:ascii="仿宋_GB2312" w:hAnsi="黑体" w:eastAsia="仿宋_GB2312" w:cs="Times New Roman"/>
                <w:sz w:val="21"/>
                <w:szCs w:val="21"/>
              </w:rPr>
            </w:pPr>
            <w:r>
              <w:rPr>
                <w:rFonts w:hint="eastAsia" w:ascii="仿宋_GB2312" w:hAnsi="黑体" w:eastAsia="仿宋_GB2312" w:cs="Times New Roman"/>
                <w:kern w:val="0"/>
                <w:sz w:val="21"/>
                <w:szCs w:val="21"/>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r>
              <w:rPr>
                <w:rFonts w:hint="eastAsia" w:ascii="黑体" w:hAnsi="黑体" w:eastAsia="黑体" w:cs="Times New Roman"/>
                <w:kern w:val="0"/>
                <w:sz w:val="21"/>
                <w:szCs w:val="21"/>
              </w:rPr>
              <w:t>（六）其他处理</w:t>
            </w:r>
          </w:p>
        </w:tc>
        <w:tc>
          <w:tcPr>
            <w:tcW w:w="2976" w:type="dxa"/>
            <w:noWrap w:val="0"/>
            <w:vAlign w:val="center"/>
          </w:tcPr>
          <w:p>
            <w:pPr>
              <w:widowControl/>
              <w:spacing w:line="300" w:lineRule="exact"/>
              <w:ind w:firstLine="0" w:firstLineChars="0"/>
              <w:rPr>
                <w:rFonts w:ascii="仿宋_GB2312" w:hAnsi="楷体" w:eastAsia="仿宋_GB2312" w:cs="Times New Roman"/>
                <w:sz w:val="21"/>
                <w:szCs w:val="22"/>
              </w:rPr>
            </w:pPr>
            <w:r>
              <w:rPr>
                <w:rFonts w:hint="eastAsia" w:ascii="仿宋_GB2312" w:hAnsi="楷体" w:eastAsia="仿宋_GB2312" w:cs="Times New Roman"/>
                <w:sz w:val="21"/>
                <w:szCs w:val="22"/>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p>
        </w:tc>
        <w:tc>
          <w:tcPr>
            <w:tcW w:w="2976" w:type="dxa"/>
            <w:noWrap w:val="0"/>
            <w:vAlign w:val="center"/>
          </w:tcPr>
          <w:p>
            <w:pPr>
              <w:widowControl/>
              <w:spacing w:line="300" w:lineRule="exact"/>
              <w:ind w:firstLine="0" w:firstLineChars="0"/>
              <w:rPr>
                <w:rFonts w:ascii="仿宋_GB2312" w:hAnsi="黑体" w:eastAsia="仿宋_GB2312" w:cs="Times New Roman"/>
                <w:kern w:val="0"/>
                <w:sz w:val="21"/>
                <w:szCs w:val="21"/>
              </w:rPr>
            </w:pPr>
            <w:r>
              <w:rPr>
                <w:rFonts w:hint="eastAsia" w:ascii="仿宋_GB2312" w:hAnsi="楷体" w:eastAsia="仿宋_GB2312" w:cs="Times New Roman"/>
                <w:sz w:val="21"/>
                <w:szCs w:val="22"/>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p>
        </w:tc>
        <w:tc>
          <w:tcPr>
            <w:tcW w:w="2976" w:type="dxa"/>
            <w:noWrap w:val="0"/>
            <w:vAlign w:val="center"/>
          </w:tcPr>
          <w:p>
            <w:pPr>
              <w:widowControl/>
              <w:spacing w:line="300" w:lineRule="exact"/>
              <w:ind w:firstLine="0" w:firstLineChars="0"/>
              <w:rPr>
                <w:rFonts w:ascii="仿宋_GB2312" w:hAnsi="黑体" w:eastAsia="仿宋_GB2312" w:cs="Times New Roman"/>
                <w:kern w:val="0"/>
                <w:sz w:val="21"/>
                <w:szCs w:val="21"/>
              </w:rPr>
            </w:pPr>
            <w:r>
              <w:rPr>
                <w:rFonts w:hint="eastAsia" w:ascii="仿宋_GB2312" w:hAnsi="楷体" w:eastAsia="仿宋_GB2312" w:cs="Times New Roman"/>
                <w:sz w:val="21"/>
                <w:szCs w:val="22"/>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2</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lang w:val="en-US"/>
              </w:rPr>
            </w:pPr>
            <w:r>
              <w:rPr>
                <w:rFonts w:hint="eastAsia" w:ascii="仿宋_GB2312" w:cs="Times New Roman"/>
                <w:color w:val="auto"/>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4677" w:type="dxa"/>
            <w:gridSpan w:val="2"/>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r>
              <w:rPr>
                <w:rFonts w:hint="eastAsia" w:ascii="黑体" w:hAnsi="黑体" w:eastAsia="黑体" w:cs="Times New Roman"/>
                <w:kern w:val="0"/>
                <w:sz w:val="21"/>
                <w:szCs w:val="21"/>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default" w:ascii="仿宋_GB2312" w:hAnsi="Times New Roman" w:eastAsia="仿宋_GB2312" w:cs="Times New Roman"/>
                <w:color w:val="auto"/>
                <w:sz w:val="21"/>
                <w:szCs w:val="21"/>
                <w:lang w:val="en-US"/>
              </w:rPr>
            </w:pPr>
            <w:r>
              <w:rPr>
                <w:rFonts w:hint="eastAsia" w:ascii="仿宋_GB2312" w:cs="Times New Roman"/>
                <w:color w:val="auto"/>
                <w:sz w:val="21"/>
                <w:szCs w:val="21"/>
                <w:lang w:val="en-US" w:eastAsia="zh-CN"/>
              </w:rPr>
              <w:t>50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hint="default" w:ascii="仿宋_GB2312" w:hAnsi="Times New Roman" w:eastAsia="仿宋_GB2312" w:cs="Times New Roman"/>
                <w:color w:val="auto"/>
                <w:sz w:val="21"/>
                <w:szCs w:val="21"/>
                <w:lang w:val="en-US"/>
              </w:rPr>
            </w:pPr>
            <w:r>
              <w:rPr>
                <w:rFonts w:hint="eastAsia" w:ascii="仿宋_GB2312" w:cs="Times New Roman"/>
                <w:color w:val="auto"/>
                <w:sz w:val="21"/>
                <w:szCs w:val="21"/>
                <w:lang w:val="en-US" w:eastAsia="zh-CN"/>
              </w:rPr>
              <w:t>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r>
              <w:rPr>
                <w:rFonts w:hint="eastAsia" w:ascii="黑体" w:hAnsi="黑体" w:eastAsia="黑体" w:cs="Times New Roman"/>
                <w:kern w:val="0"/>
                <w:sz w:val="21"/>
                <w:szCs w:val="21"/>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2</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仿宋_GB2312" w:hAnsi="Times New Roman" w:eastAsia="仿宋_GB2312" w:cs="Times New Roman"/>
                <w:color w:val="auto"/>
                <w:sz w:val="21"/>
                <w:szCs w:val="21"/>
                <w:lang w:val="en-US"/>
              </w:rPr>
            </w:pPr>
            <w:r>
              <w:rPr>
                <w:rFonts w:hint="eastAsia" w:ascii="仿宋_GB2312" w:cs="Times New Roman"/>
                <w:color w:val="auto"/>
                <w:sz w:val="21"/>
                <w:szCs w:val="21"/>
                <w:lang w:val="en-US" w:eastAsia="zh-CN"/>
              </w:rPr>
              <w:t>2</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240" w:lineRule="auto"/>
              <w:ind w:left="-227" w:leftChars="-71" w:right="-259" w:rightChars="-81"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227" w:leftChars="-71" w:right="-259" w:rightChars="-81" w:firstLine="0" w:firstLineChars="0"/>
              <w:jc w:val="center"/>
              <w:rPr>
                <w:rFonts w:ascii="黑体" w:hAnsi="黑体" w:eastAsia="黑体" w:cs="Times New Roman"/>
                <w:sz w:val="21"/>
                <w:szCs w:val="22"/>
              </w:rPr>
            </w:pPr>
            <w:r>
              <w:rPr>
                <w:rFonts w:ascii="黑体" w:hAnsi="黑体"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240" w:lineRule="auto"/>
              <w:ind w:left="-66" w:leftChars="-21" w:right="-202" w:rightChars="-63" w:hanging="1" w:firstLineChars="0"/>
              <w:jc w:val="center"/>
              <w:rPr>
                <w:rFonts w:ascii="黑体" w:hAnsi="黑体" w:eastAsia="黑体" w:cs="Times New Roman"/>
                <w:sz w:val="21"/>
                <w:szCs w:val="22"/>
              </w:rPr>
            </w:pPr>
            <w:r>
              <w:rPr>
                <w:rFonts w:ascii="黑体" w:hAnsi="黑体"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25" w:leftChars="-39" w:right="-147" w:rightChars="-46" w:firstLine="0" w:firstLineChars="0"/>
              <w:jc w:val="center"/>
              <w:rPr>
                <w:rFonts w:ascii="黑体" w:hAnsi="黑体" w:eastAsia="黑体" w:cs="Times New Roman"/>
                <w:sz w:val="21"/>
                <w:szCs w:val="22"/>
              </w:rPr>
            </w:pPr>
            <w:r>
              <w:rPr>
                <w:rFonts w:ascii="黑体" w:hAnsi="黑体"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79" w:leftChars="-56" w:right="-179" w:rightChars="-56"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spacing w:line="240" w:lineRule="auto"/>
              <w:ind w:left="-179" w:leftChars="-56" w:right="-179" w:rightChars="-56" w:firstLine="0" w:firstLineChars="0"/>
              <w:jc w:val="center"/>
              <w:rPr>
                <w:rFonts w:ascii="黑体" w:hAnsi="黑体" w:eastAsia="黑体" w:cs="Times New Roman"/>
                <w:sz w:val="21"/>
                <w:szCs w:val="22"/>
              </w:rPr>
            </w:pPr>
            <w:r>
              <w:rPr>
                <w:rFonts w:ascii="黑体" w:hAnsi="黑体"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ind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总</w:t>
            </w:r>
          </w:p>
          <w:p>
            <w:pPr>
              <w:widowControl/>
              <w:spacing w:line="320" w:lineRule="exact"/>
              <w:ind w:firstLine="0" w:firstLineChars="0"/>
              <w:jc w:val="center"/>
              <w:rPr>
                <w:rFonts w:ascii="黑体" w:hAnsi="黑体" w:eastAsia="黑体" w:cs="Times New Roman"/>
                <w:sz w:val="21"/>
                <w:szCs w:val="22"/>
              </w:rPr>
            </w:pPr>
            <w:r>
              <w:rPr>
                <w:rFonts w:ascii="黑体" w:hAnsi="黑体"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bookmarkStart w:id="9" w:name="_Hlk67039688"/>
            <w:r>
              <w:rPr>
                <w:rFonts w:ascii="黑体" w:hAnsi="黑体"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40" w:lineRule="auto"/>
              <w:ind w:firstLine="0" w:firstLineChars="0"/>
              <w:rPr>
                <w:rFonts w:ascii="黑体" w:hAnsi="黑体" w:eastAsia="黑体" w:cs="Times New Roman"/>
                <w:sz w:val="24"/>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rPr>
                <w:rFonts w:ascii="黑体" w:hAnsi="黑体" w:eastAsia="黑体" w:cs="Times New Roman"/>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rPr>
                <w:rFonts w:ascii="黑体" w:hAnsi="黑体" w:eastAsia="黑体" w:cs="Times New Roman"/>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rPr>
                <w:rFonts w:ascii="黑体" w:hAnsi="黑体" w:eastAsia="黑体" w:cs="Times New Roman"/>
                <w:sz w:val="24"/>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rPr>
                <w:rFonts w:ascii="黑体" w:hAnsi="黑体" w:eastAsia="黑体" w:cs="Times New Roman"/>
                <w:sz w:val="24"/>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line="240" w:lineRule="auto"/>
              <w:ind w:left="-160" w:leftChars="-50" w:right="-192" w:rightChars="-60" w:firstLine="0" w:firstLineChars="0"/>
              <w:jc w:val="center"/>
              <w:rPr>
                <w:rFonts w:ascii="黑体" w:hAnsi="黑体" w:eastAsia="黑体" w:cs="Times New Roman"/>
                <w:sz w:val="21"/>
                <w:szCs w:val="22"/>
              </w:rPr>
            </w:pPr>
            <w:r>
              <w:rPr>
                <w:rFonts w:ascii="黑体" w:hAnsi="黑体"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240" w:lineRule="auto"/>
              <w:ind w:left="-131" w:leftChars="-41" w:right="-134" w:rightChars="-42" w:firstLine="0" w:firstLineChars="0"/>
              <w:jc w:val="center"/>
              <w:rPr>
                <w:rFonts w:ascii="黑体" w:hAnsi="黑体" w:eastAsia="黑体" w:cs="Times New Roman"/>
                <w:sz w:val="21"/>
                <w:szCs w:val="22"/>
              </w:rPr>
            </w:pPr>
            <w:r>
              <w:rPr>
                <w:rFonts w:ascii="黑体" w:hAnsi="黑体"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92" w:leftChars="-60" w:right="-208" w:rightChars="-65"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spacing w:line="240" w:lineRule="auto"/>
              <w:ind w:left="-192" w:leftChars="-60" w:right="-208" w:rightChars="-65" w:firstLine="0" w:firstLineChars="0"/>
              <w:jc w:val="center"/>
              <w:rPr>
                <w:rFonts w:ascii="黑体" w:hAnsi="黑体" w:eastAsia="黑体" w:cs="Times New Roman"/>
                <w:sz w:val="21"/>
                <w:szCs w:val="22"/>
              </w:rPr>
            </w:pPr>
            <w:r>
              <w:rPr>
                <w:rFonts w:ascii="黑体" w:hAnsi="黑体"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249" w:leftChars="-78" w:right="-234" w:rightChars="-73"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spacing w:line="240" w:lineRule="auto"/>
              <w:ind w:left="-249" w:leftChars="-78" w:right="-234" w:rightChars="-73" w:firstLine="0" w:firstLineChars="0"/>
              <w:jc w:val="center"/>
              <w:rPr>
                <w:rFonts w:ascii="黑体" w:hAnsi="黑体" w:eastAsia="黑体" w:cs="Times New Roman"/>
                <w:sz w:val="21"/>
                <w:szCs w:val="22"/>
              </w:rPr>
            </w:pPr>
            <w:r>
              <w:rPr>
                <w:rFonts w:ascii="黑体" w:hAnsi="黑体"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50" w:leftChars="-47" w:right="-118" w:rightChars="-37" w:firstLine="0" w:firstLineChars="0"/>
              <w:jc w:val="center"/>
              <w:rPr>
                <w:rFonts w:ascii="黑体" w:hAnsi="黑体" w:eastAsia="黑体" w:cs="Times New Roman"/>
                <w:sz w:val="21"/>
                <w:szCs w:val="22"/>
              </w:rPr>
            </w:pPr>
            <w:r>
              <w:rPr>
                <w:rFonts w:ascii="黑体" w:hAnsi="黑体"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208" w:leftChars="-65" w:right="-189" w:rightChars="-59"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208" w:leftChars="-65" w:right="-189" w:rightChars="-59" w:firstLine="0" w:firstLineChars="0"/>
              <w:jc w:val="center"/>
              <w:rPr>
                <w:rFonts w:ascii="黑体" w:hAnsi="黑体" w:eastAsia="黑体" w:cs="Times New Roman"/>
                <w:sz w:val="21"/>
                <w:szCs w:val="22"/>
              </w:rPr>
            </w:pPr>
            <w:r>
              <w:rPr>
                <w:rFonts w:ascii="黑体" w:hAnsi="黑体"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265" w:leftChars="-83" w:right="-205" w:rightChars="-64" w:hanging="1" w:firstLineChars="0"/>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spacing w:line="240" w:lineRule="auto"/>
              <w:ind w:left="-265" w:leftChars="-83" w:right="-205" w:rightChars="-64" w:hanging="1" w:firstLineChars="0"/>
              <w:jc w:val="center"/>
              <w:rPr>
                <w:rFonts w:ascii="黑体" w:hAnsi="黑体" w:eastAsia="黑体" w:cs="Times New Roman"/>
                <w:sz w:val="21"/>
                <w:szCs w:val="22"/>
              </w:rPr>
            </w:pPr>
            <w:r>
              <w:rPr>
                <w:rFonts w:ascii="黑体" w:hAnsi="黑体"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04" w:leftChars="-33" w:right="-160" w:rightChars="-50" w:hanging="2" w:hangingChars="1"/>
              <w:jc w:val="center"/>
              <w:rPr>
                <w:rFonts w:ascii="黑体" w:hAnsi="黑体" w:eastAsia="黑体" w:cs="Times New Roman"/>
                <w:sz w:val="21"/>
                <w:szCs w:val="22"/>
              </w:rPr>
            </w:pPr>
            <w:r>
              <w:rPr>
                <w:rFonts w:ascii="黑体" w:hAnsi="黑体"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2</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2</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line="240" w:lineRule="auto"/>
              <w:ind w:firstLine="0" w:firstLineChars="0"/>
              <w:jc w:val="center"/>
              <w:rPr>
                <w:rFonts w:hint="eastAsia" w:ascii="Times New Roman" w:hAnsi="Times New Roman" w:eastAsia="宋体" w:cs="Times New Roman"/>
                <w:sz w:val="21"/>
                <w:szCs w:val="22"/>
                <w:lang w:val="en-US" w:eastAsia="zh-CN"/>
              </w:rPr>
            </w:pPr>
            <w:r>
              <w:rPr>
                <w:rFonts w:hint="eastAsia" w:eastAsia="宋体" w:cs="Times New Roman"/>
                <w:sz w:val="21"/>
                <w:szCs w:val="22"/>
                <w:lang w:val="en-US" w:eastAsia="zh-CN"/>
              </w:rPr>
              <w:t>0</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highlight w:val="none"/>
          <w:shd w:val="clear" w:color="auto" w:fill="FFFFFF"/>
          <w:lang w:val="en-US" w:eastAsia="zh-CN" w:bidi="ar"/>
        </w:rPr>
      </w:pPr>
      <w:r>
        <w:rPr>
          <w:rFonts w:hint="eastAsia" w:ascii="黑体" w:hAnsi="黑体" w:eastAsia="黑体" w:cs="黑体"/>
          <w:b w:val="0"/>
          <w:bCs/>
          <w:i w:val="0"/>
          <w:caps w:val="0"/>
          <w:color w:val="333333"/>
          <w:spacing w:val="0"/>
          <w:kern w:val="0"/>
          <w:sz w:val="32"/>
          <w:szCs w:val="32"/>
          <w:highlight w:val="none"/>
          <w:shd w:val="clear" w:color="auto" w:fill="FFFFFF"/>
          <w:lang w:val="en-US" w:eastAsia="zh-CN" w:bidi="ar"/>
        </w:rPr>
        <w:t>五、存在的主要问题及改进情况</w:t>
      </w:r>
    </w:p>
    <w:p>
      <w:pPr>
        <w:numPr>
          <w:ilvl w:val="0"/>
          <w:numId w:val="0"/>
        </w:numPr>
        <w:ind w:firstLine="640"/>
        <w:rPr>
          <w:rFonts w:hint="eastAsia"/>
          <w:lang w:val="en-US" w:eastAsia="zh-CN"/>
        </w:rPr>
      </w:pPr>
      <w:r>
        <w:rPr>
          <w:rFonts w:hint="eastAsia"/>
          <w:lang w:val="en-US" w:eastAsia="zh-CN"/>
        </w:rPr>
        <w:t>2024年，区政府办公室政府信息公开工作存在以下不足：一是主动公开信息的时效性和规范化有待提升；二是政民互动的活动形式相对单一，在“政府开放日”等互动类活动的形式和内容上缺乏创新亮点；三是典型工作经验挖掘不足。</w:t>
      </w:r>
    </w:p>
    <w:p>
      <w:pPr>
        <w:numPr>
          <w:ilvl w:val="0"/>
          <w:numId w:val="0"/>
        </w:numPr>
        <w:ind w:firstLine="640"/>
        <w:rPr>
          <w:rFonts w:hint="eastAsia"/>
          <w:lang w:val="en-US" w:eastAsia="zh-CN"/>
        </w:rPr>
      </w:pPr>
      <w:r>
        <w:rPr>
          <w:rFonts w:hint="eastAsia"/>
          <w:lang w:val="en-US" w:eastAsia="zh-CN"/>
        </w:rPr>
        <w:t>针对上述问题，2024年采取积极有效的举措进行整改提升：一是提高信息发布质量，对政府网站和政务新媒体落实主体监管责任，强化信息发布审核和安全防护机制，有效促进政府网站和政务新媒体健康有序发展；二是探索创新多样的互动形式。积极学习外地先进经验，聚焦群众需求，扩大公众参与范围，以群众喜闻乐见的方式开展各类政民互动。三是加大业务宣传力度，制定全区政务公开重点宣传内容，挖掘提炼亮点工作，着力打造民生实事“有温度”、政务服务“有速度”、政府工作“有效能”的政务公开品牌。</w:t>
      </w:r>
    </w:p>
    <w:p>
      <w:pPr>
        <w:numPr>
          <w:ilvl w:val="0"/>
          <w:numId w:val="0"/>
        </w:numPr>
        <w:ind w:firstLine="640"/>
        <w:rPr>
          <w:rFonts w:hint="eastAsia" w:ascii="黑体" w:hAnsi="黑体" w:eastAsia="黑体" w:cs="黑体"/>
          <w:lang w:val="en-US" w:eastAsia="zh-CN"/>
        </w:rPr>
      </w:pPr>
      <w:r>
        <w:rPr>
          <w:rFonts w:hint="eastAsia" w:ascii="黑体" w:hAnsi="黑体" w:eastAsia="黑体" w:cs="黑体"/>
          <w:lang w:val="en-US" w:eastAsia="zh-CN"/>
        </w:rPr>
        <w:t>六、其他需要报告的事项</w:t>
      </w:r>
    </w:p>
    <w:p>
      <w:pPr>
        <w:pStyle w:val="5"/>
        <w:rPr>
          <w:rFonts w:hint="default"/>
          <w:lang w:val="en-US" w:eastAsia="zh-CN"/>
        </w:rPr>
      </w:pPr>
      <w:r>
        <w:rPr>
          <w:rFonts w:hint="eastAsia" w:ascii="楷体_GB2312" w:hAnsi="楷体_GB2312" w:eastAsia="楷体_GB2312" w:cs="楷体_GB2312"/>
          <w:lang w:val="en-US" w:eastAsia="zh-CN"/>
        </w:rPr>
        <w:t>（一）依据《政府信息公开信息处理费管理办法》收取信息处理费的情况</w:t>
      </w:r>
    </w:p>
    <w:p>
      <w:pPr>
        <w:pStyle w:val="5"/>
        <w:rPr>
          <w:rFonts w:hint="default"/>
          <w:lang w:val="en-US" w:eastAsia="zh-CN"/>
        </w:rPr>
      </w:pPr>
      <w:r>
        <w:rPr>
          <w:rFonts w:hint="default"/>
          <w:lang w:val="en-US" w:eastAsia="zh-CN"/>
        </w:rPr>
        <w:t>202</w:t>
      </w:r>
      <w:r>
        <w:rPr>
          <w:rFonts w:hint="eastAsia"/>
          <w:lang w:val="en-US" w:eastAsia="zh-CN"/>
        </w:rPr>
        <w:t>4</w:t>
      </w:r>
      <w:r>
        <w:rPr>
          <w:rFonts w:hint="default"/>
          <w:lang w:val="en-US" w:eastAsia="zh-CN"/>
        </w:rPr>
        <w:t>年度，我机关在办理以及代区政府办理政府信息公开申请过程中，未收取任何信息处理费。</w:t>
      </w:r>
    </w:p>
    <w:p>
      <w:pPr>
        <w:pStyle w:val="5"/>
        <w:numPr>
          <w:ilvl w:val="0"/>
          <w:numId w:val="0"/>
        </w:numPr>
        <w:ind w:firstLine="640" w:firstLineChars="200"/>
        <w:rPr>
          <w:rFonts w:hint="eastAsia" w:ascii="楷体_GB2312" w:hAnsi="楷体_GB2312" w:eastAsia="楷体_GB2312" w:cs="楷体_GB2312"/>
          <w:highlight w:val="none"/>
          <w:lang w:val="en-US" w:eastAsia="zh-CN"/>
        </w:rPr>
      </w:pPr>
      <w:r>
        <w:rPr>
          <w:rFonts w:hint="eastAsia" w:ascii="楷体_GB2312" w:hAnsi="楷体_GB2312" w:eastAsia="楷体_GB2312" w:cs="楷体_GB2312"/>
          <w:kern w:val="2"/>
          <w:sz w:val="32"/>
          <w:szCs w:val="24"/>
          <w:lang w:val="en-US" w:eastAsia="zh-CN" w:bidi="ar-SA"/>
        </w:rPr>
        <w:t>（二）</w:t>
      </w:r>
      <w:r>
        <w:rPr>
          <w:rFonts w:hint="eastAsia" w:ascii="楷体_GB2312" w:hAnsi="楷体_GB2312" w:eastAsia="楷体_GB2312" w:cs="楷体_GB2312"/>
          <w:highlight w:val="none"/>
          <w:lang w:val="en-US" w:eastAsia="zh-CN"/>
        </w:rPr>
        <w:t>本年度人大代表建议和政协提案办理情况</w:t>
      </w:r>
    </w:p>
    <w:p>
      <w:pPr>
        <w:numPr>
          <w:ilvl w:val="0"/>
          <w:numId w:val="0"/>
        </w:numPr>
        <w:ind w:firstLine="640" w:firstLineChars="200"/>
        <w:rPr>
          <w:rFonts w:hint="default"/>
          <w:lang w:val="en-US" w:eastAsia="zh-CN"/>
        </w:rPr>
      </w:pPr>
      <w:r>
        <w:rPr>
          <w:rFonts w:hint="eastAsia"/>
          <w:lang w:val="en-US" w:eastAsia="zh-CN"/>
        </w:rPr>
        <w:t xml:space="preserve"> 2024年，本机关收到本级人大代表建议和政协委员提案、市级人大代表建议和政协委员提案均为0件。  </w:t>
      </w:r>
    </w:p>
    <w:p>
      <w:pPr>
        <w:pStyle w:val="5"/>
        <w:numPr>
          <w:ilvl w:val="0"/>
          <w:numId w:val="0"/>
        </w:numPr>
        <w:ind w:firstLine="640" w:firstLineChars="200"/>
        <w:rPr>
          <w:rFonts w:hint="eastAsia"/>
          <w:lang w:val="en-US" w:eastAsia="zh-CN"/>
        </w:rPr>
      </w:pPr>
      <w:r>
        <w:rPr>
          <w:rFonts w:hint="eastAsia" w:ascii="楷体_GB2312" w:hAnsi="楷体_GB2312" w:eastAsia="楷体_GB2312" w:cs="楷体_GB2312"/>
          <w:kern w:val="2"/>
          <w:sz w:val="32"/>
          <w:szCs w:val="24"/>
          <w:lang w:val="en-US" w:eastAsia="zh-CN" w:bidi="ar-SA"/>
        </w:rPr>
        <w:t>（三）</w:t>
      </w:r>
      <w:r>
        <w:rPr>
          <w:rFonts w:hint="eastAsia" w:ascii="楷体_GB2312" w:hAnsi="楷体_GB2312" w:eastAsia="楷体_GB2312" w:cs="楷体_GB2312"/>
          <w:lang w:val="en-US" w:eastAsia="zh-CN"/>
        </w:rPr>
        <w:t>本单位在政务公开制度、内容、形式和平台建设方面的创新实践情况</w:t>
      </w:r>
    </w:p>
    <w:p>
      <w:pPr>
        <w:numPr>
          <w:ilvl w:val="0"/>
          <w:numId w:val="0"/>
        </w:numPr>
        <w:rPr>
          <w:rFonts w:hint="eastAsia"/>
          <w:lang w:val="en-US" w:eastAsia="zh-CN"/>
        </w:rPr>
      </w:pPr>
      <w:r>
        <w:rPr>
          <w:rFonts w:hint="eastAsia"/>
          <w:lang w:val="en-US" w:eastAsia="zh-CN"/>
        </w:rPr>
        <w:t xml:space="preserve">    2024年，</w:t>
      </w:r>
      <w:r>
        <w:rPr>
          <w:rFonts w:hint="eastAsia" w:ascii="仿宋_GB2312" w:hAnsi="仿宋_GB2312" w:eastAsia="仿宋_GB2312" w:cs="仿宋_GB2312"/>
          <w:sz w:val="32"/>
          <w:szCs w:val="32"/>
          <w:lang w:eastAsia="zh-CN"/>
        </w:rPr>
        <w:t>严格按照国家、省、市政务公开专区要求，进一步推进政务公开专区建设，推进基层政务公开专区标准化、规范化</w:t>
      </w:r>
      <w:r>
        <w:rPr>
          <w:rFonts w:hint="eastAsia" w:ascii="仿宋_GB2312" w:hAnsi="仿宋_GB2312" w:cs="仿宋_GB2312"/>
          <w:sz w:val="32"/>
          <w:szCs w:val="32"/>
          <w:lang w:val="en-US" w:eastAsia="zh-CN"/>
        </w:rPr>
        <w:t>发展，区政府办公室政务公开专区调研小组到区档案馆、马尚街道办事处、少儿图书馆和区市民中心进行实地参观体验</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区档案馆在文档服务大厅增设政务公开便民服务专区，搭建“互联网+政务+各级政府公报专刊”资源利用平台，通过工作人员指导、查档者自助查阅的方式，让查档者“快知晓、会运用、多收益”，拉近了政务公开服务平台与查档者之间的距离，同时创新开展山东省档案查询利用平台“一网通办”、函电代查、延时服务等项服务。张店区市民中心政务公开专区根据服务内容设置多媒体展示区、自助查询区等功能区域，放置资料展示架，通过展示政府公报、政府信息公开条例、政务公开工作动态及其他政务公开政策材料，供群众了解相关工作情况，专区设置了民众休息区，规范了咨询服务，现场设置咨询台，配备引导员，针对群众设备操作、信息查询、业务办理等不熟悉的问题，提供指引、咨询、查阅等服务，为政务公开工作提质增温。</w:t>
      </w:r>
    </w:p>
    <w:p>
      <w:pPr>
        <w:rPr>
          <w:rFonts w:hint="eastAsia" w:ascii="楷体_GB2312" w:hAnsi="楷体_GB2312" w:eastAsia="楷体_GB2312" w:cs="楷体_GB2312"/>
          <w:lang w:val="en-US" w:eastAsia="zh-CN"/>
        </w:rPr>
      </w:pPr>
      <w:r>
        <w:rPr>
          <w:rFonts w:hint="eastAsia" w:ascii="Times New Roman" w:hAnsi="Times New Roman" w:eastAsia="楷体_GB2312" w:cs="楷体_GB2312"/>
          <w:sz w:val="32"/>
          <w:lang w:val="en-US" w:eastAsia="zh-CN"/>
        </w:rPr>
        <w:t>（四）《2024年淄博市政务公开工作方案》落实情况</w:t>
      </w:r>
    </w:p>
    <w:p>
      <w:pPr>
        <w:rPr>
          <w:rFonts w:hint="eastAsia" w:ascii="楷体_GB2312" w:hAnsi="楷体_GB2312" w:eastAsia="楷体_GB2312" w:cs="楷体_GB2312"/>
          <w:lang w:val="en-US" w:eastAsia="zh-CN"/>
        </w:rPr>
      </w:pPr>
      <w:r>
        <w:rPr>
          <w:rFonts w:hint="eastAsia"/>
          <w:lang w:val="en-US" w:eastAsia="zh-CN"/>
        </w:rPr>
        <w:t>根据省、市政务公开工作方案要求，区政府办公室持续做好贯彻落实工作，印发了《2024年张店区政务公开工作方案》，做好政务公开重点工作任务分工，根据任务分工将全年的政务公开工作落实到位。</w:t>
      </w:r>
    </w:p>
    <w:p>
      <w:pP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（五）本机关认为需要报告的其他事项</w:t>
      </w:r>
    </w:p>
    <w:p>
      <w:pPr>
        <w:rPr>
          <w:rFonts w:hint="eastAsia"/>
          <w:lang w:val="en-US" w:eastAsia="zh-CN"/>
        </w:rPr>
      </w:pPr>
      <w:r>
        <w:rPr>
          <w:rFonts w:hint="eastAsia"/>
          <w:lang w:val="en-US" w:eastAsia="zh-CN"/>
        </w:rPr>
        <w:t>无。</w:t>
      </w:r>
    </w:p>
    <w:p>
      <w:pPr>
        <w:rPr>
          <w:rFonts w:hint="default"/>
          <w:lang w:val="en-US" w:eastAsia="zh-CN"/>
        </w:rPr>
      </w:pPr>
    </w:p>
    <w:sectPr>
      <w:footerReference r:id="rId5" w:type="default"/>
      <w:pgSz w:w="11906" w:h="16838"/>
      <w:pgMar w:top="2098" w:right="1474" w:bottom="1984" w:left="1587" w:header="851" w:footer="992"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439"/>
        <w:tab w:val="clear" w:pos="4153"/>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GI4MGY0ZjgwNzk0YmNhNTNkN2E0NTRhYTAwMjMifQ=="/>
  </w:docVars>
  <w:rsids>
    <w:rsidRoot w:val="135C60EE"/>
    <w:rsid w:val="008B5779"/>
    <w:rsid w:val="00C528D4"/>
    <w:rsid w:val="00F44F67"/>
    <w:rsid w:val="01C81F50"/>
    <w:rsid w:val="01E90844"/>
    <w:rsid w:val="02591A57"/>
    <w:rsid w:val="031E451D"/>
    <w:rsid w:val="0341020B"/>
    <w:rsid w:val="03C52BEB"/>
    <w:rsid w:val="04082AD7"/>
    <w:rsid w:val="04341160"/>
    <w:rsid w:val="04DB77CA"/>
    <w:rsid w:val="04DF1A8A"/>
    <w:rsid w:val="04ED5CD5"/>
    <w:rsid w:val="052120A3"/>
    <w:rsid w:val="059C5BCD"/>
    <w:rsid w:val="06840B3B"/>
    <w:rsid w:val="07B216D8"/>
    <w:rsid w:val="0825634E"/>
    <w:rsid w:val="084E1401"/>
    <w:rsid w:val="08BB45BC"/>
    <w:rsid w:val="08FD6983"/>
    <w:rsid w:val="09A92667"/>
    <w:rsid w:val="09B1365A"/>
    <w:rsid w:val="09F2400E"/>
    <w:rsid w:val="0B154457"/>
    <w:rsid w:val="0B1A1A6E"/>
    <w:rsid w:val="0B907F82"/>
    <w:rsid w:val="0B9A2BAF"/>
    <w:rsid w:val="0BB2089B"/>
    <w:rsid w:val="0BBD7727"/>
    <w:rsid w:val="0C272694"/>
    <w:rsid w:val="0CE00A95"/>
    <w:rsid w:val="0CF32576"/>
    <w:rsid w:val="0DD73C46"/>
    <w:rsid w:val="0E0D58BA"/>
    <w:rsid w:val="0E1B7FD7"/>
    <w:rsid w:val="0E3A41D5"/>
    <w:rsid w:val="0EE54141"/>
    <w:rsid w:val="0F3B4AA4"/>
    <w:rsid w:val="0F760C96"/>
    <w:rsid w:val="10D73F5D"/>
    <w:rsid w:val="11252B5A"/>
    <w:rsid w:val="11CE710E"/>
    <w:rsid w:val="129545B6"/>
    <w:rsid w:val="12AA36D7"/>
    <w:rsid w:val="12CA3D79"/>
    <w:rsid w:val="12E23E98"/>
    <w:rsid w:val="13250101"/>
    <w:rsid w:val="135C60EE"/>
    <w:rsid w:val="139652A4"/>
    <w:rsid w:val="14634486"/>
    <w:rsid w:val="14BC5944"/>
    <w:rsid w:val="154A73F4"/>
    <w:rsid w:val="15512530"/>
    <w:rsid w:val="15B36D47"/>
    <w:rsid w:val="15EC4007"/>
    <w:rsid w:val="160D2C78"/>
    <w:rsid w:val="16707CBC"/>
    <w:rsid w:val="16D276A1"/>
    <w:rsid w:val="179F0317"/>
    <w:rsid w:val="1A604FC3"/>
    <w:rsid w:val="1A8F3FBF"/>
    <w:rsid w:val="1AC60B16"/>
    <w:rsid w:val="1AD734D7"/>
    <w:rsid w:val="1B3D6D31"/>
    <w:rsid w:val="1BC577D4"/>
    <w:rsid w:val="1BE35EAC"/>
    <w:rsid w:val="1C5841A4"/>
    <w:rsid w:val="1D012A8E"/>
    <w:rsid w:val="1DB45D52"/>
    <w:rsid w:val="1DB95116"/>
    <w:rsid w:val="1DCC309C"/>
    <w:rsid w:val="1E2D1660"/>
    <w:rsid w:val="1ED32208"/>
    <w:rsid w:val="2031368A"/>
    <w:rsid w:val="20B80137"/>
    <w:rsid w:val="21221225"/>
    <w:rsid w:val="217B6657"/>
    <w:rsid w:val="21AC2C6B"/>
    <w:rsid w:val="222334A6"/>
    <w:rsid w:val="22B20386"/>
    <w:rsid w:val="22F64717"/>
    <w:rsid w:val="234436D4"/>
    <w:rsid w:val="237B69CA"/>
    <w:rsid w:val="243C084F"/>
    <w:rsid w:val="250A6257"/>
    <w:rsid w:val="26BA14C9"/>
    <w:rsid w:val="273C2507"/>
    <w:rsid w:val="277976C4"/>
    <w:rsid w:val="281D62A2"/>
    <w:rsid w:val="285919D0"/>
    <w:rsid w:val="28FD67FF"/>
    <w:rsid w:val="29015BC3"/>
    <w:rsid w:val="29581C87"/>
    <w:rsid w:val="2A353D77"/>
    <w:rsid w:val="2B4A56D6"/>
    <w:rsid w:val="2BA74800"/>
    <w:rsid w:val="2BDD0222"/>
    <w:rsid w:val="2BE912BD"/>
    <w:rsid w:val="2BEC4909"/>
    <w:rsid w:val="2BF33EE9"/>
    <w:rsid w:val="2C7C77B8"/>
    <w:rsid w:val="2CCD3F5D"/>
    <w:rsid w:val="2CFA66A7"/>
    <w:rsid w:val="2D8748E9"/>
    <w:rsid w:val="2DB61AF8"/>
    <w:rsid w:val="2DDE64D3"/>
    <w:rsid w:val="2DEA3563"/>
    <w:rsid w:val="2E3600BD"/>
    <w:rsid w:val="2E536EC1"/>
    <w:rsid w:val="2E9574DA"/>
    <w:rsid w:val="2EB21E3A"/>
    <w:rsid w:val="2F542EF1"/>
    <w:rsid w:val="303E14AB"/>
    <w:rsid w:val="30751371"/>
    <w:rsid w:val="30A64E03"/>
    <w:rsid w:val="30BD4AC6"/>
    <w:rsid w:val="30D8545C"/>
    <w:rsid w:val="311C359A"/>
    <w:rsid w:val="325946B1"/>
    <w:rsid w:val="35323D32"/>
    <w:rsid w:val="3550415A"/>
    <w:rsid w:val="361231BE"/>
    <w:rsid w:val="36162CAE"/>
    <w:rsid w:val="36491F1D"/>
    <w:rsid w:val="36D60AFB"/>
    <w:rsid w:val="36FB00F6"/>
    <w:rsid w:val="37645C9B"/>
    <w:rsid w:val="37C14E9C"/>
    <w:rsid w:val="37D56B99"/>
    <w:rsid w:val="37ED079B"/>
    <w:rsid w:val="39184F8F"/>
    <w:rsid w:val="391D4354"/>
    <w:rsid w:val="39783C80"/>
    <w:rsid w:val="3A804B9A"/>
    <w:rsid w:val="3AD44EE6"/>
    <w:rsid w:val="3B765F9D"/>
    <w:rsid w:val="3BC114B3"/>
    <w:rsid w:val="3C2D0D52"/>
    <w:rsid w:val="3C2F4ACA"/>
    <w:rsid w:val="3D7D7AB7"/>
    <w:rsid w:val="3DDC47DD"/>
    <w:rsid w:val="3DE11DF4"/>
    <w:rsid w:val="3EA37062"/>
    <w:rsid w:val="3F3D74FE"/>
    <w:rsid w:val="3F830C89"/>
    <w:rsid w:val="4033445D"/>
    <w:rsid w:val="41F540C0"/>
    <w:rsid w:val="42530DE6"/>
    <w:rsid w:val="425741AF"/>
    <w:rsid w:val="427A45C5"/>
    <w:rsid w:val="427C033D"/>
    <w:rsid w:val="434A21E9"/>
    <w:rsid w:val="43770B04"/>
    <w:rsid w:val="439416B6"/>
    <w:rsid w:val="43D877F5"/>
    <w:rsid w:val="44823C05"/>
    <w:rsid w:val="455E1F7C"/>
    <w:rsid w:val="46454EEA"/>
    <w:rsid w:val="4839282C"/>
    <w:rsid w:val="488B752C"/>
    <w:rsid w:val="48CA7928"/>
    <w:rsid w:val="493F0316"/>
    <w:rsid w:val="49635DB3"/>
    <w:rsid w:val="49EF3AEA"/>
    <w:rsid w:val="4A396B13"/>
    <w:rsid w:val="4BD90B36"/>
    <w:rsid w:val="4BE8776E"/>
    <w:rsid w:val="4C7E73A7"/>
    <w:rsid w:val="4C912C37"/>
    <w:rsid w:val="4D1C4954"/>
    <w:rsid w:val="4D2455D6"/>
    <w:rsid w:val="4DD23507"/>
    <w:rsid w:val="4DDA10BD"/>
    <w:rsid w:val="4DEE5E67"/>
    <w:rsid w:val="4E41068C"/>
    <w:rsid w:val="4EB62E28"/>
    <w:rsid w:val="4EDF237F"/>
    <w:rsid w:val="4EEC05F8"/>
    <w:rsid w:val="4F754BF1"/>
    <w:rsid w:val="4F950C90"/>
    <w:rsid w:val="4FC82E13"/>
    <w:rsid w:val="505C17AE"/>
    <w:rsid w:val="5167040A"/>
    <w:rsid w:val="51CB2747"/>
    <w:rsid w:val="526130AB"/>
    <w:rsid w:val="53591FD4"/>
    <w:rsid w:val="53A21BCD"/>
    <w:rsid w:val="53E126F6"/>
    <w:rsid w:val="542D593B"/>
    <w:rsid w:val="54617393"/>
    <w:rsid w:val="54624EB9"/>
    <w:rsid w:val="54C16FBB"/>
    <w:rsid w:val="55AC6D33"/>
    <w:rsid w:val="563F226F"/>
    <w:rsid w:val="567E20D9"/>
    <w:rsid w:val="56B063AF"/>
    <w:rsid w:val="593C03CE"/>
    <w:rsid w:val="598558D1"/>
    <w:rsid w:val="59B8059B"/>
    <w:rsid w:val="5A201A9E"/>
    <w:rsid w:val="5A3D43FE"/>
    <w:rsid w:val="5AED7BD2"/>
    <w:rsid w:val="5B484E08"/>
    <w:rsid w:val="5B6D486F"/>
    <w:rsid w:val="5B791466"/>
    <w:rsid w:val="5B932035"/>
    <w:rsid w:val="5BC8419B"/>
    <w:rsid w:val="5C1473E0"/>
    <w:rsid w:val="5C910A31"/>
    <w:rsid w:val="5C936557"/>
    <w:rsid w:val="5CB32755"/>
    <w:rsid w:val="5CB85FBE"/>
    <w:rsid w:val="5CC47458"/>
    <w:rsid w:val="5D1E0517"/>
    <w:rsid w:val="5D303011"/>
    <w:rsid w:val="5D6B1282"/>
    <w:rsid w:val="5E457D25"/>
    <w:rsid w:val="5F053010"/>
    <w:rsid w:val="5F0E0117"/>
    <w:rsid w:val="5F2C67EF"/>
    <w:rsid w:val="5F775CBC"/>
    <w:rsid w:val="600D6620"/>
    <w:rsid w:val="615269E1"/>
    <w:rsid w:val="62C27B96"/>
    <w:rsid w:val="63B374DF"/>
    <w:rsid w:val="63C35974"/>
    <w:rsid w:val="64104931"/>
    <w:rsid w:val="642D54E3"/>
    <w:rsid w:val="64713622"/>
    <w:rsid w:val="654E5711"/>
    <w:rsid w:val="663C7C5F"/>
    <w:rsid w:val="6716400D"/>
    <w:rsid w:val="674D37A6"/>
    <w:rsid w:val="67AC2BC3"/>
    <w:rsid w:val="67E15A2E"/>
    <w:rsid w:val="685F7C35"/>
    <w:rsid w:val="68CD1043"/>
    <w:rsid w:val="697414BE"/>
    <w:rsid w:val="69AC6EAA"/>
    <w:rsid w:val="69B1626F"/>
    <w:rsid w:val="6A682DD1"/>
    <w:rsid w:val="6A9C45A6"/>
    <w:rsid w:val="6AAB53B4"/>
    <w:rsid w:val="6AB029CA"/>
    <w:rsid w:val="6AE67A05"/>
    <w:rsid w:val="6B916358"/>
    <w:rsid w:val="6BA3608B"/>
    <w:rsid w:val="6BC874DC"/>
    <w:rsid w:val="6BEF307E"/>
    <w:rsid w:val="6C6D2921"/>
    <w:rsid w:val="6CFE5C6F"/>
    <w:rsid w:val="6DAF6F69"/>
    <w:rsid w:val="6DCA5B51"/>
    <w:rsid w:val="6EBA5BC5"/>
    <w:rsid w:val="6F524050"/>
    <w:rsid w:val="706F4486"/>
    <w:rsid w:val="708B5A6B"/>
    <w:rsid w:val="70E1568B"/>
    <w:rsid w:val="712D08D1"/>
    <w:rsid w:val="717958C4"/>
    <w:rsid w:val="71922E29"/>
    <w:rsid w:val="7372081D"/>
    <w:rsid w:val="74237D69"/>
    <w:rsid w:val="748C3B60"/>
    <w:rsid w:val="75032A72"/>
    <w:rsid w:val="750556C0"/>
    <w:rsid w:val="75497E6C"/>
    <w:rsid w:val="75C37A55"/>
    <w:rsid w:val="76257DC8"/>
    <w:rsid w:val="76B845CE"/>
    <w:rsid w:val="77536BB7"/>
    <w:rsid w:val="7803238B"/>
    <w:rsid w:val="782F13D2"/>
    <w:rsid w:val="783C3AEF"/>
    <w:rsid w:val="78DF4BA6"/>
    <w:rsid w:val="79A8143C"/>
    <w:rsid w:val="7A1A1C0E"/>
    <w:rsid w:val="7A33053A"/>
    <w:rsid w:val="7A3E58FC"/>
    <w:rsid w:val="7A831494"/>
    <w:rsid w:val="7AB61937"/>
    <w:rsid w:val="7AC2652D"/>
    <w:rsid w:val="7B164183"/>
    <w:rsid w:val="7BB938A7"/>
    <w:rsid w:val="7BD718E2"/>
    <w:rsid w:val="7C765821"/>
    <w:rsid w:val="7CA53A11"/>
    <w:rsid w:val="7CA81753"/>
    <w:rsid w:val="7EA61CC2"/>
    <w:rsid w:val="7EC65EC0"/>
    <w:rsid w:val="7F4734A5"/>
    <w:rsid w:val="8EFE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3"/>
    <w:next w:val="1"/>
    <w:qFormat/>
    <w:uiPriority w:val="0"/>
    <w:pPr>
      <w:snapToGrid/>
      <w:spacing w:beforeAutospacing="0" w:after="0" w:afterAutospacing="0" w:line="560" w:lineRule="exact"/>
      <w:ind w:firstLine="0" w:firstLineChars="0"/>
      <w:jc w:val="center"/>
      <w:outlineLvl w:val="0"/>
    </w:pPr>
    <w:rPr>
      <w:rFonts w:ascii="Times New Roman" w:hAnsi="Times New Roman" w:eastAsia="方正小标宋简体" w:cs="宋体"/>
      <w:b w:val="0"/>
      <w:bCs/>
      <w:kern w:val="44"/>
      <w:sz w:val="44"/>
      <w:szCs w:val="48"/>
      <w:lang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2794</Words>
  <Characters>2917</Characters>
  <Lines>0</Lines>
  <Paragraphs>0</Paragraphs>
  <TotalTime>1</TotalTime>
  <ScaleCrop>false</ScaleCrop>
  <LinksUpToDate>false</LinksUpToDate>
  <CharactersWithSpaces>2917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2025-01-14T10:20:00Z</dcterms:created>
  <dc:creator>一只爷</dc:creator>
  <cp:lastModifiedBy>zdqzfbgs</cp:lastModifiedBy>
  <dcterms:modified xsi:type="dcterms:W3CDTF">2025-09-17T16:37:45Z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3F86092FBB1640DEA496969A84BD9A93_11</vt:lpwstr>
  </property>
  <property fmtid="{D5CDD505-2E9C-101B-9397-08002B2CF9AE}" pid="4" name="KSOTemplateDocerSaveRecord">
    <vt:lpwstr>eyJoZGlkIjoiZTA2ZGI4MGY0ZjgwNzk0YmNhNTNkN2E0NTRhYTAwMjMiLCJ1c2VySWQiOiIzNDk2ODgwMzAifQ==</vt:lpwstr>
  </property>
</Properties>
</file>