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Nimbus Roman" w:hAnsi="Nimbus Roman" w:eastAsia="CESI黑体-GB18030" w:cs="CESI黑体-GB18030"/>
          <w:sz w:val="32"/>
          <w:szCs w:val="32"/>
          <w:lang w:val="en-US" w:eastAsia="zh-CN"/>
        </w:rPr>
      </w:pPr>
      <w:r>
        <w:rPr>
          <w:rFonts w:hint="eastAsia" w:ascii="Nimbus Roman" w:hAnsi="Nimbus Roman" w:eastAsia="CESI黑体-GB18030" w:cs="CESI黑体-GB18030"/>
          <w:sz w:val="32"/>
          <w:szCs w:val="32"/>
          <w:lang w:val="en-US" w:eastAsia="zh-CN"/>
        </w:rPr>
        <w:t>ZDDR-2021-0010004</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Nimbus Roman" w:hAnsi="Nimbus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Nimbus Roman" w:hAnsi="Nimbus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Nimbus Roman" w:hAnsi="Nimbus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Nimbus Roman" w:hAnsi="Nimbus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Nimbus Roman" w:hAnsi="Nimbus Roman" w:eastAsia="仿宋_GB2312" w:cs="仿宋_GB2312"/>
          <w:sz w:val="32"/>
          <w:szCs w:val="32"/>
          <w:lang w:val="en-US" w:eastAsia="zh-CN"/>
        </w:rPr>
      </w:pPr>
      <w:bookmarkStart w:id="0" w:name="_GoBack"/>
      <w:bookmarkEnd w:id="0"/>
    </w:p>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Nimbus Roman" w:hAnsi="Nimbus Roman" w:eastAsia="CESI仿宋-GB2312" w:cs="CESI仿宋-GB2312"/>
          <w:spacing w:val="10"/>
          <w:sz w:val="32"/>
        </w:rPr>
      </w:pPr>
      <w:r>
        <w:rPr>
          <w:rFonts w:hint="eastAsia" w:ascii="Nimbus Roman" w:hAnsi="Nimbus Roman" w:eastAsia="CESI仿宋-GB2312" w:cs="CESI仿宋-GB2312"/>
          <w:spacing w:val="10"/>
          <w:sz w:val="32"/>
        </w:rPr>
        <w:t>张政字〔20</w:t>
      </w:r>
      <w:r>
        <w:rPr>
          <w:rFonts w:hint="eastAsia" w:ascii="Nimbus Roman" w:hAnsi="Nimbus Roman" w:eastAsia="CESI仿宋-GB2312" w:cs="CESI仿宋-GB2312"/>
          <w:spacing w:val="10"/>
          <w:sz w:val="32"/>
          <w:lang w:val="en-US" w:eastAsia="zh-CN"/>
        </w:rPr>
        <w:t>21</w:t>
      </w:r>
      <w:r>
        <w:rPr>
          <w:rFonts w:hint="eastAsia" w:ascii="Nimbus Roman" w:hAnsi="Nimbus Roman" w:eastAsia="CESI仿宋-GB2312" w:cs="CESI仿宋-GB2312"/>
          <w:spacing w:val="10"/>
          <w:sz w:val="32"/>
        </w:rPr>
        <w:t>〕</w:t>
      </w:r>
      <w:r>
        <w:rPr>
          <w:rFonts w:hint="eastAsia" w:ascii="Nimbus Roman" w:hAnsi="Nimbus Roman" w:eastAsia="CESI仿宋-GB2312" w:cs="CESI仿宋-GB2312"/>
          <w:spacing w:val="10"/>
          <w:sz w:val="32"/>
          <w:lang w:val="en-US" w:eastAsia="zh-CN"/>
        </w:rPr>
        <w:t>87</w:t>
      </w:r>
      <w:r>
        <w:rPr>
          <w:rFonts w:hint="eastAsia" w:ascii="Nimbus Roman" w:hAnsi="Nimbus Roman" w:eastAsia="CESI仿宋-GB2312" w:cs="CESI仿宋-GB2312"/>
          <w:spacing w:val="10"/>
          <w:sz w:val="32"/>
        </w:rPr>
        <w:t>号</w:t>
      </w:r>
    </w:p>
    <w:p>
      <w:pPr>
        <w:pStyle w:val="2"/>
        <w:rPr>
          <w:rFonts w:hint="default" w:ascii="Nimbus Roman" w:hAnsi="Nimbus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Nimbus Roman" w:hAnsi="Nimbus Roman" w:eastAsia="方正小标宋简体" w:cs="Times New Roman"/>
          <w:sz w:val="44"/>
          <w:szCs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Nimbus Roman" w:hAnsi="Nimbus Roman" w:eastAsia="方正小标宋简体" w:cs="Times New Roman"/>
          <w:sz w:val="44"/>
          <w:szCs w:val="28"/>
        </w:rPr>
      </w:pPr>
      <w:r>
        <w:rPr>
          <w:rFonts w:hint="default" w:ascii="Nimbus Roman" w:hAnsi="Nimbus Roman" w:eastAsia="方正小标宋简体" w:cs="Times New Roman"/>
          <w:sz w:val="44"/>
          <w:szCs w:val="28"/>
          <w:lang w:val="en-US" w:eastAsia="zh-CN"/>
        </w:rPr>
        <w:t>张店区</w:t>
      </w:r>
      <w:r>
        <w:rPr>
          <w:rFonts w:hint="default" w:ascii="Nimbus Roman" w:hAnsi="Nimbus Roman" w:eastAsia="方正小标宋简体" w:cs="Times New Roman"/>
          <w:sz w:val="44"/>
          <w:szCs w:val="28"/>
        </w:rPr>
        <w:t>人民政府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Nimbus Roman" w:hAnsi="Nimbus Roman" w:eastAsia="方正小标宋简体" w:cs="Times New Roman"/>
          <w:sz w:val="44"/>
          <w:szCs w:val="28"/>
          <w:lang w:val="en-US" w:eastAsia="zh-CN"/>
        </w:rPr>
      </w:pPr>
      <w:r>
        <w:rPr>
          <w:rFonts w:hint="default" w:ascii="Nimbus Roman" w:hAnsi="Nimbus Roman" w:eastAsia="方正小标宋简体" w:cs="Times New Roman"/>
          <w:sz w:val="44"/>
          <w:szCs w:val="28"/>
        </w:rPr>
        <w:t>关于印发</w:t>
      </w:r>
      <w:r>
        <w:rPr>
          <w:rFonts w:hint="eastAsia" w:ascii="Nimbus Roman" w:hAnsi="Nimbus Roman" w:eastAsia="方正小标宋简体" w:cs="Times New Roman"/>
          <w:sz w:val="44"/>
          <w:szCs w:val="28"/>
          <w:lang w:val="en-US" w:eastAsia="zh-CN"/>
        </w:rPr>
        <w:t>张店区市场主体公共信用评价</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Nimbus Roman" w:hAnsi="Nimbus Roman" w:eastAsia="文星标宋" w:cs="Times New Roman"/>
          <w:sz w:val="44"/>
          <w:szCs w:val="28"/>
        </w:rPr>
      </w:pPr>
      <w:r>
        <w:rPr>
          <w:rFonts w:hint="eastAsia" w:ascii="Nimbus Roman" w:hAnsi="Nimbus Roman" w:eastAsia="方正小标宋简体" w:cs="Times New Roman"/>
          <w:sz w:val="44"/>
          <w:szCs w:val="28"/>
          <w:lang w:val="en-US" w:eastAsia="zh-CN"/>
        </w:rPr>
        <w:t>管理办法（试行）的</w:t>
      </w:r>
      <w:r>
        <w:rPr>
          <w:rFonts w:hint="default" w:ascii="Nimbus Roman" w:hAnsi="Nimbus Roman" w:eastAsia="方正小标宋简体" w:cs="Times New Roman"/>
          <w:sz w:val="44"/>
          <w:szCs w:val="28"/>
        </w:rPr>
        <w:t>通知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Nimbus Roman" w:hAnsi="Nimbus Roman" w:eastAsia="CESI仿宋-GB2312" w:cs="CESI仿宋-GB2312"/>
          <w:sz w:val="32"/>
          <w:szCs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Nimbus Roman" w:hAnsi="Nimbus Roman" w:eastAsia="CESI仿宋-GB2312" w:cs="CESI仿宋-GB2312"/>
          <w:sz w:val="32"/>
          <w:szCs w:val="28"/>
        </w:rPr>
      </w:pPr>
      <w:r>
        <w:rPr>
          <w:rFonts w:hint="eastAsia" w:ascii="Nimbus Roman" w:hAnsi="Nimbus Roman" w:eastAsia="CESI仿宋-GB2312" w:cs="CESI仿宋-GB2312"/>
          <w:sz w:val="32"/>
          <w:szCs w:val="28"/>
        </w:rPr>
        <w:t>各</w:t>
      </w:r>
      <w:r>
        <w:rPr>
          <w:rFonts w:hint="eastAsia" w:ascii="Nimbus Roman" w:hAnsi="Nimbus Roman" w:eastAsia="CESI仿宋-GB2312" w:cs="CESI仿宋-GB2312"/>
          <w:sz w:val="32"/>
          <w:szCs w:val="28"/>
          <w:lang w:val="en-US" w:eastAsia="zh-CN"/>
        </w:rPr>
        <w:t>镇政府、街道办事处，区</w:t>
      </w:r>
      <w:r>
        <w:rPr>
          <w:rFonts w:hint="eastAsia" w:ascii="Nimbus Roman" w:hAnsi="Nimbus Roman" w:eastAsia="CESI仿宋-GB2312" w:cs="CESI仿宋-GB2312"/>
          <w:sz w:val="32"/>
          <w:szCs w:val="28"/>
        </w:rPr>
        <w:t>政府各部门，各有关单位：</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Nimbus Roman" w:hAnsi="Nimbus Roman" w:eastAsia="CESI仿宋-GB2312" w:cs="CESI仿宋-GB2312"/>
          <w:sz w:val="32"/>
          <w:szCs w:val="28"/>
        </w:rPr>
      </w:pPr>
      <w:r>
        <w:rPr>
          <w:rFonts w:hint="eastAsia" w:ascii="Nimbus Roman" w:hAnsi="Nimbus Roman" w:eastAsia="CESI仿宋-GB2312" w:cs="CESI仿宋-GB2312"/>
          <w:sz w:val="32"/>
          <w:szCs w:val="28"/>
        </w:rPr>
        <w:t>现将</w:t>
      </w:r>
      <w:r>
        <w:rPr>
          <w:rFonts w:hint="eastAsia" w:ascii="Nimbus Roman" w:hAnsi="Nimbus Roman" w:eastAsia="CESI仿宋-GB2312" w:cs="CESI仿宋-GB2312"/>
          <w:sz w:val="32"/>
          <w:szCs w:val="28"/>
          <w:lang w:val="en-US" w:eastAsia="zh-CN"/>
        </w:rPr>
        <w:t>《张店区市场主体公共信用评价管理办法（试行）</w:t>
      </w:r>
      <w:r>
        <w:rPr>
          <w:rFonts w:hint="eastAsia" w:ascii="Nimbus Roman" w:hAnsi="Nimbus Roman" w:eastAsia="CESI仿宋-GB2312" w:cs="CESI仿宋-GB2312"/>
          <w:sz w:val="32"/>
          <w:szCs w:val="28"/>
        </w:rPr>
        <w:t>》印发给你们，请认真贯彻执行。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Nimbus Roman" w:hAnsi="Nimbus Roman" w:eastAsia="CESI仿宋-GB2312" w:cs="CESI仿宋-GB2312"/>
          <w:sz w:val="32"/>
          <w:szCs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Nimbus Roman" w:hAnsi="Nimbus Roman" w:eastAsia="CESI仿宋-GB2312" w:cs="CESI仿宋-GB2312"/>
          <w:sz w:val="32"/>
          <w:szCs w:val="28"/>
        </w:rPr>
      </w:pP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0" w:firstLineChars="200"/>
        <w:jc w:val="right"/>
        <w:textAlignment w:val="auto"/>
        <w:outlineLvl w:val="9"/>
        <w:rPr>
          <w:rFonts w:hint="eastAsia" w:ascii="Nimbus Roman" w:hAnsi="Nimbus Roman" w:eastAsia="CESI仿宋-GB2312" w:cs="CESI仿宋-GB2312"/>
          <w:sz w:val="32"/>
          <w:szCs w:val="28"/>
          <w:lang w:val="en-US" w:eastAsia="zh-CN"/>
        </w:rPr>
      </w:pPr>
      <w:r>
        <w:rPr>
          <w:rFonts w:hint="eastAsia" w:ascii="Nimbus Roman" w:hAnsi="Nimbus Roman" w:eastAsia="CESI仿宋-GB2312" w:cs="CESI仿宋-GB2312"/>
          <w:sz w:val="32"/>
          <w:szCs w:val="28"/>
          <w:lang w:val="en-US" w:eastAsia="zh-CN"/>
        </w:rPr>
        <w:t xml:space="preserve">               淄博市张店区</w:t>
      </w:r>
      <w:r>
        <w:rPr>
          <w:rFonts w:hint="eastAsia" w:ascii="Nimbus Roman" w:hAnsi="Nimbus Roman" w:eastAsia="CESI仿宋-GB2312" w:cs="CESI仿宋-GB2312"/>
          <w:sz w:val="32"/>
          <w:szCs w:val="28"/>
        </w:rPr>
        <w:t>人民政府</w:t>
      </w:r>
      <w:r>
        <w:rPr>
          <w:rFonts w:hint="eastAsia" w:ascii="Nimbus Roman" w:hAnsi="Nimbus Roman" w:eastAsia="CESI仿宋-GB2312" w:cs="CESI仿宋-GB2312"/>
          <w:sz w:val="32"/>
          <w:szCs w:val="28"/>
          <w:lang w:val="en-US" w:eastAsia="zh-CN"/>
        </w:rPr>
        <w:t xml:space="preserve">  </w:t>
      </w:r>
      <w:r>
        <w:rPr>
          <w:rFonts w:hint="default" w:ascii="Nimbus Roman" w:hAnsi="Nimbus Roman" w:eastAsia="CESI仿宋-GB2312" w:cs="CESI仿宋-GB2312"/>
          <w:sz w:val="32"/>
          <w:szCs w:val="28"/>
          <w:lang w:val="en" w:eastAsia="zh-CN"/>
        </w:rPr>
        <w:t xml:space="preserve"> </w:t>
      </w:r>
      <w:r>
        <w:rPr>
          <w:rFonts w:hint="eastAsia" w:ascii="Nimbus Roman" w:hAnsi="Nimbus Roman" w:eastAsia="CESI仿宋-GB2312" w:cs="CESI仿宋-GB2312"/>
          <w:sz w:val="32"/>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Nimbus Roman" w:hAnsi="Nimbus Roman" w:eastAsia="CESI仿宋-GB2312" w:cs="CESI仿宋-GB2312"/>
          <w:sz w:val="32"/>
          <w:szCs w:val="28"/>
        </w:rPr>
      </w:pPr>
      <w:r>
        <w:rPr>
          <w:rFonts w:hint="eastAsia" w:ascii="Nimbus Roman" w:hAnsi="Nimbus Roman" w:eastAsia="CESI仿宋-GB2312" w:cs="CESI仿宋-GB2312"/>
          <w:sz w:val="32"/>
          <w:szCs w:val="28"/>
          <w:lang w:val="en-US" w:eastAsia="zh-CN"/>
        </w:rPr>
        <w:t xml:space="preserve">                           2021年12月31</w:t>
      </w:r>
      <w:r>
        <w:rPr>
          <w:rFonts w:hint="eastAsia" w:ascii="Nimbus Roman" w:hAnsi="Nimbus Roman" w:eastAsia="CESI仿宋-GB2312" w:cs="CESI仿宋-GB2312"/>
          <w:sz w:val="32"/>
          <w:szCs w:val="28"/>
        </w:rPr>
        <w:t>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Nimbus Roman" w:hAnsi="Nimbus Roman" w:eastAsia="CESI仿宋-GB2312" w:cs="CESI仿宋-GB2312"/>
          <w:sz w:val="32"/>
          <w:szCs w:val="28"/>
        </w:rPr>
      </w:pPr>
      <w:r>
        <w:rPr>
          <w:rFonts w:hint="eastAsia" w:ascii="Nimbus Roman" w:hAnsi="Nimbus Roman" w:eastAsia="CESI仿宋-GB2312" w:cs="CESI仿宋-GB2312"/>
          <w:sz w:val="32"/>
          <w:szCs w:val="28"/>
        </w:rPr>
        <w:t>（此件公开发布）</w:t>
      </w:r>
    </w:p>
    <w:p>
      <w:pPr>
        <w:keepNext w:val="0"/>
        <w:keepLines w:val="0"/>
        <w:pageBreakBefore w:val="0"/>
        <w:kinsoku/>
        <w:overflowPunct/>
        <w:topLinePunct w:val="0"/>
        <w:autoSpaceDE w:val="0"/>
        <w:autoSpaceDN w:val="0"/>
        <w:bidi w:val="0"/>
        <w:spacing w:line="560" w:lineRule="exact"/>
        <w:jc w:val="both"/>
        <w:textAlignment w:val="auto"/>
        <w:rPr>
          <w:rFonts w:hint="eastAsia" w:ascii="Nimbus Roman" w:hAnsi="Nimbus Roman" w:eastAsia="CESI仿宋-GB2312" w:cs="CESI仿宋-GB2312"/>
          <w:sz w:val="44"/>
          <w:szCs w:val="44"/>
          <w:lang w:val="en-US" w:eastAsia="zh-CN"/>
        </w:rPr>
        <w:sectPr>
          <w:footerReference r:id="rId3" w:type="default"/>
          <w:pgSz w:w="11906" w:h="16838"/>
          <w:pgMar w:top="2098" w:right="1474" w:bottom="1984" w:left="1587" w:header="851" w:footer="1531" w:gutter="0"/>
          <w:pgNumType w:fmt="decimal"/>
          <w:cols w:space="425" w:num="1"/>
          <w:docGrid w:type="lines" w:linePitch="312" w:charSpace="0"/>
        </w:sectPr>
      </w:pPr>
    </w:p>
    <w:p>
      <w:pPr>
        <w:keepNext w:val="0"/>
        <w:keepLines w:val="0"/>
        <w:pageBreakBefore w:val="0"/>
        <w:kinsoku/>
        <w:overflowPunct/>
        <w:topLinePunct w:val="0"/>
        <w:autoSpaceDE w:val="0"/>
        <w:autoSpaceDN w:val="0"/>
        <w:bidi w:val="0"/>
        <w:spacing w:line="560" w:lineRule="exact"/>
        <w:jc w:val="center"/>
        <w:textAlignment w:val="auto"/>
        <w:rPr>
          <w:rFonts w:hint="eastAsia" w:ascii="Nimbus Roman" w:hAnsi="Nimbus Roman" w:eastAsia="方正小标宋简体" w:cs="方正小标宋简体"/>
          <w:sz w:val="44"/>
          <w:szCs w:val="44"/>
          <w:lang w:eastAsia="zh-CN"/>
        </w:rPr>
      </w:pPr>
      <w:r>
        <w:rPr>
          <w:rFonts w:hint="eastAsia" w:ascii="Nimbus Roman" w:hAnsi="Nimbus Roman" w:eastAsia="方正小标宋简体" w:cs="方正小标宋简体"/>
          <w:sz w:val="44"/>
          <w:szCs w:val="44"/>
          <w:lang w:val="en-US" w:eastAsia="zh-CN"/>
        </w:rPr>
        <w:t>张店区市场主体公共</w:t>
      </w:r>
      <w:r>
        <w:rPr>
          <w:rFonts w:hint="eastAsia" w:ascii="Nimbus Roman" w:hAnsi="Nimbus Roman" w:eastAsia="方正小标宋简体" w:cs="方正小标宋简体"/>
          <w:sz w:val="44"/>
          <w:szCs w:val="44"/>
        </w:rPr>
        <w:t>信用</w:t>
      </w:r>
      <w:r>
        <w:rPr>
          <w:rFonts w:hint="eastAsia" w:ascii="Nimbus Roman" w:hAnsi="Nimbus Roman" w:eastAsia="方正小标宋简体" w:cs="方正小标宋简体"/>
          <w:sz w:val="44"/>
          <w:szCs w:val="44"/>
          <w:lang w:val="en-US" w:eastAsia="zh-CN"/>
        </w:rPr>
        <w:t>评价</w:t>
      </w:r>
      <w:r>
        <w:rPr>
          <w:rFonts w:hint="eastAsia" w:ascii="Nimbus Roman" w:hAnsi="Nimbus Roman" w:eastAsia="方正小标宋简体" w:cs="方正小标宋简体"/>
          <w:sz w:val="44"/>
          <w:szCs w:val="44"/>
        </w:rPr>
        <w:t>管理办法</w:t>
      </w:r>
      <w:r>
        <w:rPr>
          <w:rFonts w:hint="eastAsia" w:ascii="Nimbus Roman" w:hAnsi="Nimbus Roman" w:eastAsia="方正小标宋简体" w:cs="方正小标宋简体"/>
          <w:sz w:val="44"/>
          <w:szCs w:val="44"/>
          <w:lang w:eastAsia="zh-CN"/>
        </w:rPr>
        <w:t>（</w:t>
      </w:r>
      <w:r>
        <w:rPr>
          <w:rFonts w:hint="eastAsia" w:ascii="Nimbus Roman" w:hAnsi="Nimbus Roman" w:eastAsia="方正小标宋简体" w:cs="方正小标宋简体"/>
          <w:sz w:val="44"/>
          <w:szCs w:val="44"/>
          <w:lang w:val="en-US" w:eastAsia="zh-CN"/>
        </w:rPr>
        <w:t>试行</w:t>
      </w:r>
      <w:r>
        <w:rPr>
          <w:rFonts w:hint="eastAsia" w:ascii="Nimbus Roman" w:hAnsi="Nimbus Roman" w:eastAsia="方正小标宋简体" w:cs="方正小标宋简体"/>
          <w:sz w:val="44"/>
          <w:szCs w:val="44"/>
          <w:lang w:eastAsia="zh-CN"/>
        </w:rPr>
        <w:t>）</w:t>
      </w:r>
    </w:p>
    <w:p>
      <w:pPr>
        <w:pStyle w:val="13"/>
        <w:keepNext w:val="0"/>
        <w:keepLines w:val="0"/>
        <w:pageBreakBefore w:val="0"/>
        <w:kinsoku/>
        <w:overflowPunct/>
        <w:topLinePunct w:val="0"/>
        <w:bidi w:val="0"/>
        <w:spacing w:line="560" w:lineRule="exact"/>
        <w:jc w:val="center"/>
        <w:textAlignment w:val="auto"/>
        <w:rPr>
          <w:rFonts w:hint="eastAsia" w:ascii="Nimbus Roman" w:hAnsi="Nimbus Roman" w:eastAsia="楷体_GB2312" w:cs="楷体_GB2312"/>
          <w:b w:val="0"/>
          <w:bCs/>
          <w:color w:val="auto"/>
          <w:kern w:val="2"/>
          <w:sz w:val="32"/>
          <w:szCs w:val="32"/>
          <w:highlight w:val="none"/>
          <w:shd w:val="clear" w:color="auto" w:fill="auto"/>
          <w:lang w:val="en-US" w:eastAsia="zh-CN" w:bidi="ar-SA"/>
        </w:rPr>
      </w:pPr>
    </w:p>
    <w:p>
      <w:pPr>
        <w:keepNext w:val="0"/>
        <w:keepLines w:val="0"/>
        <w:pageBreakBefore w:val="0"/>
        <w:numPr>
          <w:ilvl w:val="0"/>
          <w:numId w:val="1"/>
        </w:numPr>
        <w:kinsoku/>
        <w:overflowPunct/>
        <w:topLinePunct w:val="0"/>
        <w:bidi w:val="0"/>
        <w:spacing w:line="560" w:lineRule="exact"/>
        <w:ind w:left="1157"/>
        <w:jc w:val="center"/>
        <w:textAlignment w:val="auto"/>
        <w:rPr>
          <w:rFonts w:hint="eastAsia" w:ascii="Nimbus Roman" w:hAnsi="Nimbus Roman" w:eastAsia="CESI黑体-GB18030" w:cs="CESI黑体-GB18030"/>
          <w:sz w:val="32"/>
          <w:szCs w:val="32"/>
        </w:rPr>
      </w:pPr>
      <w:r>
        <w:rPr>
          <w:rFonts w:hint="eastAsia" w:ascii="Nimbus Roman" w:hAnsi="Nimbus Roman" w:eastAsia="CESI黑体-GB18030" w:cs="CESI黑体-GB18030"/>
          <w:sz w:val="32"/>
          <w:szCs w:val="32"/>
          <w:lang w:val="en-US" w:eastAsia="zh-CN"/>
        </w:rPr>
        <w:t xml:space="preserve"> </w:t>
      </w:r>
      <w:r>
        <w:rPr>
          <w:rFonts w:hint="eastAsia" w:ascii="Nimbus Roman" w:hAnsi="Nimbus Roman" w:eastAsia="CESI黑体-GB18030" w:cs="CESI黑体-GB18030"/>
          <w:sz w:val="32"/>
          <w:szCs w:val="32"/>
        </w:rPr>
        <w:t>总 则</w:t>
      </w:r>
    </w:p>
    <w:p>
      <w:pPr>
        <w:pStyle w:val="2"/>
        <w:keepNext w:val="0"/>
        <w:keepLines w:val="0"/>
        <w:pageBreakBefore w:val="0"/>
        <w:kinsoku/>
        <w:overflowPunct/>
        <w:topLinePunct w:val="0"/>
        <w:bidi w:val="0"/>
        <w:spacing w:line="560" w:lineRule="exact"/>
        <w:textAlignment w:val="auto"/>
        <w:rPr>
          <w:rFonts w:ascii="Nimbus Roman" w:hAnsi="Nimbus Roma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rPr>
      </w:pPr>
      <w:r>
        <w:rPr>
          <w:rFonts w:hint="eastAsia" w:ascii="Nimbus Roman" w:hAnsi="Nimbus Roman" w:eastAsia="CESI仿宋-GB2312" w:cs="CESI仿宋-GB2312"/>
          <w:b/>
          <w:bCs w:val="0"/>
          <w:color w:val="auto"/>
          <w:sz w:val="32"/>
          <w:szCs w:val="32"/>
          <w:highlight w:val="none"/>
          <w:shd w:val="clear" w:color="auto" w:fill="auto"/>
        </w:rPr>
        <w:t>第一条</w:t>
      </w:r>
      <w:r>
        <w:rPr>
          <w:rFonts w:hint="eastAsia" w:ascii="Nimbus Roman" w:hAnsi="Nimbus Roman" w:eastAsia="CESI仿宋-GB2312" w:cs="CESI仿宋-GB2312"/>
          <w:b w:val="0"/>
          <w:bCs/>
          <w:color w:val="auto"/>
          <w:sz w:val="32"/>
          <w:szCs w:val="32"/>
          <w:highlight w:val="none"/>
          <w:shd w:val="clear" w:color="auto" w:fill="auto"/>
        </w:rPr>
        <w:t xml:space="preserve"> 为建立市场主体信用分级分类标准体系，加快构建差异化监管模式，全力打造一流营商环境，根据《国务院办公厅关于加快推进社会信用体系建设构建以信用为基础的新型监管机制的指导意见》（国办发〔2019〕35号）</w:t>
      </w:r>
      <w:r>
        <w:rPr>
          <w:rFonts w:hint="eastAsia" w:ascii="Nimbus Roman" w:hAnsi="Nimbus Roman" w:eastAsia="CESI仿宋-GB2312" w:cs="CESI仿宋-GB2312"/>
          <w:b w:val="0"/>
          <w:bCs/>
          <w:color w:val="auto"/>
          <w:sz w:val="32"/>
          <w:szCs w:val="32"/>
          <w:highlight w:val="none"/>
          <w:shd w:val="clear" w:color="auto" w:fill="auto"/>
          <w:lang w:eastAsia="zh-CN"/>
        </w:rPr>
        <w:t>、</w:t>
      </w:r>
      <w:r>
        <w:rPr>
          <w:rFonts w:hint="eastAsia" w:ascii="Nimbus Roman" w:hAnsi="Nimbus Roman" w:eastAsia="CESI仿宋-GB2312" w:cs="CESI仿宋-GB2312"/>
          <w:b w:val="0"/>
          <w:bCs/>
          <w:color w:val="auto"/>
          <w:sz w:val="32"/>
          <w:szCs w:val="32"/>
          <w:highlight w:val="none"/>
          <w:shd w:val="clear" w:color="auto" w:fill="auto"/>
        </w:rPr>
        <w:t>《差异化监管流程再造实施方案》</w:t>
      </w:r>
      <w:r>
        <w:rPr>
          <w:rFonts w:hint="eastAsia" w:ascii="Nimbus Roman" w:hAnsi="Nimbus Roman" w:eastAsia="CESI仿宋-GB2312" w:cs="CESI仿宋-GB2312"/>
          <w:b w:val="0"/>
          <w:bCs/>
          <w:color w:val="auto"/>
          <w:sz w:val="32"/>
          <w:szCs w:val="32"/>
          <w:highlight w:val="none"/>
          <w:shd w:val="clear" w:color="auto" w:fill="auto"/>
          <w:lang w:eastAsia="zh-CN"/>
        </w:rPr>
        <w:t>、</w:t>
      </w:r>
      <w:r>
        <w:rPr>
          <w:rFonts w:hint="eastAsia" w:ascii="Nimbus Roman" w:hAnsi="Nimbus Roman" w:eastAsia="CESI仿宋-GB2312" w:cs="CESI仿宋-GB2312"/>
          <w:b w:val="0"/>
          <w:bCs/>
          <w:color w:val="auto"/>
          <w:sz w:val="32"/>
          <w:szCs w:val="32"/>
          <w:highlight w:val="none"/>
          <w:shd w:val="clear" w:color="auto" w:fill="auto"/>
        </w:rPr>
        <w:t>《山东省信用分级分类管理办法（试行）》（鲁发改信用〔2020〕808号）文件要求，结合</w:t>
      </w:r>
      <w:r>
        <w:rPr>
          <w:rFonts w:hint="eastAsia" w:ascii="Nimbus Roman" w:hAnsi="Nimbus Roman" w:eastAsia="CESI仿宋-GB2312" w:cs="CESI仿宋-GB2312"/>
          <w:b w:val="0"/>
          <w:bCs/>
          <w:color w:val="auto"/>
          <w:sz w:val="32"/>
          <w:szCs w:val="32"/>
          <w:highlight w:val="none"/>
          <w:shd w:val="clear" w:color="auto" w:fill="auto"/>
          <w:lang w:val="en-US" w:eastAsia="zh-CN"/>
        </w:rPr>
        <w:t>张店区</w:t>
      </w:r>
      <w:r>
        <w:rPr>
          <w:rFonts w:hint="eastAsia" w:ascii="Nimbus Roman" w:hAnsi="Nimbus Roman" w:eastAsia="CESI仿宋-GB2312" w:cs="CESI仿宋-GB2312"/>
          <w:b w:val="0"/>
          <w:bCs/>
          <w:color w:val="auto"/>
          <w:sz w:val="32"/>
          <w:szCs w:val="32"/>
          <w:highlight w:val="none"/>
          <w:shd w:val="clear" w:color="auto" w:fill="auto"/>
        </w:rPr>
        <w:t>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rPr>
      </w:pPr>
      <w:r>
        <w:rPr>
          <w:rFonts w:hint="eastAsia" w:ascii="Nimbus Roman" w:hAnsi="Nimbus Roman" w:eastAsia="CESI仿宋-GB2312" w:cs="CESI仿宋-GB2312"/>
          <w:b/>
          <w:bCs w:val="0"/>
          <w:color w:val="auto"/>
          <w:sz w:val="32"/>
          <w:szCs w:val="32"/>
          <w:highlight w:val="none"/>
          <w:shd w:val="clear" w:color="auto" w:fill="auto"/>
        </w:rPr>
        <w:t>第二条</w:t>
      </w:r>
      <w:r>
        <w:rPr>
          <w:rFonts w:hint="eastAsia" w:ascii="Nimbus Roman" w:hAnsi="Nimbus Roman" w:eastAsia="CESI仿宋-GB2312" w:cs="CESI仿宋-GB2312"/>
          <w:b w:val="0"/>
          <w:bCs/>
          <w:color w:val="auto"/>
          <w:sz w:val="32"/>
          <w:szCs w:val="32"/>
          <w:highlight w:val="none"/>
          <w:shd w:val="clear" w:color="auto" w:fill="auto"/>
        </w:rPr>
        <w:t xml:space="preserve"> 本办法所称市场主体，是指在</w:t>
      </w:r>
      <w:r>
        <w:rPr>
          <w:rFonts w:hint="eastAsia" w:ascii="Nimbus Roman" w:hAnsi="Nimbus Roman" w:eastAsia="CESI仿宋-GB2312" w:cs="CESI仿宋-GB2312"/>
          <w:b w:val="0"/>
          <w:bCs/>
          <w:color w:val="auto"/>
          <w:sz w:val="32"/>
          <w:szCs w:val="32"/>
          <w:highlight w:val="none"/>
          <w:shd w:val="clear" w:color="auto" w:fill="auto"/>
          <w:lang w:val="en-US" w:eastAsia="zh-CN"/>
        </w:rPr>
        <w:t>张店区</w:t>
      </w:r>
      <w:r>
        <w:rPr>
          <w:rFonts w:hint="eastAsia" w:ascii="Nimbus Roman" w:hAnsi="Nimbus Roman" w:eastAsia="CESI仿宋-GB2312" w:cs="CESI仿宋-GB2312"/>
          <w:b w:val="0"/>
          <w:bCs/>
          <w:color w:val="auto"/>
          <w:sz w:val="32"/>
          <w:szCs w:val="32"/>
          <w:highlight w:val="none"/>
          <w:shd w:val="clear" w:color="auto" w:fill="auto"/>
        </w:rPr>
        <w:t>依法登记注册或从事经营活动的各类企业、个体工商户、农民专业合作社以及其他经济组织。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rPr>
      </w:pPr>
      <w:r>
        <w:rPr>
          <w:rFonts w:hint="eastAsia" w:ascii="Nimbus Roman" w:hAnsi="Nimbus Roman" w:eastAsia="CESI仿宋-GB2312" w:cs="CESI仿宋-GB2312"/>
          <w:b/>
          <w:bCs w:val="0"/>
          <w:color w:val="auto"/>
          <w:sz w:val="32"/>
          <w:szCs w:val="32"/>
          <w:highlight w:val="none"/>
          <w:shd w:val="clear" w:color="auto" w:fill="auto"/>
        </w:rPr>
        <w:t>第三条</w:t>
      </w:r>
      <w:r>
        <w:rPr>
          <w:rFonts w:hint="eastAsia" w:ascii="Nimbus Roman" w:hAnsi="Nimbus Roman" w:eastAsia="CESI仿宋-GB2312" w:cs="CESI仿宋-GB2312"/>
          <w:b w:val="0"/>
          <w:bCs/>
          <w:color w:val="auto"/>
          <w:sz w:val="32"/>
          <w:szCs w:val="32"/>
          <w:highlight w:val="none"/>
          <w:shd w:val="clear" w:color="auto" w:fill="auto"/>
        </w:rPr>
        <w:t xml:space="preserve"> 市场主体信用分级分类，是指遵循综合性、一致性、审慎性的原则，根据信用评价指标体系，通过数据分析处理和综合计分，建立科学合理的信用分级分类管理体系。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rPr>
      </w:pPr>
      <w:r>
        <w:rPr>
          <w:rFonts w:hint="eastAsia" w:ascii="Nimbus Roman" w:hAnsi="Nimbus Roman" w:eastAsia="CESI仿宋-GB2312" w:cs="CESI仿宋-GB2312"/>
          <w:b/>
          <w:bCs w:val="0"/>
          <w:color w:val="auto"/>
          <w:sz w:val="32"/>
          <w:szCs w:val="32"/>
          <w:highlight w:val="none"/>
          <w:shd w:val="clear" w:color="auto" w:fill="auto"/>
        </w:rPr>
        <w:t>第四条</w:t>
      </w:r>
      <w:r>
        <w:rPr>
          <w:rFonts w:hint="eastAsia" w:ascii="Nimbus Roman" w:hAnsi="Nimbus Roman" w:eastAsia="CESI仿宋-GB2312" w:cs="CESI仿宋-GB2312"/>
          <w:b w:val="0"/>
          <w:bCs/>
          <w:color w:val="auto"/>
          <w:sz w:val="32"/>
          <w:szCs w:val="32"/>
          <w:highlight w:val="none"/>
          <w:shd w:val="clear" w:color="auto" w:fill="auto"/>
          <w:lang w:val="en-US" w:eastAsia="zh-CN"/>
        </w:rPr>
        <w:t xml:space="preserve"> 张店区</w:t>
      </w:r>
      <w:r>
        <w:rPr>
          <w:rFonts w:hint="eastAsia" w:ascii="Nimbus Roman" w:hAnsi="Nimbus Roman" w:eastAsia="CESI仿宋-GB2312" w:cs="CESI仿宋-GB2312"/>
          <w:color w:val="auto"/>
          <w:sz w:val="32"/>
          <w:szCs w:val="32"/>
        </w:rPr>
        <w:t>发展</w:t>
      </w:r>
      <w:r>
        <w:rPr>
          <w:rFonts w:hint="eastAsia" w:ascii="Nimbus Roman" w:hAnsi="Nimbus Roman" w:eastAsia="CESI仿宋-GB2312" w:cs="CESI仿宋-GB2312"/>
          <w:color w:val="auto"/>
          <w:sz w:val="32"/>
          <w:szCs w:val="32"/>
          <w:lang w:val="en-US" w:eastAsia="zh-CN"/>
        </w:rPr>
        <w:t>和改革局</w:t>
      </w:r>
      <w:r>
        <w:rPr>
          <w:rFonts w:hint="eastAsia" w:ascii="Nimbus Roman" w:hAnsi="Nimbus Roman" w:eastAsia="CESI仿宋-GB2312" w:cs="CESI仿宋-GB2312"/>
          <w:color w:val="auto"/>
          <w:sz w:val="32"/>
          <w:szCs w:val="32"/>
        </w:rPr>
        <w:t>负责</w:t>
      </w:r>
      <w:r>
        <w:rPr>
          <w:rFonts w:hint="eastAsia" w:ascii="Nimbus Roman" w:hAnsi="Nimbus Roman" w:eastAsia="CESI仿宋-GB2312" w:cs="CESI仿宋-GB2312"/>
          <w:color w:val="auto"/>
          <w:sz w:val="32"/>
          <w:szCs w:val="32"/>
          <w:lang w:val="en-US" w:eastAsia="zh-CN"/>
        </w:rPr>
        <w:t>张店区</w:t>
      </w:r>
      <w:r>
        <w:rPr>
          <w:rFonts w:hint="eastAsia" w:ascii="Nimbus Roman" w:hAnsi="Nimbus Roman" w:eastAsia="CESI仿宋-GB2312" w:cs="CESI仿宋-GB2312"/>
          <w:color w:val="auto"/>
          <w:sz w:val="32"/>
          <w:szCs w:val="32"/>
        </w:rPr>
        <w:t>企业公共信用评价政策制定和指导协调，</w:t>
      </w:r>
      <w:r>
        <w:rPr>
          <w:rFonts w:hint="eastAsia" w:ascii="Nimbus Roman" w:hAnsi="Nimbus Roman" w:eastAsia="CESI仿宋-GB2312" w:cs="CESI仿宋-GB2312"/>
          <w:b w:val="0"/>
          <w:bCs/>
          <w:color w:val="auto"/>
          <w:sz w:val="32"/>
          <w:szCs w:val="32"/>
          <w:highlight w:val="none"/>
          <w:shd w:val="clear" w:color="auto" w:fill="auto"/>
        </w:rPr>
        <w:t>牵头负责全</w:t>
      </w:r>
      <w:r>
        <w:rPr>
          <w:rFonts w:hint="eastAsia" w:ascii="Nimbus Roman" w:hAnsi="Nimbus Roman" w:eastAsia="CESI仿宋-GB2312" w:cs="CESI仿宋-GB2312"/>
          <w:b w:val="0"/>
          <w:bCs/>
          <w:color w:val="auto"/>
          <w:sz w:val="32"/>
          <w:szCs w:val="32"/>
          <w:highlight w:val="none"/>
          <w:shd w:val="clear" w:color="auto" w:fill="auto"/>
          <w:lang w:val="en-US" w:eastAsia="zh-CN"/>
        </w:rPr>
        <w:t>区</w:t>
      </w:r>
      <w:r>
        <w:rPr>
          <w:rFonts w:hint="eastAsia" w:ascii="Nimbus Roman" w:hAnsi="Nimbus Roman" w:eastAsia="CESI仿宋-GB2312" w:cs="CESI仿宋-GB2312"/>
          <w:b w:val="0"/>
          <w:bCs/>
          <w:color w:val="auto"/>
          <w:sz w:val="32"/>
          <w:szCs w:val="32"/>
          <w:highlight w:val="none"/>
          <w:shd w:val="clear" w:color="auto" w:fill="auto"/>
        </w:rPr>
        <w:t>企业公共信用评价的标准制定、模型设计、异议受理、推广应用等工作。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lang w:val="en-US" w:eastAsia="zh-CN"/>
        </w:rPr>
      </w:pPr>
      <w:r>
        <w:rPr>
          <w:rFonts w:hint="eastAsia" w:ascii="Nimbus Roman" w:hAnsi="Nimbus Roman" w:eastAsia="CESI仿宋-GB2312" w:cs="CESI仿宋-GB2312"/>
          <w:b/>
          <w:bCs w:val="0"/>
          <w:color w:val="auto"/>
          <w:sz w:val="32"/>
          <w:szCs w:val="32"/>
          <w:highlight w:val="none"/>
          <w:shd w:val="clear" w:color="auto" w:fill="auto"/>
        </w:rPr>
        <w:t>第</w:t>
      </w:r>
      <w:r>
        <w:rPr>
          <w:rFonts w:hint="eastAsia" w:ascii="Nimbus Roman" w:hAnsi="Nimbus Roman" w:eastAsia="CESI仿宋-GB2312" w:cs="CESI仿宋-GB2312"/>
          <w:b/>
          <w:bCs w:val="0"/>
          <w:color w:val="auto"/>
          <w:sz w:val="32"/>
          <w:szCs w:val="32"/>
          <w:highlight w:val="none"/>
          <w:shd w:val="clear" w:color="auto" w:fill="auto"/>
          <w:lang w:val="en-US" w:eastAsia="zh-CN"/>
        </w:rPr>
        <w:t>五</w:t>
      </w:r>
      <w:r>
        <w:rPr>
          <w:rFonts w:hint="eastAsia" w:ascii="Nimbus Roman" w:hAnsi="Nimbus Roman" w:eastAsia="CESI仿宋-GB2312" w:cs="CESI仿宋-GB2312"/>
          <w:b/>
          <w:bCs w:val="0"/>
          <w:color w:val="auto"/>
          <w:sz w:val="32"/>
          <w:szCs w:val="32"/>
          <w:highlight w:val="none"/>
          <w:shd w:val="clear" w:color="auto" w:fill="auto"/>
        </w:rPr>
        <w:t>条</w:t>
      </w:r>
      <w:r>
        <w:rPr>
          <w:rFonts w:hint="eastAsia" w:ascii="Nimbus Roman" w:hAnsi="Nimbus Roman" w:eastAsia="CESI仿宋-GB2312" w:cs="CESI仿宋-GB2312"/>
          <w:b w:val="0"/>
          <w:bCs/>
          <w:color w:val="auto"/>
          <w:sz w:val="32"/>
          <w:szCs w:val="32"/>
          <w:highlight w:val="none"/>
          <w:shd w:val="clear" w:color="auto" w:fill="auto"/>
          <w:lang w:val="en-US" w:eastAsia="zh-CN"/>
        </w:rPr>
        <w:t xml:space="preserve"> </w:t>
      </w:r>
      <w:r>
        <w:rPr>
          <w:rFonts w:hint="eastAsia" w:ascii="Nimbus Roman" w:hAnsi="Nimbus Roman" w:eastAsia="CESI仿宋-GB2312" w:cs="CESI仿宋-GB2312"/>
          <w:b w:val="0"/>
          <w:bCs/>
          <w:color w:val="auto"/>
          <w:sz w:val="32"/>
          <w:szCs w:val="32"/>
          <w:highlight w:val="none"/>
          <w:shd w:val="clear" w:color="auto" w:fill="auto"/>
        </w:rPr>
        <w:t>行业主管部门负责本行业、本领域市场主体信用监管工作</w:t>
      </w:r>
      <w:r>
        <w:rPr>
          <w:rFonts w:hint="eastAsia" w:ascii="Nimbus Roman" w:hAnsi="Nimbus Roman" w:eastAsia="CESI仿宋-GB2312" w:cs="CESI仿宋-GB2312"/>
          <w:b w:val="0"/>
          <w:bCs/>
          <w:color w:val="auto"/>
          <w:sz w:val="32"/>
          <w:szCs w:val="32"/>
          <w:highlight w:val="none"/>
          <w:shd w:val="clear" w:color="auto" w:fill="auto"/>
          <w:lang w:eastAsia="zh-CN"/>
        </w:rPr>
        <w:t>，</w:t>
      </w:r>
      <w:r>
        <w:rPr>
          <w:rFonts w:hint="eastAsia" w:ascii="Nimbus Roman" w:hAnsi="Nimbus Roman" w:eastAsia="CESI仿宋-GB2312" w:cs="CESI仿宋-GB2312"/>
          <w:b w:val="0"/>
          <w:bCs/>
          <w:color w:val="auto"/>
          <w:sz w:val="32"/>
          <w:szCs w:val="32"/>
          <w:highlight w:val="none"/>
          <w:shd w:val="clear" w:color="auto" w:fill="auto"/>
        </w:rPr>
        <w:t>行业监管部门依职责分工与事权划分负责市场主体相关信用信息归集、更新与使用。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lang w:val="en-US" w:eastAsia="zh-CN"/>
        </w:rPr>
      </w:pPr>
      <w:r>
        <w:rPr>
          <w:rFonts w:hint="eastAsia" w:ascii="Nimbus Roman" w:hAnsi="Nimbus Roman" w:eastAsia="CESI仿宋-GB2312" w:cs="CESI仿宋-GB2312"/>
          <w:b w:val="0"/>
          <w:bCs/>
          <w:color w:val="auto"/>
          <w:sz w:val="32"/>
          <w:szCs w:val="32"/>
          <w:highlight w:val="none"/>
          <w:shd w:val="clear" w:color="auto" w:fill="auto"/>
          <w:lang w:val="en-US" w:eastAsia="zh-CN"/>
        </w:rPr>
        <w:t>市场主体公共信用评价结果以政务共享的方式推送给有关行业监管部门，作为行业分级分类监管的重要参考，不作为政府部门对信用主体信用状况的背书。</w:t>
      </w:r>
    </w:p>
    <w:p>
      <w:pPr>
        <w:pStyle w:val="2"/>
        <w:keepNext w:val="0"/>
        <w:keepLines w:val="0"/>
        <w:pageBreakBefore w:val="0"/>
        <w:numPr>
          <w:ilvl w:val="0"/>
          <w:numId w:val="0"/>
        </w:numPr>
        <w:kinsoku/>
        <w:overflowPunct/>
        <w:topLinePunct w:val="0"/>
        <w:bidi w:val="0"/>
        <w:spacing w:line="560" w:lineRule="exact"/>
        <w:textAlignment w:val="auto"/>
        <w:rPr>
          <w:rFonts w:hint="eastAsia" w:ascii="Nimbus Roman" w:hAnsi="Nimbus Roman" w:eastAsia="CESI黑体-GB18030" w:cs="CESI黑体-GB18030"/>
        </w:rPr>
      </w:pPr>
    </w:p>
    <w:p>
      <w:pPr>
        <w:pStyle w:val="14"/>
        <w:keepNext w:val="0"/>
        <w:keepLines w:val="0"/>
        <w:pageBreakBefore w:val="0"/>
        <w:numPr>
          <w:ilvl w:val="0"/>
          <w:numId w:val="0"/>
        </w:numPr>
        <w:kinsoku/>
        <w:overflowPunct/>
        <w:topLinePunct w:val="0"/>
        <w:bidi w:val="0"/>
        <w:spacing w:line="560" w:lineRule="exact"/>
        <w:ind w:leftChars="0"/>
        <w:jc w:val="center"/>
        <w:textAlignment w:val="auto"/>
        <w:rPr>
          <w:rFonts w:hint="eastAsia" w:ascii="Nimbus Roman" w:hAnsi="Nimbus Roman" w:eastAsia="CESI黑体-GB18030" w:cs="CESI黑体-GB18030"/>
          <w:sz w:val="32"/>
          <w:szCs w:val="32"/>
        </w:rPr>
      </w:pPr>
      <w:r>
        <w:rPr>
          <w:rFonts w:hint="eastAsia" w:ascii="Nimbus Roman" w:hAnsi="Nimbus Roman" w:eastAsia="CESI黑体-GB18030" w:cs="CESI黑体-GB18030"/>
          <w:sz w:val="32"/>
          <w:szCs w:val="32"/>
          <w:lang w:val="en-US" w:eastAsia="zh-CN"/>
        </w:rPr>
        <w:t xml:space="preserve">第二章   </w:t>
      </w:r>
      <w:r>
        <w:rPr>
          <w:rFonts w:hint="eastAsia" w:ascii="Nimbus Roman" w:hAnsi="Nimbus Roman" w:eastAsia="CESI黑体-GB18030" w:cs="CESI黑体-GB18030"/>
          <w:sz w:val="32"/>
          <w:szCs w:val="32"/>
        </w:rPr>
        <w:t>信用信息归集</w:t>
      </w:r>
    </w:p>
    <w:p>
      <w:pPr>
        <w:pStyle w:val="14"/>
        <w:keepNext w:val="0"/>
        <w:keepLines w:val="0"/>
        <w:pageBreakBefore w:val="0"/>
        <w:numPr>
          <w:ilvl w:val="0"/>
          <w:numId w:val="0"/>
        </w:numPr>
        <w:kinsoku/>
        <w:overflowPunct/>
        <w:topLinePunct w:val="0"/>
        <w:bidi w:val="0"/>
        <w:spacing w:line="560" w:lineRule="exact"/>
        <w:ind w:leftChars="0"/>
        <w:jc w:val="both"/>
        <w:textAlignment w:val="auto"/>
        <w:rPr>
          <w:rFonts w:ascii="Nimbus Roman" w:hAnsi="Nimbus Roman"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rPr>
      </w:pPr>
      <w:r>
        <w:rPr>
          <w:rFonts w:hint="eastAsia" w:ascii="Nimbus Roman" w:hAnsi="Nimbus Roman" w:eastAsia="CESI仿宋-GB2312" w:cs="CESI仿宋-GB2312"/>
          <w:b/>
          <w:bCs w:val="0"/>
          <w:color w:val="auto"/>
          <w:sz w:val="32"/>
          <w:szCs w:val="32"/>
          <w:highlight w:val="none"/>
          <w:shd w:val="clear" w:color="auto" w:fill="auto"/>
        </w:rPr>
        <w:t>第七条</w:t>
      </w:r>
      <w:r>
        <w:rPr>
          <w:rFonts w:hint="eastAsia" w:ascii="Nimbus Roman" w:hAnsi="Nimbus Roman" w:eastAsia="CESI仿宋-GB2312" w:cs="CESI仿宋-GB2312"/>
          <w:b w:val="0"/>
          <w:bCs/>
          <w:color w:val="auto"/>
          <w:sz w:val="32"/>
          <w:szCs w:val="32"/>
          <w:highlight w:val="none"/>
          <w:shd w:val="clear" w:color="auto" w:fill="auto"/>
        </w:rPr>
        <w:t xml:space="preserve"> 市场主体信用信息包括：基础信息、诚信信息、失信信息、严重失信主体名单信息和其他信息。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rPr>
      </w:pPr>
      <w:r>
        <w:rPr>
          <w:rFonts w:hint="eastAsia" w:ascii="Nimbus Roman" w:hAnsi="Nimbus Roman" w:eastAsia="CESI仿宋-GB2312" w:cs="CESI仿宋-GB2312"/>
          <w:b/>
          <w:bCs w:val="0"/>
          <w:color w:val="auto"/>
          <w:sz w:val="32"/>
          <w:szCs w:val="32"/>
          <w:highlight w:val="none"/>
          <w:shd w:val="clear" w:color="auto" w:fill="auto"/>
        </w:rPr>
        <w:t>第八条</w:t>
      </w:r>
      <w:r>
        <w:rPr>
          <w:rFonts w:hint="eastAsia" w:ascii="Nimbus Roman" w:hAnsi="Nimbus Roman" w:eastAsia="CESI仿宋-GB2312" w:cs="CESI仿宋-GB2312"/>
          <w:b w:val="0"/>
          <w:bCs/>
          <w:color w:val="auto"/>
          <w:sz w:val="32"/>
          <w:szCs w:val="32"/>
          <w:highlight w:val="none"/>
          <w:shd w:val="clear" w:color="auto" w:fill="auto"/>
        </w:rPr>
        <w:t xml:space="preserve"> 市场主体的基础信息包括注册登记、行政许可、认证认可、产品标准等信息。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rPr>
      </w:pPr>
      <w:r>
        <w:rPr>
          <w:rFonts w:hint="eastAsia" w:ascii="Nimbus Roman" w:hAnsi="Nimbus Roman" w:eastAsia="CESI仿宋-GB2312" w:cs="CESI仿宋-GB2312"/>
          <w:b/>
          <w:bCs w:val="0"/>
          <w:color w:val="auto"/>
          <w:sz w:val="32"/>
          <w:szCs w:val="32"/>
          <w:highlight w:val="none"/>
          <w:shd w:val="clear" w:color="auto" w:fill="auto"/>
        </w:rPr>
        <w:t>第九条</w:t>
      </w:r>
      <w:r>
        <w:rPr>
          <w:rFonts w:hint="eastAsia" w:ascii="Nimbus Roman" w:hAnsi="Nimbus Roman" w:eastAsia="CESI仿宋-GB2312" w:cs="CESI仿宋-GB2312"/>
          <w:b w:val="0"/>
          <w:bCs/>
          <w:color w:val="auto"/>
          <w:sz w:val="32"/>
          <w:szCs w:val="32"/>
          <w:highlight w:val="none"/>
          <w:shd w:val="clear" w:color="auto" w:fill="auto"/>
        </w:rPr>
        <w:t xml:space="preserve"> 市场主体的诚信信息包括：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rPr>
      </w:pPr>
      <w:r>
        <w:rPr>
          <w:rFonts w:hint="eastAsia" w:ascii="Nimbus Roman" w:hAnsi="Nimbus Roman" w:eastAsia="CESI仿宋-GB2312" w:cs="CESI仿宋-GB2312"/>
          <w:b w:val="0"/>
          <w:bCs/>
          <w:color w:val="auto"/>
          <w:sz w:val="32"/>
          <w:szCs w:val="32"/>
          <w:highlight w:val="none"/>
          <w:shd w:val="clear" w:color="auto" w:fill="auto"/>
        </w:rPr>
        <w:t>（一）政府部门公布的联合激励对象（守信红名单）信息；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rPr>
      </w:pPr>
      <w:r>
        <w:rPr>
          <w:rFonts w:hint="eastAsia" w:ascii="Nimbus Roman" w:hAnsi="Nimbus Roman" w:eastAsia="CESI仿宋-GB2312" w:cs="CESI仿宋-GB2312"/>
          <w:b w:val="0"/>
          <w:bCs/>
          <w:color w:val="auto"/>
          <w:sz w:val="32"/>
          <w:szCs w:val="32"/>
          <w:highlight w:val="none"/>
          <w:shd w:val="clear" w:color="auto" w:fill="auto"/>
        </w:rPr>
        <w:t>（二）国家综合信用评价等级较高的信息；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rPr>
      </w:pPr>
      <w:r>
        <w:rPr>
          <w:rFonts w:hint="eastAsia" w:ascii="Nimbus Roman" w:hAnsi="Nimbus Roman" w:eastAsia="CESI仿宋-GB2312" w:cs="CESI仿宋-GB2312"/>
          <w:b w:val="0"/>
          <w:bCs/>
          <w:color w:val="auto"/>
          <w:sz w:val="32"/>
          <w:szCs w:val="32"/>
          <w:highlight w:val="none"/>
          <w:shd w:val="clear" w:color="auto" w:fill="auto"/>
        </w:rPr>
        <w:t>（三）税务、统计等部门开展的通用行业评价等级较高的信息；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rPr>
      </w:pPr>
      <w:r>
        <w:rPr>
          <w:rFonts w:hint="eastAsia" w:ascii="Nimbus Roman" w:hAnsi="Nimbus Roman" w:eastAsia="CESI仿宋-GB2312" w:cs="CESI仿宋-GB2312"/>
          <w:b w:val="0"/>
          <w:bCs/>
          <w:color w:val="auto"/>
          <w:sz w:val="32"/>
          <w:szCs w:val="32"/>
          <w:highlight w:val="none"/>
          <w:shd w:val="clear" w:color="auto" w:fill="auto"/>
        </w:rPr>
        <w:t>（四）环保、海关等部门开展的单一行业评价等级较高的信息；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rPr>
      </w:pPr>
      <w:r>
        <w:rPr>
          <w:rFonts w:hint="eastAsia" w:ascii="Nimbus Roman" w:hAnsi="Nimbus Roman" w:eastAsia="CESI仿宋-GB2312" w:cs="CESI仿宋-GB2312"/>
          <w:b w:val="0"/>
          <w:bCs/>
          <w:color w:val="auto"/>
          <w:sz w:val="32"/>
          <w:szCs w:val="32"/>
          <w:highlight w:val="none"/>
          <w:shd w:val="clear" w:color="auto" w:fill="auto"/>
        </w:rPr>
        <w:t>（五）单位获得表彰、奖励和通报表扬等信息；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rPr>
      </w:pPr>
      <w:r>
        <w:rPr>
          <w:rFonts w:hint="eastAsia" w:ascii="Nimbus Roman" w:hAnsi="Nimbus Roman" w:eastAsia="CESI仿宋-GB2312" w:cs="CESI仿宋-GB2312"/>
          <w:b w:val="0"/>
          <w:bCs/>
          <w:color w:val="auto"/>
          <w:sz w:val="32"/>
          <w:szCs w:val="32"/>
          <w:highlight w:val="none"/>
          <w:shd w:val="clear" w:color="auto" w:fill="auto"/>
        </w:rPr>
        <w:t>（六）慈善捐赠、包村扶贫等社会公益、履行社会责任信息；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rPr>
      </w:pPr>
      <w:r>
        <w:rPr>
          <w:rFonts w:hint="eastAsia" w:ascii="Nimbus Roman" w:hAnsi="Nimbus Roman" w:eastAsia="CESI仿宋-GB2312" w:cs="CESI仿宋-GB2312"/>
          <w:b w:val="0"/>
          <w:bCs/>
          <w:color w:val="auto"/>
          <w:sz w:val="32"/>
          <w:szCs w:val="32"/>
          <w:highlight w:val="none"/>
          <w:shd w:val="clear" w:color="auto" w:fill="auto"/>
        </w:rPr>
        <w:t>（七）国家、省</w:t>
      </w:r>
      <w:r>
        <w:rPr>
          <w:rFonts w:hint="eastAsia" w:ascii="Nimbus Roman" w:hAnsi="Nimbus Roman" w:eastAsia="CESI仿宋-GB2312" w:cs="CESI仿宋-GB2312"/>
          <w:b w:val="0"/>
          <w:bCs/>
          <w:color w:val="auto"/>
          <w:sz w:val="32"/>
          <w:szCs w:val="32"/>
          <w:highlight w:val="none"/>
          <w:shd w:val="clear" w:color="auto" w:fill="auto"/>
          <w:lang w:eastAsia="zh-CN"/>
        </w:rPr>
        <w:t>、</w:t>
      </w:r>
      <w:r>
        <w:rPr>
          <w:rFonts w:hint="eastAsia" w:ascii="Nimbus Roman" w:hAnsi="Nimbus Roman" w:eastAsia="CESI仿宋-GB2312" w:cs="CESI仿宋-GB2312"/>
          <w:b w:val="0"/>
          <w:bCs/>
          <w:color w:val="auto"/>
          <w:sz w:val="32"/>
          <w:szCs w:val="32"/>
          <w:highlight w:val="none"/>
          <w:shd w:val="clear" w:color="auto" w:fill="auto"/>
          <w:lang w:val="en-US" w:eastAsia="zh-CN"/>
        </w:rPr>
        <w:t>市</w:t>
      </w:r>
      <w:r>
        <w:rPr>
          <w:rFonts w:hint="eastAsia" w:ascii="Nimbus Roman" w:hAnsi="Nimbus Roman" w:eastAsia="CESI仿宋-GB2312" w:cs="CESI仿宋-GB2312"/>
          <w:b w:val="0"/>
          <w:bCs/>
          <w:color w:val="auto"/>
          <w:sz w:val="32"/>
          <w:szCs w:val="32"/>
          <w:highlight w:val="none"/>
          <w:shd w:val="clear" w:color="auto" w:fill="auto"/>
        </w:rPr>
        <w:t>规定的其他信息。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rPr>
      </w:pPr>
      <w:r>
        <w:rPr>
          <w:rFonts w:hint="eastAsia" w:ascii="Nimbus Roman" w:hAnsi="Nimbus Roman" w:eastAsia="CESI仿宋-GB2312" w:cs="CESI仿宋-GB2312"/>
          <w:b/>
          <w:bCs w:val="0"/>
          <w:color w:val="auto"/>
          <w:sz w:val="32"/>
          <w:szCs w:val="32"/>
          <w:highlight w:val="none"/>
          <w:shd w:val="clear" w:color="auto" w:fill="auto"/>
        </w:rPr>
        <w:t>第十条</w:t>
      </w:r>
      <w:r>
        <w:rPr>
          <w:rFonts w:hint="eastAsia" w:ascii="Nimbus Roman" w:hAnsi="Nimbus Roman" w:eastAsia="CESI仿宋-GB2312" w:cs="CESI仿宋-GB2312"/>
          <w:b w:val="0"/>
          <w:bCs/>
          <w:color w:val="auto"/>
          <w:sz w:val="32"/>
          <w:szCs w:val="32"/>
          <w:highlight w:val="none"/>
          <w:shd w:val="clear" w:color="auto" w:fill="auto"/>
        </w:rPr>
        <w:t xml:space="preserve"> 市场主体失信信息是指依法依规编制的全国公共信用信息基础目录和地方补充目录中所列的对信用主体信用状况具有负面影响的信息，包括行政处罚信息、刑事处罚信息和其他失信信息。失信信息包括但不限于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rPr>
      </w:pPr>
      <w:r>
        <w:rPr>
          <w:rFonts w:hint="eastAsia" w:ascii="Nimbus Roman" w:hAnsi="Nimbus Roman" w:eastAsia="CESI仿宋-GB2312" w:cs="CESI仿宋-GB2312"/>
          <w:b w:val="0"/>
          <w:bCs/>
          <w:color w:val="auto"/>
          <w:sz w:val="32"/>
          <w:szCs w:val="32"/>
          <w:highlight w:val="none"/>
          <w:shd w:val="clear" w:color="auto" w:fill="auto"/>
        </w:rPr>
        <w:t>（一）确认违法违规但依法不予行政处罚的信息；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rPr>
      </w:pPr>
      <w:r>
        <w:rPr>
          <w:rFonts w:hint="eastAsia" w:ascii="Nimbus Roman" w:hAnsi="Nimbus Roman" w:eastAsia="CESI仿宋-GB2312" w:cs="CESI仿宋-GB2312"/>
          <w:b w:val="0"/>
          <w:bCs/>
          <w:color w:val="auto"/>
          <w:sz w:val="32"/>
          <w:szCs w:val="32"/>
          <w:highlight w:val="none"/>
          <w:shd w:val="clear" w:color="auto" w:fill="auto"/>
        </w:rPr>
        <w:t>（二）被监管部门处以行业禁入，以及进行责任约谈和整改的信息；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rPr>
      </w:pPr>
      <w:r>
        <w:rPr>
          <w:rFonts w:hint="eastAsia" w:ascii="Nimbus Roman" w:hAnsi="Nimbus Roman" w:eastAsia="CESI仿宋-GB2312" w:cs="CESI仿宋-GB2312"/>
          <w:b w:val="0"/>
          <w:bCs/>
          <w:color w:val="auto"/>
          <w:sz w:val="32"/>
          <w:szCs w:val="32"/>
          <w:highlight w:val="none"/>
          <w:shd w:val="clear" w:color="auto" w:fill="auto"/>
        </w:rPr>
        <w:t>（三）拒绝、阻挠执法的，伪造或故意破坏现场的，转移、隐匿、伪造、销毁有关证据资料的，擅自动用查封扣押物品的信息；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rPr>
      </w:pPr>
      <w:r>
        <w:rPr>
          <w:rFonts w:hint="eastAsia" w:ascii="Nimbus Roman" w:hAnsi="Nimbus Roman" w:eastAsia="CESI仿宋-GB2312" w:cs="CESI仿宋-GB2312"/>
          <w:b w:val="0"/>
          <w:bCs/>
          <w:color w:val="auto"/>
          <w:sz w:val="32"/>
          <w:szCs w:val="32"/>
          <w:highlight w:val="none"/>
          <w:shd w:val="clear" w:color="auto" w:fill="auto"/>
        </w:rPr>
        <w:t>（四）市场监管部门经营异常名录信息；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rPr>
      </w:pPr>
      <w:r>
        <w:rPr>
          <w:rFonts w:hint="eastAsia" w:ascii="Nimbus Roman" w:hAnsi="Nimbus Roman" w:eastAsia="CESI仿宋-GB2312" w:cs="CESI仿宋-GB2312"/>
          <w:b w:val="0"/>
          <w:bCs/>
          <w:color w:val="auto"/>
          <w:sz w:val="32"/>
          <w:szCs w:val="32"/>
          <w:highlight w:val="none"/>
          <w:shd w:val="clear" w:color="auto" w:fill="auto"/>
        </w:rPr>
        <w:t>（五）行政强制执行信息；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rPr>
      </w:pPr>
      <w:r>
        <w:rPr>
          <w:rFonts w:hint="eastAsia" w:ascii="Nimbus Roman" w:hAnsi="Nimbus Roman" w:eastAsia="CESI仿宋-GB2312" w:cs="CESI仿宋-GB2312"/>
          <w:b w:val="0"/>
          <w:bCs/>
          <w:color w:val="auto"/>
          <w:sz w:val="32"/>
          <w:szCs w:val="32"/>
          <w:highlight w:val="none"/>
          <w:shd w:val="clear" w:color="auto" w:fill="auto"/>
        </w:rPr>
        <w:t>（六）法院生效判决涉及合同纠纷需承担责任的信息；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rPr>
      </w:pPr>
      <w:r>
        <w:rPr>
          <w:rFonts w:hint="eastAsia" w:ascii="Nimbus Roman" w:hAnsi="Nimbus Roman" w:eastAsia="CESI仿宋-GB2312" w:cs="CESI仿宋-GB2312"/>
          <w:b w:val="0"/>
          <w:bCs/>
          <w:color w:val="auto"/>
          <w:sz w:val="32"/>
          <w:szCs w:val="32"/>
          <w:highlight w:val="none"/>
          <w:shd w:val="clear" w:color="auto" w:fill="auto"/>
        </w:rPr>
        <w:t>（七）国家综合信用评价等级较低的信息；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rPr>
      </w:pPr>
      <w:r>
        <w:rPr>
          <w:rFonts w:hint="eastAsia" w:ascii="Nimbus Roman" w:hAnsi="Nimbus Roman" w:eastAsia="CESI仿宋-GB2312" w:cs="CESI仿宋-GB2312"/>
          <w:b w:val="0"/>
          <w:bCs/>
          <w:color w:val="auto"/>
          <w:sz w:val="32"/>
          <w:szCs w:val="32"/>
          <w:highlight w:val="none"/>
          <w:shd w:val="clear" w:color="auto" w:fill="auto"/>
        </w:rPr>
        <w:t>（八）税务统计等部门开展的通用行业评价等级较低的信息；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rPr>
      </w:pPr>
      <w:r>
        <w:rPr>
          <w:rFonts w:hint="eastAsia" w:ascii="Nimbus Roman" w:hAnsi="Nimbus Roman" w:eastAsia="CESI仿宋-GB2312" w:cs="CESI仿宋-GB2312"/>
          <w:b w:val="0"/>
          <w:bCs/>
          <w:color w:val="auto"/>
          <w:sz w:val="32"/>
          <w:szCs w:val="32"/>
          <w:highlight w:val="none"/>
          <w:shd w:val="clear" w:color="auto" w:fill="auto"/>
        </w:rPr>
        <w:t>（九）环保海关等部门开展的单一行业评价等级较低的信息；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rPr>
      </w:pPr>
      <w:r>
        <w:rPr>
          <w:rFonts w:hint="eastAsia" w:ascii="Nimbus Roman" w:hAnsi="Nimbus Roman" w:eastAsia="CESI仿宋-GB2312" w:cs="CESI仿宋-GB2312"/>
          <w:b w:val="0"/>
          <w:bCs/>
          <w:color w:val="auto"/>
          <w:sz w:val="32"/>
          <w:szCs w:val="32"/>
          <w:highlight w:val="none"/>
          <w:shd w:val="clear" w:color="auto" w:fill="auto"/>
        </w:rPr>
        <w:t>（十）高管失信信息；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rPr>
      </w:pPr>
      <w:r>
        <w:rPr>
          <w:rFonts w:hint="eastAsia" w:ascii="Nimbus Roman" w:hAnsi="Nimbus Roman" w:eastAsia="CESI仿宋-GB2312" w:cs="CESI仿宋-GB2312"/>
          <w:b w:val="0"/>
          <w:bCs/>
          <w:color w:val="auto"/>
          <w:sz w:val="32"/>
          <w:szCs w:val="32"/>
          <w:highlight w:val="none"/>
          <w:shd w:val="clear" w:color="auto" w:fill="auto"/>
        </w:rPr>
        <w:t>（十一）隐瞒有关情况、提供虚假材料的信息；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rPr>
      </w:pPr>
      <w:r>
        <w:rPr>
          <w:rFonts w:hint="eastAsia" w:ascii="Nimbus Roman" w:hAnsi="Nimbus Roman" w:eastAsia="CESI仿宋-GB2312" w:cs="CESI仿宋-GB2312"/>
          <w:b w:val="0"/>
          <w:bCs/>
          <w:color w:val="auto"/>
          <w:sz w:val="32"/>
          <w:szCs w:val="32"/>
          <w:highlight w:val="none"/>
          <w:shd w:val="clear" w:color="auto" w:fill="auto"/>
        </w:rPr>
        <w:t>（十二）虚假承诺或违反信用承诺信息；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rPr>
      </w:pPr>
      <w:r>
        <w:rPr>
          <w:rFonts w:hint="eastAsia" w:ascii="Nimbus Roman" w:hAnsi="Nimbus Roman" w:eastAsia="CESI仿宋-GB2312" w:cs="CESI仿宋-GB2312"/>
          <w:b w:val="0"/>
          <w:bCs/>
          <w:color w:val="auto"/>
          <w:sz w:val="32"/>
          <w:szCs w:val="32"/>
          <w:highlight w:val="none"/>
          <w:shd w:val="clear" w:color="auto" w:fill="auto"/>
        </w:rPr>
        <w:t>（十三）拒不缴纳依法应当缴纳的税款、社会保险费、行政事业性收费、政府性基金信息；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rPr>
      </w:pPr>
      <w:r>
        <w:rPr>
          <w:rFonts w:hint="eastAsia" w:ascii="Nimbus Roman" w:hAnsi="Nimbus Roman" w:eastAsia="CESI仿宋-GB2312" w:cs="CESI仿宋-GB2312"/>
          <w:b w:val="0"/>
          <w:bCs/>
          <w:color w:val="auto"/>
          <w:sz w:val="32"/>
          <w:szCs w:val="32"/>
          <w:highlight w:val="none"/>
          <w:shd w:val="clear" w:color="auto" w:fill="auto"/>
        </w:rPr>
        <w:t>（十四）以欺骗、贿赂等不正当手段取得行政许可、行政确认、行政给付、行政奖励和项目等的信息。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rPr>
      </w:pPr>
      <w:r>
        <w:rPr>
          <w:rFonts w:hint="eastAsia" w:ascii="Nimbus Roman" w:hAnsi="Nimbus Roman" w:eastAsia="CESI仿宋-GB2312" w:cs="CESI仿宋-GB2312"/>
          <w:b/>
          <w:bCs w:val="0"/>
          <w:color w:val="auto"/>
          <w:sz w:val="32"/>
          <w:szCs w:val="32"/>
          <w:highlight w:val="none"/>
          <w:shd w:val="clear" w:color="auto" w:fill="auto"/>
        </w:rPr>
        <w:t xml:space="preserve">第十一条 </w:t>
      </w:r>
      <w:r>
        <w:rPr>
          <w:rFonts w:hint="eastAsia" w:ascii="Nimbus Roman" w:hAnsi="Nimbus Roman" w:eastAsia="CESI仿宋-GB2312" w:cs="CESI仿宋-GB2312"/>
          <w:b w:val="0"/>
          <w:bCs/>
          <w:color w:val="auto"/>
          <w:sz w:val="32"/>
          <w:szCs w:val="32"/>
          <w:highlight w:val="none"/>
          <w:shd w:val="clear" w:color="auto" w:fill="auto"/>
        </w:rPr>
        <w:t>严重失信主体名单信息是按照《国务院关于建立完善守信联合激励和失信联合惩戒制度加快推进社会诚信建设的指导意见》（国发〔2016〕33号）规定，列入严重失信主体名单的信息。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rPr>
      </w:pPr>
      <w:r>
        <w:rPr>
          <w:rFonts w:hint="eastAsia" w:ascii="Nimbus Roman" w:hAnsi="Nimbus Roman" w:eastAsia="CESI仿宋-GB2312" w:cs="CESI仿宋-GB2312"/>
          <w:b/>
          <w:bCs w:val="0"/>
          <w:color w:val="auto"/>
          <w:sz w:val="32"/>
          <w:szCs w:val="32"/>
          <w:highlight w:val="none"/>
          <w:shd w:val="clear" w:color="auto" w:fill="auto"/>
        </w:rPr>
        <w:t>第十二条</w:t>
      </w:r>
      <w:r>
        <w:rPr>
          <w:rFonts w:hint="eastAsia" w:ascii="Nimbus Roman" w:hAnsi="Nimbus Roman" w:eastAsia="CESI仿宋-GB2312" w:cs="CESI仿宋-GB2312"/>
          <w:b w:val="0"/>
          <w:bCs/>
          <w:color w:val="auto"/>
          <w:sz w:val="32"/>
          <w:szCs w:val="32"/>
          <w:highlight w:val="none"/>
          <w:shd w:val="clear" w:color="auto" w:fill="auto"/>
        </w:rPr>
        <w:t xml:space="preserve"> 其他信息包括对市场主体的日常监督检查、专项检查、飞行检查、跟踪检查以及监督抽检、约谈等信用监管信息；信用承诺以及履行承诺信息；企业破产和退出信息；国家、省规定的应当列入公共信用信息目录清单的其他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rPr>
      </w:pPr>
      <w:r>
        <w:rPr>
          <w:rFonts w:hint="eastAsia" w:ascii="Nimbus Roman" w:hAnsi="Nimbus Roman" w:eastAsia="CESI仿宋-GB2312" w:cs="CESI仿宋-GB2312"/>
          <w:b/>
          <w:bCs w:val="0"/>
          <w:color w:val="auto"/>
          <w:sz w:val="32"/>
          <w:szCs w:val="32"/>
          <w:highlight w:val="none"/>
          <w:shd w:val="clear" w:color="auto" w:fill="auto"/>
        </w:rPr>
        <w:t>第十三条</w:t>
      </w:r>
      <w:r>
        <w:rPr>
          <w:rFonts w:hint="eastAsia" w:ascii="Nimbus Roman" w:hAnsi="Nimbus Roman" w:eastAsia="CESI仿宋-GB2312" w:cs="CESI仿宋-GB2312"/>
          <w:b w:val="0"/>
          <w:bCs/>
          <w:color w:val="auto"/>
          <w:sz w:val="32"/>
          <w:szCs w:val="32"/>
          <w:highlight w:val="none"/>
          <w:shd w:val="clear" w:color="auto" w:fill="auto"/>
        </w:rPr>
        <w:t xml:space="preserve"> 市场主体信用信息采取监管部门提供的方式归集。信息提供</w:t>
      </w:r>
      <w:r>
        <w:rPr>
          <w:rFonts w:hint="eastAsia" w:ascii="Nimbus Roman" w:hAnsi="Nimbus Roman" w:eastAsia="CESI仿宋-GB2312" w:cs="CESI仿宋-GB2312"/>
          <w:b w:val="0"/>
          <w:bCs/>
          <w:color w:val="auto"/>
          <w:sz w:val="32"/>
          <w:szCs w:val="32"/>
          <w:highlight w:val="none"/>
          <w:shd w:val="clear" w:color="auto" w:fill="auto"/>
          <w:lang w:val="en-US" w:eastAsia="zh-CN"/>
        </w:rPr>
        <w:t>应按照</w:t>
      </w:r>
      <w:r>
        <w:rPr>
          <w:rFonts w:hint="eastAsia" w:ascii="Nimbus Roman" w:hAnsi="Nimbus Roman" w:eastAsia="CESI仿宋-GB2312" w:cs="CESI仿宋-GB2312"/>
          <w:b w:val="0"/>
          <w:bCs/>
          <w:color w:val="auto"/>
          <w:sz w:val="32"/>
          <w:szCs w:val="32"/>
          <w:highlight w:val="none"/>
          <w:shd w:val="clear" w:color="auto" w:fill="auto"/>
        </w:rPr>
        <w:t>“谁许可谁录入、谁确认谁录入、谁检查谁录入、谁处罚谁录入、谁认定谁录入、谁录入谁负责”的原则</w:t>
      </w:r>
      <w:r>
        <w:rPr>
          <w:rFonts w:hint="eastAsia" w:ascii="Nimbus Roman" w:hAnsi="Nimbus Roman" w:eastAsia="CESI仿宋-GB2312" w:cs="CESI仿宋-GB2312"/>
          <w:b w:val="0"/>
          <w:bCs/>
          <w:color w:val="auto"/>
          <w:sz w:val="32"/>
          <w:szCs w:val="32"/>
          <w:highlight w:val="none"/>
          <w:shd w:val="clear" w:color="auto" w:fill="auto"/>
          <w:lang w:eastAsia="zh-CN"/>
        </w:rPr>
        <w:t>，</w:t>
      </w:r>
      <w:r>
        <w:rPr>
          <w:rFonts w:hint="eastAsia" w:ascii="Nimbus Roman" w:hAnsi="Nimbus Roman" w:eastAsia="CESI仿宋-GB2312" w:cs="CESI仿宋-GB2312"/>
          <w:b w:val="0"/>
          <w:bCs/>
          <w:color w:val="auto"/>
          <w:sz w:val="32"/>
          <w:szCs w:val="32"/>
          <w:highlight w:val="none"/>
          <w:shd w:val="clear" w:color="auto" w:fill="auto"/>
          <w:lang w:val="en-US" w:eastAsia="zh-CN"/>
        </w:rPr>
        <w:t>及时准确归集市场主体信用信息，对于应录入不录入的单位将在一定范围内通报</w:t>
      </w:r>
      <w:r>
        <w:rPr>
          <w:rFonts w:hint="eastAsia" w:ascii="Nimbus Roman" w:hAnsi="Nimbus Roman" w:eastAsia="CESI仿宋-GB2312" w:cs="CESI仿宋-GB2312"/>
          <w:b w:val="0"/>
          <w:bCs/>
          <w:color w:val="auto"/>
          <w:sz w:val="32"/>
          <w:szCs w:val="32"/>
          <w:highlight w:val="none"/>
          <w:shd w:val="clear" w:color="auto" w:fill="auto"/>
        </w:rPr>
        <w:t>。有关部门在归集信用信息时应告知市场主体以及可能产生的后果。</w:t>
      </w:r>
    </w:p>
    <w:p>
      <w:pPr>
        <w:pStyle w:val="2"/>
        <w:keepNext w:val="0"/>
        <w:keepLines w:val="0"/>
        <w:pageBreakBefore w:val="0"/>
        <w:kinsoku/>
        <w:overflowPunct/>
        <w:topLinePunct w:val="0"/>
        <w:bidi w:val="0"/>
        <w:spacing w:line="560" w:lineRule="exact"/>
        <w:textAlignment w:val="auto"/>
        <w:rPr>
          <w:rFonts w:hint="eastAsia" w:ascii="Nimbus Roman" w:hAnsi="Nimbus Roman"/>
        </w:rPr>
      </w:pPr>
    </w:p>
    <w:p>
      <w:pPr>
        <w:pStyle w:val="14"/>
        <w:keepNext w:val="0"/>
        <w:keepLines w:val="0"/>
        <w:pageBreakBefore w:val="0"/>
        <w:numPr>
          <w:ilvl w:val="0"/>
          <w:numId w:val="0"/>
        </w:numPr>
        <w:kinsoku/>
        <w:overflowPunct/>
        <w:topLinePunct w:val="0"/>
        <w:bidi w:val="0"/>
        <w:spacing w:line="560" w:lineRule="exact"/>
        <w:jc w:val="center"/>
        <w:textAlignment w:val="auto"/>
        <w:rPr>
          <w:rStyle w:val="11"/>
          <w:rFonts w:hint="eastAsia" w:ascii="Nimbus Roman" w:hAnsi="Nimbus Roman" w:eastAsia="CESI黑体-GB18030" w:cs="CESI黑体-GB18030"/>
          <w:b w:val="0"/>
          <w:bCs/>
          <w:kern w:val="0"/>
          <w:sz w:val="32"/>
          <w:szCs w:val="32"/>
          <w:lang w:val="en-US" w:eastAsia="zh-CN" w:bidi="ar"/>
        </w:rPr>
      </w:pPr>
      <w:r>
        <w:rPr>
          <w:rStyle w:val="11"/>
          <w:rFonts w:hint="eastAsia" w:ascii="Nimbus Roman" w:hAnsi="Nimbus Roman" w:eastAsia="CESI黑体-GB18030" w:cs="CESI黑体-GB18030"/>
          <w:b w:val="0"/>
          <w:bCs/>
          <w:kern w:val="0"/>
          <w:sz w:val="32"/>
          <w:szCs w:val="32"/>
          <w:lang w:val="en-US" w:eastAsia="zh-CN" w:bidi="ar"/>
        </w:rPr>
        <w:t>第三章   信用评价</w:t>
      </w:r>
    </w:p>
    <w:p>
      <w:pPr>
        <w:pStyle w:val="14"/>
        <w:keepNext w:val="0"/>
        <w:keepLines w:val="0"/>
        <w:pageBreakBefore w:val="0"/>
        <w:numPr>
          <w:ilvl w:val="0"/>
          <w:numId w:val="0"/>
        </w:numPr>
        <w:kinsoku/>
        <w:overflowPunct/>
        <w:topLinePunct w:val="0"/>
        <w:bidi w:val="0"/>
        <w:spacing w:line="560" w:lineRule="exact"/>
        <w:ind w:left="2" w:leftChars="0"/>
        <w:jc w:val="both"/>
        <w:textAlignment w:val="auto"/>
        <w:rPr>
          <w:rStyle w:val="11"/>
          <w:rFonts w:hint="eastAsia" w:ascii="Nimbus Roman" w:hAnsi="Nimbus Roman" w:eastAsia="黑体" w:cs="黑体"/>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lang w:val="en-US" w:eastAsia="zh-CN"/>
        </w:rPr>
      </w:pPr>
      <w:r>
        <w:rPr>
          <w:rFonts w:hint="eastAsia" w:ascii="Nimbus Roman" w:hAnsi="Nimbus Roman" w:eastAsia="CESI仿宋-GB2312" w:cs="CESI仿宋-GB2312"/>
          <w:b/>
          <w:bCs w:val="0"/>
          <w:color w:val="auto"/>
          <w:sz w:val="32"/>
          <w:szCs w:val="32"/>
          <w:highlight w:val="none"/>
          <w:shd w:val="clear" w:color="auto" w:fill="auto"/>
          <w:lang w:val="en-US" w:eastAsia="zh-CN"/>
        </w:rPr>
        <w:t>第十四条</w:t>
      </w:r>
      <w:r>
        <w:rPr>
          <w:rFonts w:hint="eastAsia" w:ascii="Nimbus Roman" w:hAnsi="Nimbus Roman" w:eastAsia="CESI仿宋-GB2312" w:cs="CESI仿宋-GB2312"/>
          <w:b w:val="0"/>
          <w:bCs/>
          <w:color w:val="auto"/>
          <w:sz w:val="32"/>
          <w:szCs w:val="32"/>
          <w:highlight w:val="none"/>
          <w:shd w:val="clear" w:color="auto" w:fill="auto"/>
          <w:lang w:val="en-US" w:eastAsia="zh-CN"/>
        </w:rPr>
        <w:t xml:space="preserve"> </w:t>
      </w:r>
      <w:r>
        <w:rPr>
          <w:rFonts w:hint="eastAsia" w:ascii="Nimbus Roman" w:hAnsi="Nimbus Roman" w:eastAsia="CESI仿宋-GB2312" w:cs="CESI仿宋-GB2312"/>
          <w:b w:val="0"/>
          <w:bCs/>
          <w:color w:val="auto"/>
          <w:sz w:val="32"/>
          <w:szCs w:val="32"/>
          <w:highlight w:val="none"/>
          <w:shd w:val="clear" w:color="auto" w:fill="auto"/>
        </w:rPr>
        <w:t>公共信用综合评价实行积分管理，赋予每个市场主体</w:t>
      </w:r>
      <w:r>
        <w:rPr>
          <w:rFonts w:hint="eastAsia" w:ascii="Nimbus Roman" w:hAnsi="Nimbus Roman" w:eastAsia="CESI仿宋-GB2312" w:cs="CESI仿宋-GB2312"/>
          <w:b w:val="0"/>
          <w:bCs/>
          <w:color w:val="auto"/>
          <w:sz w:val="32"/>
          <w:szCs w:val="32"/>
          <w:highlight w:val="none"/>
          <w:shd w:val="clear" w:color="auto" w:fill="auto"/>
          <w:lang w:val="en-US" w:eastAsia="zh-CN"/>
        </w:rPr>
        <w:t>1000</w:t>
      </w:r>
      <w:r>
        <w:rPr>
          <w:rFonts w:hint="eastAsia" w:ascii="Nimbus Roman" w:hAnsi="Nimbus Roman" w:eastAsia="CESI仿宋-GB2312" w:cs="CESI仿宋-GB2312"/>
          <w:b w:val="0"/>
          <w:bCs/>
          <w:color w:val="auto"/>
          <w:sz w:val="32"/>
          <w:szCs w:val="32"/>
          <w:highlight w:val="none"/>
          <w:shd w:val="clear" w:color="auto" w:fill="auto"/>
        </w:rPr>
        <w:t>分基本分值，在此基础上，设置减分项、加分项两类指标以及信用降级进行综合评定。</w:t>
      </w:r>
      <w:r>
        <w:rPr>
          <w:rFonts w:hint="eastAsia" w:ascii="Nimbus Roman" w:hAnsi="Nimbus Roman" w:eastAsia="CESI仿宋-GB2312" w:cs="CESI仿宋-GB2312"/>
          <w:b w:val="0"/>
          <w:bCs/>
          <w:color w:val="auto"/>
          <w:sz w:val="32"/>
          <w:szCs w:val="32"/>
          <w:highlight w:val="none"/>
          <w:shd w:val="clear" w:color="auto" w:fill="auto"/>
          <w:lang w:val="en-US" w:eastAsia="zh-CN"/>
        </w:rPr>
        <w:t>（公共信用综合评价指标体系详见附件）。</w:t>
      </w:r>
      <w:r>
        <w:rPr>
          <w:rFonts w:hint="eastAsia" w:ascii="Nimbus Roman" w:hAnsi="Nimbus Roman" w:eastAsia="CESI仿宋-GB2312" w:cs="CESI仿宋-GB2312"/>
          <w:b w:val="0"/>
          <w:bCs/>
          <w:color w:val="auto"/>
          <w:sz w:val="32"/>
          <w:szCs w:val="32"/>
          <w:highlight w:val="none"/>
          <w:shd w:val="clear" w:color="auto" w:fill="auto"/>
        </w:rPr>
        <w:t>市场主体具有国务院《关于建立完善守信联合激励和失信联合惩戒制度加快推进社会诚信建设的指导意见》（国发〔2016〕33号）规定的严重失信主体名单信息以及刑事处罚信息的，信用降级为D级。按照《山东省社会信用条例》的规定，适用简易程序作出的行政处罚信息，或者违法行为轻微且主动消除、减轻违法行为危害后果的行政处罚信息，不纳入公共信用信息数据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rPr>
      </w:pPr>
      <w:r>
        <w:rPr>
          <w:rFonts w:hint="eastAsia" w:ascii="Nimbus Roman" w:hAnsi="Nimbus Roman" w:eastAsia="CESI仿宋-GB2312" w:cs="CESI仿宋-GB2312"/>
          <w:b/>
          <w:bCs w:val="0"/>
          <w:color w:val="auto"/>
          <w:sz w:val="32"/>
          <w:szCs w:val="32"/>
          <w:highlight w:val="none"/>
          <w:shd w:val="clear" w:color="auto" w:fill="auto"/>
        </w:rPr>
        <w:t>第</w:t>
      </w:r>
      <w:r>
        <w:rPr>
          <w:rFonts w:hint="eastAsia" w:ascii="Nimbus Roman" w:hAnsi="Nimbus Roman" w:eastAsia="CESI仿宋-GB2312" w:cs="CESI仿宋-GB2312"/>
          <w:b/>
          <w:bCs w:val="0"/>
          <w:color w:val="auto"/>
          <w:sz w:val="32"/>
          <w:szCs w:val="32"/>
          <w:highlight w:val="none"/>
          <w:shd w:val="clear" w:color="auto" w:fill="auto"/>
          <w:lang w:val="en-US" w:eastAsia="zh-CN"/>
        </w:rPr>
        <w:t>十五</w:t>
      </w:r>
      <w:r>
        <w:rPr>
          <w:rFonts w:hint="eastAsia" w:ascii="Nimbus Roman" w:hAnsi="Nimbus Roman" w:eastAsia="CESI仿宋-GB2312" w:cs="CESI仿宋-GB2312"/>
          <w:b/>
          <w:bCs w:val="0"/>
          <w:color w:val="auto"/>
          <w:sz w:val="32"/>
          <w:szCs w:val="32"/>
          <w:highlight w:val="none"/>
          <w:shd w:val="clear" w:color="auto" w:fill="auto"/>
        </w:rPr>
        <w:t xml:space="preserve">条 </w:t>
      </w:r>
      <w:r>
        <w:rPr>
          <w:rFonts w:hint="eastAsia" w:ascii="Nimbus Roman" w:hAnsi="Nimbus Roman" w:eastAsia="CESI仿宋-GB2312" w:cs="CESI仿宋-GB2312"/>
          <w:b w:val="0"/>
          <w:bCs/>
          <w:color w:val="auto"/>
          <w:sz w:val="32"/>
          <w:szCs w:val="32"/>
          <w:highlight w:val="none"/>
          <w:shd w:val="clear" w:color="auto" w:fill="auto"/>
        </w:rPr>
        <w:t>公共信用综合评价指标体系，根据实际情况，及时进行动态调整和优化。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rPr>
      </w:pPr>
      <w:r>
        <w:rPr>
          <w:rFonts w:hint="eastAsia" w:ascii="Nimbus Roman" w:hAnsi="Nimbus Roman" w:eastAsia="CESI仿宋-GB2312" w:cs="CESI仿宋-GB2312"/>
          <w:b/>
          <w:bCs w:val="0"/>
          <w:color w:val="auto"/>
          <w:sz w:val="32"/>
          <w:szCs w:val="32"/>
          <w:highlight w:val="none"/>
          <w:shd w:val="clear" w:color="auto" w:fill="auto"/>
        </w:rPr>
        <w:t>第</w:t>
      </w:r>
      <w:r>
        <w:rPr>
          <w:rFonts w:hint="eastAsia" w:ascii="Nimbus Roman" w:hAnsi="Nimbus Roman" w:eastAsia="CESI仿宋-GB2312" w:cs="CESI仿宋-GB2312"/>
          <w:b/>
          <w:bCs w:val="0"/>
          <w:color w:val="auto"/>
          <w:sz w:val="32"/>
          <w:szCs w:val="32"/>
          <w:highlight w:val="none"/>
          <w:shd w:val="clear" w:color="auto" w:fill="auto"/>
          <w:lang w:val="en-US" w:eastAsia="zh-CN"/>
        </w:rPr>
        <w:t>十六</w:t>
      </w:r>
      <w:r>
        <w:rPr>
          <w:rFonts w:hint="eastAsia" w:ascii="Nimbus Roman" w:hAnsi="Nimbus Roman" w:eastAsia="CESI仿宋-GB2312" w:cs="CESI仿宋-GB2312"/>
          <w:b/>
          <w:bCs w:val="0"/>
          <w:color w:val="auto"/>
          <w:sz w:val="32"/>
          <w:szCs w:val="32"/>
          <w:highlight w:val="none"/>
          <w:shd w:val="clear" w:color="auto" w:fill="auto"/>
        </w:rPr>
        <w:t>条</w:t>
      </w:r>
      <w:r>
        <w:rPr>
          <w:rFonts w:hint="eastAsia" w:ascii="Nimbus Roman" w:hAnsi="Nimbus Roman" w:eastAsia="CESI仿宋-GB2312" w:cs="CESI仿宋-GB2312"/>
          <w:b w:val="0"/>
          <w:bCs/>
          <w:color w:val="auto"/>
          <w:sz w:val="32"/>
          <w:szCs w:val="32"/>
          <w:highlight w:val="none"/>
          <w:shd w:val="clear" w:color="auto" w:fill="auto"/>
          <w:lang w:val="en-US" w:eastAsia="zh-CN"/>
        </w:rPr>
        <w:t xml:space="preserve"> </w:t>
      </w:r>
      <w:r>
        <w:rPr>
          <w:rFonts w:hint="eastAsia" w:ascii="Nimbus Roman" w:hAnsi="Nimbus Roman" w:eastAsia="CESI仿宋-GB2312" w:cs="CESI仿宋-GB2312"/>
          <w:b w:val="0"/>
          <w:bCs/>
          <w:color w:val="auto"/>
          <w:sz w:val="32"/>
          <w:szCs w:val="32"/>
          <w:highlight w:val="none"/>
          <w:shd w:val="clear" w:color="auto" w:fill="auto"/>
        </w:rPr>
        <w:t>根据省委、省政府《差异化监管流程再造实施方案》和《山东省信用分类分级管理办法（试行）》规定，将企业划分为诚信守法、轻微失信、一般失信、严重失信四类。为统一分类标准和监管，全</w:t>
      </w:r>
      <w:r>
        <w:rPr>
          <w:rFonts w:hint="eastAsia" w:ascii="Nimbus Roman" w:hAnsi="Nimbus Roman" w:eastAsia="CESI仿宋-GB2312" w:cs="CESI仿宋-GB2312"/>
          <w:b w:val="0"/>
          <w:bCs/>
          <w:color w:val="auto"/>
          <w:sz w:val="32"/>
          <w:szCs w:val="32"/>
          <w:highlight w:val="none"/>
          <w:shd w:val="clear" w:color="auto" w:fill="auto"/>
          <w:lang w:val="en-US" w:eastAsia="zh-CN"/>
        </w:rPr>
        <w:t>区</w:t>
      </w:r>
      <w:r>
        <w:rPr>
          <w:rFonts w:hint="eastAsia" w:ascii="Nimbus Roman" w:hAnsi="Nimbus Roman" w:eastAsia="CESI仿宋-GB2312" w:cs="CESI仿宋-GB2312"/>
          <w:b w:val="0"/>
          <w:bCs/>
          <w:color w:val="auto"/>
          <w:sz w:val="32"/>
          <w:szCs w:val="32"/>
          <w:highlight w:val="none"/>
          <w:shd w:val="clear" w:color="auto" w:fill="auto"/>
        </w:rPr>
        <w:t>各类信用主体划分为诚信守法、轻微失信、一般失信、严重失信四类。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rPr>
      </w:pPr>
      <w:r>
        <w:rPr>
          <w:rFonts w:hint="eastAsia" w:ascii="Nimbus Roman" w:hAnsi="Nimbus Roman" w:eastAsia="CESI仿宋-GB2312" w:cs="CESI仿宋-GB2312"/>
          <w:b/>
          <w:bCs w:val="0"/>
          <w:color w:val="auto"/>
          <w:sz w:val="32"/>
          <w:szCs w:val="32"/>
          <w:highlight w:val="none"/>
          <w:shd w:val="clear" w:color="auto" w:fill="auto"/>
        </w:rPr>
        <w:t>第十</w:t>
      </w:r>
      <w:r>
        <w:rPr>
          <w:rFonts w:hint="eastAsia" w:ascii="Nimbus Roman" w:hAnsi="Nimbus Roman" w:eastAsia="CESI仿宋-GB2312" w:cs="CESI仿宋-GB2312"/>
          <w:b/>
          <w:bCs w:val="0"/>
          <w:color w:val="auto"/>
          <w:sz w:val="32"/>
          <w:szCs w:val="32"/>
          <w:highlight w:val="none"/>
          <w:shd w:val="clear" w:color="auto" w:fill="auto"/>
          <w:lang w:val="en-US" w:eastAsia="zh-CN"/>
        </w:rPr>
        <w:t>七</w:t>
      </w:r>
      <w:r>
        <w:rPr>
          <w:rFonts w:hint="eastAsia" w:ascii="Nimbus Roman" w:hAnsi="Nimbus Roman" w:eastAsia="CESI仿宋-GB2312" w:cs="CESI仿宋-GB2312"/>
          <w:b/>
          <w:bCs w:val="0"/>
          <w:color w:val="auto"/>
          <w:sz w:val="32"/>
          <w:szCs w:val="32"/>
          <w:highlight w:val="none"/>
          <w:shd w:val="clear" w:color="auto" w:fill="auto"/>
        </w:rPr>
        <w:t>条</w:t>
      </w:r>
      <w:r>
        <w:rPr>
          <w:rFonts w:hint="eastAsia" w:ascii="Nimbus Roman" w:hAnsi="Nimbus Roman" w:eastAsia="CESI仿宋-GB2312" w:cs="CESI仿宋-GB2312"/>
          <w:b w:val="0"/>
          <w:bCs/>
          <w:color w:val="auto"/>
          <w:sz w:val="32"/>
          <w:szCs w:val="32"/>
          <w:highlight w:val="none"/>
          <w:shd w:val="clear" w:color="auto" w:fill="auto"/>
          <w:lang w:val="en-US" w:eastAsia="zh-CN"/>
        </w:rPr>
        <w:t xml:space="preserve"> </w:t>
      </w:r>
      <w:r>
        <w:rPr>
          <w:rFonts w:hint="eastAsia" w:ascii="Nimbus Roman" w:hAnsi="Nimbus Roman" w:eastAsia="CESI仿宋-GB2312" w:cs="CESI仿宋-GB2312"/>
          <w:b w:val="0"/>
          <w:bCs/>
          <w:color w:val="auto"/>
          <w:sz w:val="32"/>
          <w:szCs w:val="32"/>
          <w:highlight w:val="none"/>
          <w:shd w:val="clear" w:color="auto" w:fill="auto"/>
        </w:rPr>
        <w:t>为准确反映市场主体信用风险等级，根据公共信用综合评价结果，进一步将市场主体信用评价由高到低，细分为AAA、AA、A（A+、A-）、B、C、D六个信用等级。A级为市场主体原始基准等级。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rPr>
      </w:pPr>
      <w:r>
        <w:rPr>
          <w:rFonts w:hint="eastAsia" w:ascii="Nimbus Roman" w:hAnsi="Nimbus Roman" w:eastAsia="CESI仿宋-GB2312" w:cs="CESI仿宋-GB2312"/>
          <w:b w:val="0"/>
          <w:bCs/>
          <w:color w:val="auto"/>
          <w:sz w:val="32"/>
          <w:szCs w:val="32"/>
          <w:highlight w:val="none"/>
          <w:shd w:val="clear" w:color="auto" w:fill="auto"/>
        </w:rPr>
        <w:t>诚信守法类市场主体包括AAA、AA、A（A+、A-）级；轻微失信类市场主体为B级；一般失信类市场主体为C级；严重失信类市场主体为D级。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rPr>
      </w:pPr>
      <w:r>
        <w:rPr>
          <w:rFonts w:hint="eastAsia" w:ascii="Nimbus Roman" w:hAnsi="Nimbus Roman" w:eastAsia="CESI仿宋-GB2312" w:cs="CESI仿宋-GB2312"/>
          <w:b w:val="0"/>
          <w:bCs/>
          <w:color w:val="auto"/>
          <w:sz w:val="32"/>
          <w:szCs w:val="32"/>
          <w:highlight w:val="none"/>
          <w:shd w:val="clear" w:color="auto" w:fill="auto"/>
        </w:rPr>
        <w:t>（一）AAA级，分值为1050分及以上；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rPr>
      </w:pPr>
      <w:r>
        <w:rPr>
          <w:rFonts w:hint="eastAsia" w:ascii="Nimbus Roman" w:hAnsi="Nimbus Roman" w:eastAsia="CESI仿宋-GB2312" w:cs="CESI仿宋-GB2312"/>
          <w:b w:val="0"/>
          <w:bCs/>
          <w:color w:val="auto"/>
          <w:sz w:val="32"/>
          <w:szCs w:val="32"/>
          <w:highlight w:val="none"/>
          <w:shd w:val="clear" w:color="auto" w:fill="auto"/>
        </w:rPr>
        <w:t>（二）AA级，分值为1030分至1049分；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rPr>
      </w:pPr>
      <w:r>
        <w:rPr>
          <w:rFonts w:hint="eastAsia" w:ascii="Nimbus Roman" w:hAnsi="Nimbus Roman" w:eastAsia="CESI仿宋-GB2312" w:cs="CESI仿宋-GB2312"/>
          <w:b w:val="0"/>
          <w:bCs/>
          <w:color w:val="auto"/>
          <w:sz w:val="32"/>
          <w:szCs w:val="32"/>
          <w:highlight w:val="none"/>
          <w:shd w:val="clear" w:color="auto" w:fill="auto"/>
        </w:rPr>
        <w:t>（三）A（A+、A-）级，“A+”级分值为1001分至1029分，A级分值为1000分，“A-”级分值为960分至999分；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rPr>
      </w:pPr>
      <w:r>
        <w:rPr>
          <w:rFonts w:hint="eastAsia" w:ascii="Nimbus Roman" w:hAnsi="Nimbus Roman" w:eastAsia="CESI仿宋-GB2312" w:cs="CESI仿宋-GB2312"/>
          <w:b w:val="0"/>
          <w:bCs/>
          <w:color w:val="auto"/>
          <w:sz w:val="32"/>
          <w:szCs w:val="32"/>
          <w:highlight w:val="none"/>
          <w:shd w:val="clear" w:color="auto" w:fill="auto"/>
        </w:rPr>
        <w:t>（四）B级，分值为850分至959分；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rPr>
      </w:pPr>
      <w:r>
        <w:rPr>
          <w:rFonts w:hint="eastAsia" w:ascii="Nimbus Roman" w:hAnsi="Nimbus Roman" w:eastAsia="CESI仿宋-GB2312" w:cs="CESI仿宋-GB2312"/>
          <w:b w:val="0"/>
          <w:bCs/>
          <w:color w:val="auto"/>
          <w:sz w:val="32"/>
          <w:szCs w:val="32"/>
          <w:highlight w:val="none"/>
          <w:shd w:val="clear" w:color="auto" w:fill="auto"/>
        </w:rPr>
        <w:t>（五）C级，分值为849分及以下且未被认定为严重失信主体名单、没有刑事处罚信息的；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rPr>
      </w:pPr>
      <w:r>
        <w:rPr>
          <w:rFonts w:hint="eastAsia" w:ascii="Nimbus Roman" w:hAnsi="Nimbus Roman" w:eastAsia="CESI仿宋-GB2312" w:cs="CESI仿宋-GB2312"/>
          <w:b w:val="0"/>
          <w:bCs/>
          <w:color w:val="auto"/>
          <w:sz w:val="32"/>
          <w:szCs w:val="32"/>
          <w:highlight w:val="none"/>
          <w:shd w:val="clear" w:color="auto" w:fill="auto"/>
        </w:rPr>
        <w:t>（六）D级，被认定为严重失信主体名单或有刑事处罚信息的。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rPr>
      </w:pPr>
      <w:r>
        <w:rPr>
          <w:rFonts w:hint="eastAsia" w:ascii="Nimbus Roman" w:hAnsi="Nimbus Roman" w:eastAsia="CESI仿宋-GB2312" w:cs="CESI仿宋-GB2312"/>
          <w:b/>
          <w:bCs w:val="0"/>
          <w:color w:val="auto"/>
          <w:sz w:val="32"/>
          <w:szCs w:val="32"/>
          <w:highlight w:val="none"/>
          <w:shd w:val="clear" w:color="auto" w:fill="auto"/>
          <w:lang w:val="en-US" w:eastAsia="zh-CN"/>
        </w:rPr>
        <w:t xml:space="preserve">第十八条 </w:t>
      </w:r>
      <w:r>
        <w:rPr>
          <w:rFonts w:hint="eastAsia" w:ascii="Nimbus Roman" w:hAnsi="Nimbus Roman" w:eastAsia="CESI仿宋-GB2312" w:cs="CESI仿宋-GB2312"/>
          <w:b w:val="0"/>
          <w:bCs/>
          <w:color w:val="auto"/>
          <w:sz w:val="32"/>
          <w:szCs w:val="32"/>
          <w:highlight w:val="none"/>
          <w:shd w:val="clear" w:color="auto" w:fill="auto"/>
        </w:rPr>
        <w:t>市场主体同一违法违规行为涉及到多个记分标准的，实行累加记分；但同一行政机关的同一行政行为，涉及到多个记分标准的，按最高记分标准记分。</w:t>
      </w:r>
    </w:p>
    <w:p>
      <w:pPr>
        <w:pStyle w:val="6"/>
        <w:keepNext w:val="0"/>
        <w:keepLines w:val="0"/>
        <w:pageBreakBefore w:val="0"/>
        <w:kinsoku/>
        <w:overflowPunct/>
        <w:topLinePunct w:val="0"/>
        <w:bidi w:val="0"/>
        <w:spacing w:before="0" w:beforeAutospacing="0" w:after="0" w:afterAutospacing="0" w:line="560" w:lineRule="exact"/>
        <w:ind w:firstLine="640" w:firstLineChars="200"/>
        <w:jc w:val="both"/>
        <w:textAlignment w:val="auto"/>
        <w:rPr>
          <w:rFonts w:hint="eastAsia" w:ascii="Nimbus Roman" w:hAnsi="Nimbus Roman" w:eastAsia="CESI仿宋-GB2312" w:cs="CESI仿宋-GB2312"/>
          <w:bCs/>
          <w:sz w:val="32"/>
          <w:szCs w:val="32"/>
        </w:rPr>
      </w:pPr>
    </w:p>
    <w:p>
      <w:pPr>
        <w:pStyle w:val="6"/>
        <w:keepNext w:val="0"/>
        <w:keepLines w:val="0"/>
        <w:pageBreakBefore w:val="0"/>
        <w:kinsoku/>
        <w:overflowPunct/>
        <w:topLinePunct w:val="0"/>
        <w:bidi w:val="0"/>
        <w:spacing w:before="0" w:beforeAutospacing="0" w:after="0" w:afterAutospacing="0" w:line="560" w:lineRule="exact"/>
        <w:jc w:val="center"/>
        <w:textAlignment w:val="auto"/>
        <w:rPr>
          <w:rStyle w:val="11"/>
          <w:rFonts w:hint="eastAsia" w:ascii="Nimbus Roman" w:hAnsi="Nimbus Roman" w:eastAsia="CESI黑体-GB18030" w:cs="CESI黑体-GB18030"/>
          <w:b w:val="0"/>
          <w:bCs/>
          <w:sz w:val="32"/>
          <w:szCs w:val="32"/>
        </w:rPr>
      </w:pPr>
      <w:r>
        <w:rPr>
          <w:rStyle w:val="11"/>
          <w:rFonts w:hint="eastAsia" w:ascii="Nimbus Roman" w:hAnsi="Nimbus Roman" w:eastAsia="CESI黑体-GB18030" w:cs="CESI黑体-GB18030"/>
          <w:b w:val="0"/>
          <w:bCs/>
          <w:sz w:val="32"/>
          <w:szCs w:val="32"/>
        </w:rPr>
        <w:t>第四章</w:t>
      </w:r>
      <w:r>
        <w:rPr>
          <w:rStyle w:val="11"/>
          <w:rFonts w:hint="eastAsia" w:ascii="Nimbus Roman" w:hAnsi="Nimbus Roman" w:eastAsia="CESI黑体-GB18030" w:cs="CESI黑体-GB18030"/>
          <w:b w:val="0"/>
          <w:bCs/>
          <w:sz w:val="32"/>
          <w:szCs w:val="32"/>
          <w:lang w:val="en-US" w:eastAsia="zh-CN"/>
        </w:rPr>
        <w:t xml:space="preserve">   </w:t>
      </w:r>
      <w:r>
        <w:rPr>
          <w:rStyle w:val="11"/>
          <w:rFonts w:hint="eastAsia" w:ascii="Nimbus Roman" w:hAnsi="Nimbus Roman" w:eastAsia="CESI黑体-GB18030" w:cs="CESI黑体-GB18030"/>
          <w:b w:val="0"/>
          <w:bCs/>
          <w:sz w:val="32"/>
          <w:szCs w:val="32"/>
        </w:rPr>
        <w:t>信用评价结果应用</w:t>
      </w:r>
    </w:p>
    <w:p>
      <w:pPr>
        <w:pStyle w:val="6"/>
        <w:keepNext w:val="0"/>
        <w:keepLines w:val="0"/>
        <w:pageBreakBefore w:val="0"/>
        <w:kinsoku/>
        <w:overflowPunct/>
        <w:topLinePunct w:val="0"/>
        <w:bidi w:val="0"/>
        <w:spacing w:before="0" w:beforeAutospacing="0" w:after="0" w:afterAutospacing="0" w:line="560" w:lineRule="exact"/>
        <w:jc w:val="center"/>
        <w:textAlignment w:val="auto"/>
        <w:rPr>
          <w:rStyle w:val="11"/>
          <w:rFonts w:hint="eastAsia" w:ascii="Nimbus Roman" w:hAnsi="Nimbus Roman"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lang w:val="en-US" w:eastAsia="zh-CN"/>
        </w:rPr>
      </w:pPr>
      <w:r>
        <w:rPr>
          <w:rFonts w:hint="eastAsia" w:ascii="Nimbus Roman" w:hAnsi="Nimbus Roman" w:eastAsia="CESI仿宋-GB2312" w:cs="CESI仿宋-GB2312"/>
          <w:b/>
          <w:bCs w:val="0"/>
          <w:color w:val="auto"/>
          <w:sz w:val="32"/>
          <w:szCs w:val="32"/>
          <w:highlight w:val="none"/>
          <w:shd w:val="clear" w:color="auto" w:fill="auto"/>
          <w:lang w:val="en-US" w:eastAsia="zh-CN"/>
        </w:rPr>
        <w:t xml:space="preserve">第十九条 </w:t>
      </w:r>
      <w:r>
        <w:rPr>
          <w:rFonts w:hint="eastAsia" w:ascii="Nimbus Roman" w:hAnsi="Nimbus Roman" w:eastAsia="CESI仿宋-GB2312" w:cs="CESI仿宋-GB2312"/>
          <w:b w:val="0"/>
          <w:bCs/>
          <w:color w:val="auto"/>
          <w:sz w:val="32"/>
          <w:szCs w:val="32"/>
          <w:highlight w:val="none"/>
          <w:shd w:val="clear" w:color="auto" w:fill="auto"/>
          <w:lang w:val="en-US" w:eastAsia="zh-CN"/>
        </w:rPr>
        <w:t>各级各部门要将信用评价结果运用到行政管理和社会治理工作中，作为实施差异化监管的依据。公共信用信息机构与各行业监管部门依托政务信息资源共享交换平台，要加强公共信用综合评价结果、行业信用评价结果共享共用。各级各部门要及时汇聚整合信用信息数据，归集信用信息平台数据库并按需共享，在信用监管等过程中加以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lang w:val="en-US" w:eastAsia="zh-CN"/>
        </w:rPr>
      </w:pPr>
      <w:r>
        <w:rPr>
          <w:rFonts w:hint="eastAsia" w:ascii="Nimbus Roman" w:hAnsi="Nimbus Roman" w:eastAsia="CESI仿宋-GB2312" w:cs="CESI仿宋-GB2312"/>
          <w:b/>
          <w:bCs w:val="0"/>
          <w:color w:val="auto"/>
          <w:sz w:val="32"/>
          <w:szCs w:val="32"/>
          <w:highlight w:val="none"/>
          <w:shd w:val="clear" w:color="auto" w:fill="auto"/>
          <w:lang w:val="en-US" w:eastAsia="zh-CN"/>
        </w:rPr>
        <w:t>第二十</w:t>
      </w:r>
      <w:r>
        <w:rPr>
          <w:rFonts w:hint="eastAsia" w:ascii="Nimbus Roman" w:hAnsi="Nimbus Roman" w:eastAsia="CESI仿宋-GB2312" w:cs="CESI仿宋-GB2312"/>
          <w:b w:val="0"/>
          <w:bCs/>
          <w:color w:val="auto"/>
          <w:sz w:val="32"/>
          <w:szCs w:val="32"/>
          <w:highlight w:val="none"/>
          <w:shd w:val="clear" w:color="auto" w:fill="auto"/>
          <w:lang w:val="en-US" w:eastAsia="zh-CN"/>
        </w:rPr>
        <w:t>条 对诚信守法类市场主体，实行“非请勿扰”诚信管理制度。在日常监管中，合理降低抽查比例和频次。在行政管理和公共服务中，实行绿色通道、容缺受理、简化程序等支持激励措施。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lang w:val="en-US" w:eastAsia="zh-CN"/>
        </w:rPr>
      </w:pPr>
      <w:r>
        <w:rPr>
          <w:rFonts w:hint="eastAsia" w:ascii="Nimbus Roman" w:hAnsi="Nimbus Roman" w:eastAsia="CESI仿宋-GB2312" w:cs="CESI仿宋-GB2312"/>
          <w:b/>
          <w:bCs w:val="0"/>
          <w:color w:val="auto"/>
          <w:sz w:val="32"/>
          <w:szCs w:val="32"/>
          <w:highlight w:val="none"/>
          <w:shd w:val="clear" w:color="auto" w:fill="auto"/>
          <w:lang w:val="en-US" w:eastAsia="zh-CN"/>
        </w:rPr>
        <w:t>第二十一</w:t>
      </w:r>
      <w:r>
        <w:rPr>
          <w:rFonts w:hint="eastAsia" w:ascii="Nimbus Roman" w:hAnsi="Nimbus Roman" w:eastAsia="CESI仿宋-GB2312" w:cs="CESI仿宋-GB2312"/>
          <w:b w:val="0"/>
          <w:bCs/>
          <w:color w:val="auto"/>
          <w:sz w:val="32"/>
          <w:szCs w:val="32"/>
          <w:highlight w:val="none"/>
          <w:shd w:val="clear" w:color="auto" w:fill="auto"/>
          <w:lang w:val="en-US" w:eastAsia="zh-CN"/>
        </w:rPr>
        <w:t>条 对轻微失信类信用主体，每年至多进行一次随机检查，采取包容审慎监管方式，建立轻微违法行为免罚、轻罚清单。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lang w:val="en-US" w:eastAsia="zh-CN"/>
        </w:rPr>
      </w:pPr>
      <w:r>
        <w:rPr>
          <w:rFonts w:hint="eastAsia" w:ascii="Nimbus Roman" w:hAnsi="Nimbus Roman" w:eastAsia="CESI仿宋-GB2312" w:cs="CESI仿宋-GB2312"/>
          <w:b/>
          <w:bCs w:val="0"/>
          <w:color w:val="auto"/>
          <w:sz w:val="32"/>
          <w:szCs w:val="32"/>
          <w:highlight w:val="none"/>
          <w:shd w:val="clear" w:color="auto" w:fill="auto"/>
          <w:lang w:val="en-US" w:eastAsia="zh-CN"/>
        </w:rPr>
        <w:t xml:space="preserve">第二十二条 </w:t>
      </w:r>
      <w:r>
        <w:rPr>
          <w:rFonts w:hint="eastAsia" w:ascii="Nimbus Roman" w:hAnsi="Nimbus Roman" w:eastAsia="CESI仿宋-GB2312" w:cs="CESI仿宋-GB2312"/>
          <w:b w:val="0"/>
          <w:bCs/>
          <w:color w:val="auto"/>
          <w:sz w:val="32"/>
          <w:szCs w:val="32"/>
          <w:highlight w:val="none"/>
          <w:shd w:val="clear" w:color="auto" w:fill="auto"/>
          <w:lang w:val="en-US" w:eastAsia="zh-CN"/>
        </w:rPr>
        <w:t>对一般失信类信用主体，每年除进行一次随机性联合检查外，不再安排其他检查。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lang w:val="en-US" w:eastAsia="zh-CN"/>
        </w:rPr>
      </w:pPr>
      <w:r>
        <w:rPr>
          <w:rFonts w:hint="eastAsia" w:ascii="Nimbus Roman" w:hAnsi="Nimbus Roman" w:eastAsia="CESI仿宋-GB2312" w:cs="CESI仿宋-GB2312"/>
          <w:b/>
          <w:bCs w:val="0"/>
          <w:color w:val="auto"/>
          <w:sz w:val="32"/>
          <w:szCs w:val="32"/>
          <w:highlight w:val="none"/>
          <w:shd w:val="clear" w:color="auto" w:fill="auto"/>
          <w:lang w:val="en-US" w:eastAsia="zh-CN"/>
        </w:rPr>
        <w:t>第二十三条</w:t>
      </w:r>
      <w:r>
        <w:rPr>
          <w:rFonts w:hint="eastAsia" w:ascii="Nimbus Roman" w:hAnsi="Nimbus Roman" w:eastAsia="CESI仿宋-GB2312" w:cs="CESI仿宋-GB2312"/>
          <w:b w:val="0"/>
          <w:bCs/>
          <w:color w:val="auto"/>
          <w:sz w:val="32"/>
          <w:szCs w:val="32"/>
          <w:highlight w:val="none"/>
          <w:shd w:val="clear" w:color="auto" w:fill="auto"/>
          <w:lang w:val="en-US" w:eastAsia="zh-CN"/>
        </w:rPr>
        <w:t xml:space="preserve"> 对严重失信类信用主体，在日常监管中列为重点监管对象，抽查比例不设上限，依法依规增加检查内容，加大抽查检查力度和频次。根据国家有关部委签署的联合惩戒备忘录规定，依法依规在行政管理和公共服务中，限制其享受简化程序等便利措施，限制其申请财政性资金项目、评优评先项目。</w:t>
      </w:r>
    </w:p>
    <w:p>
      <w:pPr>
        <w:pStyle w:val="6"/>
        <w:keepNext w:val="0"/>
        <w:keepLines w:val="0"/>
        <w:pageBreakBefore w:val="0"/>
        <w:kinsoku/>
        <w:overflowPunct/>
        <w:topLinePunct w:val="0"/>
        <w:bidi w:val="0"/>
        <w:spacing w:before="0" w:beforeAutospacing="0" w:after="0" w:afterAutospacing="0" w:line="560" w:lineRule="exact"/>
        <w:ind w:firstLine="640" w:firstLineChars="200"/>
        <w:jc w:val="both"/>
        <w:textAlignment w:val="auto"/>
        <w:rPr>
          <w:rFonts w:hint="eastAsia" w:ascii="Nimbus Roman" w:hAnsi="Nimbus Roman" w:eastAsia="CESI仿宋-GB2312" w:cs="CESI仿宋-GB2312"/>
          <w:bCs/>
          <w:sz w:val="32"/>
          <w:szCs w:val="32"/>
        </w:rPr>
      </w:pPr>
      <w:r>
        <w:rPr>
          <w:rFonts w:hint="eastAsia" w:ascii="Nimbus Roman" w:hAnsi="Nimbus Roman" w:eastAsia="CESI仿宋-GB2312" w:cs="CESI仿宋-GB2312"/>
          <w:b/>
          <w:bCs/>
          <w:sz w:val="32"/>
          <w:szCs w:val="32"/>
        </w:rPr>
        <w:t>第二十</w:t>
      </w:r>
      <w:r>
        <w:rPr>
          <w:rFonts w:hint="eastAsia" w:ascii="Nimbus Roman" w:hAnsi="Nimbus Roman" w:eastAsia="CESI仿宋-GB2312" w:cs="CESI仿宋-GB2312"/>
          <w:b/>
          <w:bCs/>
          <w:sz w:val="32"/>
          <w:szCs w:val="32"/>
          <w:lang w:val="en-US" w:eastAsia="zh-CN"/>
        </w:rPr>
        <w:t>四</w:t>
      </w:r>
      <w:r>
        <w:rPr>
          <w:rFonts w:hint="eastAsia" w:ascii="Nimbus Roman" w:hAnsi="Nimbus Roman" w:eastAsia="CESI仿宋-GB2312" w:cs="CESI仿宋-GB2312"/>
          <w:b/>
          <w:bCs/>
          <w:sz w:val="32"/>
          <w:szCs w:val="32"/>
        </w:rPr>
        <w:t xml:space="preserve">条 </w:t>
      </w:r>
      <w:r>
        <w:rPr>
          <w:rFonts w:hint="eastAsia" w:ascii="Nimbus Roman" w:hAnsi="Nimbus Roman" w:eastAsia="CESI仿宋-GB2312" w:cs="CESI仿宋-GB2312"/>
          <w:bCs/>
          <w:sz w:val="32"/>
          <w:szCs w:val="32"/>
        </w:rPr>
        <w:t>监管部门以企业公共信用评价结果为参考</w:t>
      </w:r>
      <w:r>
        <w:rPr>
          <w:rFonts w:hint="eastAsia" w:ascii="Nimbus Roman" w:hAnsi="Nimbus Roman" w:eastAsia="CESI仿宋-GB2312" w:cs="CESI仿宋-GB2312"/>
          <w:bCs/>
          <w:sz w:val="32"/>
          <w:szCs w:val="32"/>
          <w:lang w:eastAsia="zh-CN"/>
        </w:rPr>
        <w:t>，</w:t>
      </w:r>
      <w:r>
        <w:rPr>
          <w:rFonts w:hint="eastAsia" w:ascii="Nimbus Roman" w:hAnsi="Nimbus Roman" w:eastAsia="CESI仿宋-GB2312" w:cs="CESI仿宋-GB2312"/>
          <w:bCs/>
          <w:sz w:val="32"/>
          <w:szCs w:val="32"/>
        </w:rPr>
        <w:t>结合行业、市场信用评价对企业进行分类分级监管。</w:t>
      </w:r>
    </w:p>
    <w:p>
      <w:pPr>
        <w:pStyle w:val="6"/>
        <w:keepNext w:val="0"/>
        <w:keepLines w:val="0"/>
        <w:pageBreakBefore w:val="0"/>
        <w:kinsoku/>
        <w:overflowPunct/>
        <w:topLinePunct w:val="0"/>
        <w:bidi w:val="0"/>
        <w:spacing w:before="0" w:beforeAutospacing="0" w:after="0" w:afterAutospacing="0" w:line="560" w:lineRule="exact"/>
        <w:ind w:firstLine="640" w:firstLineChars="200"/>
        <w:jc w:val="both"/>
        <w:textAlignment w:val="auto"/>
        <w:rPr>
          <w:rFonts w:hint="eastAsia" w:ascii="Nimbus Roman" w:hAnsi="Nimbus Roman" w:eastAsia="CESI黑体-GB18030" w:cs="CESI黑体-GB18030"/>
          <w:bCs/>
          <w:sz w:val="32"/>
          <w:szCs w:val="32"/>
        </w:rPr>
      </w:pPr>
    </w:p>
    <w:p>
      <w:pPr>
        <w:keepNext w:val="0"/>
        <w:keepLines w:val="0"/>
        <w:pageBreakBefore w:val="0"/>
        <w:numPr>
          <w:ilvl w:val="0"/>
          <w:numId w:val="3"/>
        </w:numPr>
        <w:kinsoku/>
        <w:overflowPunct/>
        <w:topLinePunct w:val="0"/>
        <w:bidi w:val="0"/>
        <w:spacing w:line="560" w:lineRule="exact"/>
        <w:jc w:val="center"/>
        <w:textAlignment w:val="auto"/>
        <w:rPr>
          <w:rFonts w:hint="eastAsia" w:ascii="Nimbus Roman" w:hAnsi="Nimbus Roman" w:eastAsia="CESI黑体-GB18030" w:cs="CESI黑体-GB18030"/>
          <w:sz w:val="32"/>
          <w:szCs w:val="32"/>
        </w:rPr>
      </w:pPr>
      <w:r>
        <w:rPr>
          <w:rFonts w:hint="eastAsia" w:ascii="Nimbus Roman" w:hAnsi="Nimbus Roman" w:eastAsia="CESI黑体-GB18030" w:cs="CESI黑体-GB18030"/>
          <w:sz w:val="32"/>
          <w:szCs w:val="32"/>
        </w:rPr>
        <w:t>市场主体权益保护</w:t>
      </w:r>
    </w:p>
    <w:p>
      <w:pPr>
        <w:pStyle w:val="13"/>
        <w:keepNext w:val="0"/>
        <w:keepLines w:val="0"/>
        <w:pageBreakBefore w:val="0"/>
        <w:numPr>
          <w:ilvl w:val="0"/>
          <w:numId w:val="0"/>
        </w:numPr>
        <w:kinsoku/>
        <w:overflowPunct/>
        <w:topLinePunct w:val="0"/>
        <w:bidi w:val="0"/>
        <w:spacing w:line="560" w:lineRule="exact"/>
        <w:textAlignment w:val="auto"/>
        <w:rPr>
          <w:rFonts w:ascii="Nimbus Roman" w:hAnsi="Nimbus Roma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lang w:val="en-US" w:eastAsia="zh-CN"/>
        </w:rPr>
      </w:pPr>
      <w:r>
        <w:rPr>
          <w:rFonts w:hint="eastAsia" w:ascii="Nimbus Roman" w:hAnsi="Nimbus Roman" w:eastAsia="CESI仿宋-GB2312" w:cs="CESI仿宋-GB2312"/>
          <w:b/>
          <w:bCs w:val="0"/>
          <w:color w:val="auto"/>
          <w:sz w:val="32"/>
          <w:szCs w:val="32"/>
          <w:highlight w:val="none"/>
          <w:shd w:val="clear" w:color="auto" w:fill="auto"/>
          <w:lang w:val="en-US" w:eastAsia="zh-CN"/>
        </w:rPr>
        <w:t>第二十五条</w:t>
      </w:r>
      <w:r>
        <w:rPr>
          <w:rFonts w:hint="eastAsia" w:ascii="Nimbus Roman" w:hAnsi="Nimbus Roman" w:eastAsia="CESI仿宋-GB2312" w:cs="CESI仿宋-GB2312"/>
          <w:b w:val="0"/>
          <w:bCs/>
          <w:color w:val="auto"/>
          <w:sz w:val="32"/>
          <w:szCs w:val="32"/>
          <w:highlight w:val="none"/>
          <w:shd w:val="clear" w:color="auto" w:fill="auto"/>
          <w:lang w:val="en-US" w:eastAsia="zh-CN"/>
        </w:rPr>
        <w:t xml:space="preserve"> 公共信用信息机构和相关部门要加强市场主体信用信息安全防护，建立健全安全管理、查询使用、应急处理等制度，健全市场主体信用评价、信用分级分类活动全流程管理体系，完善侵权责任追究机制，对篡改市场主体信用分级分类结果或者利用信用分级分类结果谋私等行为，依法进行处罚，切实保护市场主体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lang w:val="en-US" w:eastAsia="zh-CN"/>
        </w:rPr>
      </w:pPr>
      <w:r>
        <w:rPr>
          <w:rFonts w:hint="eastAsia" w:ascii="Nimbus Roman" w:hAnsi="Nimbus Roman" w:eastAsia="CESI仿宋-GB2312" w:cs="CESI仿宋-GB2312"/>
          <w:b/>
          <w:bCs w:val="0"/>
          <w:color w:val="auto"/>
          <w:sz w:val="32"/>
          <w:szCs w:val="32"/>
          <w:highlight w:val="none"/>
          <w:shd w:val="clear" w:color="auto" w:fill="auto"/>
          <w:lang w:val="en-US" w:eastAsia="zh-CN"/>
        </w:rPr>
        <w:t>第二十六条</w:t>
      </w:r>
      <w:r>
        <w:rPr>
          <w:rFonts w:hint="eastAsia" w:ascii="Nimbus Roman" w:hAnsi="Nimbus Roman" w:eastAsia="CESI仿宋-GB2312" w:cs="CESI仿宋-GB2312"/>
          <w:b w:val="0"/>
          <w:bCs/>
          <w:color w:val="auto"/>
          <w:sz w:val="32"/>
          <w:szCs w:val="32"/>
          <w:highlight w:val="none"/>
          <w:shd w:val="clear" w:color="auto" w:fill="auto"/>
          <w:lang w:val="en-US" w:eastAsia="zh-CN"/>
        </w:rPr>
        <w:t xml:space="preserve"> 有关部门应当依法全面、及时、准确地归集影响信用分级分类的相关信息。因信息归集原因造成分类结果不准确，且产生不良影响的，由信息归集单位承担相应的责任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lang w:val="en-US" w:eastAsia="zh-CN"/>
        </w:rPr>
      </w:pPr>
      <w:r>
        <w:rPr>
          <w:rFonts w:hint="eastAsia" w:ascii="Nimbus Roman" w:hAnsi="Nimbus Roman" w:eastAsia="CESI仿宋-GB2312" w:cs="CESI仿宋-GB2312"/>
          <w:b/>
          <w:bCs w:val="0"/>
          <w:color w:val="auto"/>
          <w:sz w:val="32"/>
          <w:szCs w:val="32"/>
          <w:highlight w:val="none"/>
          <w:shd w:val="clear" w:color="auto" w:fill="auto"/>
          <w:lang w:val="en-US" w:eastAsia="zh-CN"/>
        </w:rPr>
        <w:t>第二十七条</w:t>
      </w:r>
      <w:r>
        <w:rPr>
          <w:rFonts w:hint="eastAsia" w:ascii="Nimbus Roman" w:hAnsi="Nimbus Roman" w:eastAsia="CESI仿宋-GB2312" w:cs="CESI仿宋-GB2312"/>
          <w:b w:val="0"/>
          <w:bCs/>
          <w:color w:val="auto"/>
          <w:sz w:val="32"/>
          <w:szCs w:val="32"/>
          <w:highlight w:val="none"/>
          <w:shd w:val="clear" w:color="auto" w:fill="auto"/>
          <w:lang w:val="en-US" w:eastAsia="zh-CN"/>
        </w:rPr>
        <w:t xml:space="preserve"> 建立异议处理机制，市场主体对有关信用评价结果存在异议的，可以向区公共信用信息领导机构、行业主管部门提出异议申请，有关单位收到异议申请后，属于本单位处理范围的，应当自收到异议申请之日起3个工作日内进行审核并处理，并将处理结果通知异议申请人；需要其他单位协助核查信息的，应当自收到异议申请之日起7个工作日内进行核查并处理，并将处理结果通知异议申请人；对于核查确实有误的，应当在2个工作日内予以更正或者删除。对由于数据更新不及时、不齐全等原因造成评价结果不准确的，公共信用信息机构、行业监管部门、行业主管部门要及时补充完善数据，重新作出评价和分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lang w:val="en-US" w:eastAsia="zh-CN"/>
        </w:rPr>
      </w:pPr>
      <w:r>
        <w:rPr>
          <w:rFonts w:hint="eastAsia" w:ascii="Nimbus Roman" w:hAnsi="Nimbus Roman" w:eastAsia="CESI仿宋-GB2312" w:cs="CESI仿宋-GB2312"/>
          <w:b/>
          <w:bCs w:val="0"/>
          <w:color w:val="auto"/>
          <w:sz w:val="32"/>
          <w:szCs w:val="32"/>
          <w:highlight w:val="none"/>
          <w:shd w:val="clear" w:color="auto" w:fill="auto"/>
          <w:lang w:val="en-US" w:eastAsia="zh-CN"/>
        </w:rPr>
        <w:t>第二十八条</w:t>
      </w:r>
      <w:r>
        <w:rPr>
          <w:rFonts w:hint="eastAsia" w:ascii="Nimbus Roman" w:hAnsi="Nimbus Roman" w:eastAsia="CESI仿宋-GB2312" w:cs="CESI仿宋-GB2312"/>
          <w:b w:val="0"/>
          <w:bCs/>
          <w:color w:val="auto"/>
          <w:sz w:val="32"/>
          <w:szCs w:val="32"/>
          <w:highlight w:val="none"/>
          <w:shd w:val="clear" w:color="auto" w:fill="auto"/>
          <w:lang w:val="en-US" w:eastAsia="zh-CN"/>
        </w:rPr>
        <w:t xml:space="preserve"> 完善信用修复制度，市场主体在纠正失信行为、消除不良影响后，均可按要求进行信用修复。信用修复结果及时共享至公共信用信息平台。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lang w:val="en-US" w:eastAsia="zh-CN"/>
        </w:rPr>
      </w:pPr>
      <w:r>
        <w:rPr>
          <w:rFonts w:hint="eastAsia" w:ascii="Nimbus Roman" w:hAnsi="Nimbus Roman" w:eastAsia="CESI仿宋-GB2312" w:cs="CESI仿宋-GB2312"/>
          <w:b/>
          <w:bCs w:val="0"/>
          <w:color w:val="auto"/>
          <w:sz w:val="32"/>
          <w:szCs w:val="32"/>
          <w:highlight w:val="none"/>
          <w:shd w:val="clear" w:color="auto" w:fill="auto"/>
          <w:lang w:val="en-US" w:eastAsia="zh-CN"/>
        </w:rPr>
        <w:t xml:space="preserve">第二十九条 </w:t>
      </w:r>
      <w:r>
        <w:rPr>
          <w:rFonts w:hint="eastAsia" w:ascii="Nimbus Roman" w:hAnsi="Nimbus Roman" w:eastAsia="CESI仿宋-GB2312" w:cs="CESI仿宋-GB2312"/>
          <w:b w:val="0"/>
          <w:bCs/>
          <w:color w:val="auto"/>
          <w:sz w:val="32"/>
          <w:szCs w:val="32"/>
          <w:highlight w:val="none"/>
          <w:shd w:val="clear" w:color="auto" w:fill="auto"/>
          <w:lang w:val="en-US" w:eastAsia="zh-CN"/>
        </w:rPr>
        <w:t>公共信用信息机构和行业主管部门评定的市场主体信用等级、风险等级、监管分类等结果，可以公示的，应当通过公示系统公示。行政行为被撤销或被确认违法的，该信息不作为信用信息进行归集。行政行为发生变更或被部分撤销的，以变更或部分撤销的信息作为信用信息进行归集。</w:t>
      </w:r>
    </w:p>
    <w:p>
      <w:pPr>
        <w:pStyle w:val="2"/>
        <w:keepNext w:val="0"/>
        <w:keepLines w:val="0"/>
        <w:pageBreakBefore w:val="0"/>
        <w:kinsoku/>
        <w:overflowPunct/>
        <w:topLinePunct w:val="0"/>
        <w:bidi w:val="0"/>
        <w:spacing w:line="560" w:lineRule="exact"/>
        <w:textAlignment w:val="auto"/>
        <w:rPr>
          <w:rFonts w:hint="eastAsia" w:ascii="Nimbus Roman" w:hAnsi="Nimbus Roman"/>
          <w:lang w:val="en-US" w:eastAsia="zh-CN"/>
        </w:rPr>
      </w:pPr>
    </w:p>
    <w:p>
      <w:pPr>
        <w:keepNext w:val="0"/>
        <w:keepLines w:val="0"/>
        <w:pageBreakBefore w:val="0"/>
        <w:kinsoku/>
        <w:overflowPunct/>
        <w:topLinePunct w:val="0"/>
        <w:bidi w:val="0"/>
        <w:spacing w:line="560" w:lineRule="exact"/>
        <w:jc w:val="center"/>
        <w:textAlignment w:val="auto"/>
        <w:rPr>
          <w:rFonts w:hint="eastAsia" w:ascii="Nimbus Roman" w:hAnsi="Nimbus Roman" w:eastAsia="CESI黑体-GB18030" w:cs="CESI黑体-GB18030"/>
          <w:sz w:val="32"/>
          <w:szCs w:val="32"/>
        </w:rPr>
      </w:pPr>
      <w:r>
        <w:rPr>
          <w:rFonts w:hint="eastAsia" w:ascii="Nimbus Roman" w:hAnsi="Nimbus Roman" w:eastAsia="CESI黑体-GB18030" w:cs="CESI黑体-GB18030"/>
          <w:sz w:val="32"/>
          <w:szCs w:val="32"/>
        </w:rPr>
        <w:t>第六章 组织保障</w:t>
      </w:r>
    </w:p>
    <w:p>
      <w:pPr>
        <w:pStyle w:val="2"/>
        <w:keepNext w:val="0"/>
        <w:keepLines w:val="0"/>
        <w:pageBreakBefore w:val="0"/>
        <w:kinsoku/>
        <w:overflowPunct/>
        <w:topLinePunct w:val="0"/>
        <w:bidi w:val="0"/>
        <w:spacing w:line="560" w:lineRule="exact"/>
        <w:textAlignment w:val="auto"/>
        <w:rPr>
          <w:rFonts w:hint="eastAsia" w:ascii="Nimbus Roman" w:hAnsi="Nimbus Roman" w:eastAsia="CESI仿宋-GB2312" w:cs="CESI仿宋-GB231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lang w:val="en-US" w:eastAsia="zh-CN"/>
        </w:rPr>
      </w:pPr>
      <w:r>
        <w:rPr>
          <w:rFonts w:hint="eastAsia" w:ascii="Nimbus Roman" w:hAnsi="Nimbus Roman" w:eastAsia="CESI仿宋-GB2312" w:cs="CESI仿宋-GB2312"/>
          <w:b/>
          <w:bCs w:val="0"/>
          <w:color w:val="auto"/>
          <w:sz w:val="32"/>
          <w:szCs w:val="32"/>
          <w:highlight w:val="none"/>
          <w:shd w:val="clear" w:color="auto" w:fill="auto"/>
          <w:lang w:val="en-US" w:eastAsia="zh-CN"/>
        </w:rPr>
        <w:t>第三十条</w:t>
      </w:r>
      <w:r>
        <w:rPr>
          <w:rFonts w:hint="eastAsia" w:ascii="Nimbus Roman" w:hAnsi="Nimbus Roman" w:eastAsia="CESI仿宋-GB2312" w:cs="CESI仿宋-GB2312"/>
          <w:b w:val="0"/>
          <w:bCs/>
          <w:color w:val="auto"/>
          <w:sz w:val="32"/>
          <w:szCs w:val="32"/>
          <w:highlight w:val="none"/>
          <w:shd w:val="clear" w:color="auto" w:fill="auto"/>
          <w:lang w:val="en-US" w:eastAsia="zh-CN"/>
        </w:rPr>
        <w:t xml:space="preserve"> 各级各部门要认真贯彻落实国家和省、市的工作部署，高度重视信用分级分类工作，强化制度设计，细化责任分工和具体措施，推动信用分级分类工作顺利实施。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lang w:val="en-US" w:eastAsia="zh-CN"/>
        </w:rPr>
      </w:pPr>
      <w:r>
        <w:rPr>
          <w:rFonts w:hint="eastAsia" w:ascii="Nimbus Roman" w:hAnsi="Nimbus Roman" w:eastAsia="CESI仿宋-GB2312" w:cs="CESI仿宋-GB2312"/>
          <w:b/>
          <w:bCs w:val="0"/>
          <w:color w:val="auto"/>
          <w:sz w:val="32"/>
          <w:szCs w:val="32"/>
          <w:highlight w:val="none"/>
          <w:shd w:val="clear" w:color="auto" w:fill="auto"/>
          <w:lang w:val="en-US" w:eastAsia="zh-CN"/>
        </w:rPr>
        <w:t>第三十一条</w:t>
      </w:r>
      <w:r>
        <w:rPr>
          <w:rFonts w:hint="eastAsia" w:ascii="Nimbus Roman" w:hAnsi="Nimbus Roman" w:eastAsia="CESI仿宋-GB2312" w:cs="CESI仿宋-GB2312"/>
          <w:b w:val="0"/>
          <w:bCs/>
          <w:color w:val="auto"/>
          <w:sz w:val="32"/>
          <w:szCs w:val="32"/>
          <w:highlight w:val="none"/>
          <w:shd w:val="clear" w:color="auto" w:fill="auto"/>
          <w:lang w:val="en-US" w:eastAsia="zh-CN"/>
        </w:rPr>
        <w:t xml:space="preserve"> 建立部门间工作协商机制和联络员制度，公共信用信息机构会同有关部门负责加强组织协调，及时调度信用分级分类工作进展情况，发现问题及时协调解决。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lang w:val="en-US" w:eastAsia="zh-CN"/>
        </w:rPr>
      </w:pPr>
      <w:r>
        <w:rPr>
          <w:rFonts w:hint="eastAsia" w:ascii="Nimbus Roman" w:hAnsi="Nimbus Roman" w:eastAsia="CESI仿宋-GB2312" w:cs="CESI仿宋-GB2312"/>
          <w:b/>
          <w:bCs w:val="0"/>
          <w:color w:val="auto"/>
          <w:sz w:val="32"/>
          <w:szCs w:val="32"/>
          <w:highlight w:val="none"/>
          <w:shd w:val="clear" w:color="auto" w:fill="auto"/>
          <w:lang w:val="en-US" w:eastAsia="zh-CN"/>
        </w:rPr>
        <w:t>第三十二条</w:t>
      </w:r>
      <w:r>
        <w:rPr>
          <w:rFonts w:hint="eastAsia" w:ascii="Nimbus Roman" w:hAnsi="Nimbus Roman" w:eastAsia="CESI仿宋-GB2312" w:cs="CESI仿宋-GB2312"/>
          <w:b w:val="0"/>
          <w:bCs/>
          <w:color w:val="auto"/>
          <w:sz w:val="32"/>
          <w:szCs w:val="32"/>
          <w:highlight w:val="none"/>
          <w:shd w:val="clear" w:color="auto" w:fill="auto"/>
          <w:lang w:val="en-US" w:eastAsia="zh-CN"/>
        </w:rPr>
        <w:t xml:space="preserve"> 各级各部门要加强信用信息归集共享力度，准确、完整记录市场主体在经济运行过程中产生的信用信息，确保评价分类科学合理。</w:t>
      </w:r>
    </w:p>
    <w:p>
      <w:pPr>
        <w:pStyle w:val="13"/>
        <w:keepNext w:val="0"/>
        <w:keepLines w:val="0"/>
        <w:pageBreakBefore w:val="0"/>
        <w:kinsoku/>
        <w:overflowPunct/>
        <w:topLinePunct w:val="0"/>
        <w:bidi w:val="0"/>
        <w:spacing w:line="560" w:lineRule="exact"/>
        <w:textAlignment w:val="auto"/>
        <w:rPr>
          <w:rFonts w:hint="eastAsia" w:ascii="Nimbus Roman" w:hAnsi="Nimbus Roman"/>
          <w:lang w:val="en-US" w:eastAsia="zh-CN"/>
        </w:rPr>
      </w:pPr>
    </w:p>
    <w:p>
      <w:pPr>
        <w:keepNext w:val="0"/>
        <w:keepLines w:val="0"/>
        <w:pageBreakBefore w:val="0"/>
        <w:kinsoku/>
        <w:overflowPunct/>
        <w:topLinePunct w:val="0"/>
        <w:bidi w:val="0"/>
        <w:spacing w:line="560" w:lineRule="exact"/>
        <w:jc w:val="center"/>
        <w:textAlignment w:val="auto"/>
        <w:rPr>
          <w:rFonts w:hint="eastAsia" w:ascii="Nimbus Roman" w:hAnsi="Nimbus Roman" w:eastAsia="CESI黑体-GB18030" w:cs="CESI黑体-GB18030"/>
          <w:sz w:val="32"/>
          <w:szCs w:val="32"/>
        </w:rPr>
      </w:pPr>
      <w:r>
        <w:rPr>
          <w:rFonts w:hint="eastAsia" w:ascii="Nimbus Roman" w:hAnsi="Nimbus Roman" w:eastAsia="CESI黑体-GB18030" w:cs="CESI黑体-GB18030"/>
          <w:sz w:val="32"/>
          <w:szCs w:val="32"/>
        </w:rPr>
        <w:t>第七章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仿宋_GB2312" w:cs="Times New Roman"/>
          <w:b w:val="0"/>
          <w:bCs/>
          <w:color w:val="auto"/>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lang w:val="en-US" w:eastAsia="zh-CN"/>
        </w:rPr>
      </w:pPr>
      <w:r>
        <w:rPr>
          <w:rFonts w:hint="eastAsia" w:ascii="Nimbus Roman" w:hAnsi="Nimbus Roman" w:eastAsia="CESI仿宋-GB2312" w:cs="CESI仿宋-GB2312"/>
          <w:b/>
          <w:bCs w:val="0"/>
          <w:color w:val="auto"/>
          <w:sz w:val="32"/>
          <w:szCs w:val="32"/>
          <w:highlight w:val="none"/>
          <w:shd w:val="clear" w:color="auto" w:fill="auto"/>
          <w:lang w:val="en-US" w:eastAsia="zh-CN"/>
        </w:rPr>
        <w:t>第三十三条</w:t>
      </w:r>
      <w:r>
        <w:rPr>
          <w:rFonts w:hint="eastAsia" w:ascii="Nimbus Roman" w:hAnsi="Nimbus Roman" w:eastAsia="CESI仿宋-GB2312" w:cs="CESI仿宋-GB2312"/>
          <w:b w:val="0"/>
          <w:bCs/>
          <w:color w:val="auto"/>
          <w:sz w:val="32"/>
          <w:szCs w:val="32"/>
          <w:highlight w:val="none"/>
          <w:shd w:val="clear" w:color="auto" w:fill="auto"/>
          <w:lang w:val="en-US" w:eastAsia="zh-CN"/>
        </w:rPr>
        <w:t xml:space="preserve">  本办法由张店区发展和改革局负责解释。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lang w:val="en-US" w:eastAsia="zh-CN"/>
        </w:rPr>
      </w:pPr>
      <w:r>
        <w:rPr>
          <w:rFonts w:hint="eastAsia" w:ascii="Nimbus Roman" w:hAnsi="Nimbus Roman" w:eastAsia="CESI仿宋-GB2312" w:cs="CESI仿宋-GB2312"/>
          <w:b/>
          <w:bCs w:val="0"/>
          <w:color w:val="auto"/>
          <w:sz w:val="32"/>
          <w:szCs w:val="32"/>
          <w:highlight w:val="none"/>
          <w:shd w:val="clear" w:color="auto" w:fill="auto"/>
          <w:lang w:val="en-US" w:eastAsia="zh-CN"/>
        </w:rPr>
        <w:t>第三十四条</w:t>
      </w:r>
      <w:r>
        <w:rPr>
          <w:rFonts w:hint="eastAsia" w:ascii="Nimbus Roman" w:hAnsi="Nimbus Roman" w:eastAsia="CESI仿宋-GB2312" w:cs="CESI仿宋-GB2312"/>
          <w:b w:val="0"/>
          <w:bCs/>
          <w:color w:val="auto"/>
          <w:sz w:val="32"/>
          <w:szCs w:val="32"/>
          <w:highlight w:val="none"/>
          <w:shd w:val="clear" w:color="auto" w:fill="auto"/>
          <w:lang w:val="en-US" w:eastAsia="zh-CN"/>
        </w:rPr>
        <w:t xml:space="preserve">  本办法自2022年2月1日起试行，有效期至2024年2月1日。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w:hAnsi="Nimbus Roman" w:eastAsia="CESI仿宋-GB2312" w:cs="CESI仿宋-GB2312"/>
          <w:b w:val="0"/>
          <w:bCs/>
          <w:color w:val="auto"/>
          <w:sz w:val="32"/>
          <w:szCs w:val="32"/>
          <w:highlight w:val="none"/>
          <w:shd w:val="clear" w:color="auto" w:fill="auto"/>
          <w:lang w:val="en-US" w:eastAsia="zh-CN"/>
        </w:rPr>
      </w:pPr>
      <w:r>
        <w:rPr>
          <w:rFonts w:hint="eastAsia" w:ascii="Nimbus Roman" w:hAnsi="Nimbus Roman" w:eastAsia="CESI仿宋-GB2312" w:cs="CESI仿宋-GB2312"/>
          <w:b w:val="0"/>
          <w:bCs/>
          <w:color w:val="auto"/>
          <w:sz w:val="32"/>
          <w:szCs w:val="32"/>
          <w:highlight w:val="none"/>
          <w:shd w:val="clear" w:color="auto" w:fill="auto"/>
          <w:lang w:val="en-US" w:eastAsia="zh-CN"/>
        </w:rPr>
        <w:t>附件： 张店区市场主体公共信用综合评价指标体系</w:t>
      </w:r>
    </w:p>
    <w:p>
      <w:pPr>
        <w:keepNext w:val="0"/>
        <w:keepLines w:val="0"/>
        <w:pageBreakBefore w:val="0"/>
        <w:kinsoku/>
        <w:overflowPunct/>
        <w:topLinePunct w:val="0"/>
        <w:bidi w:val="0"/>
        <w:spacing w:line="560" w:lineRule="exact"/>
        <w:textAlignment w:val="auto"/>
        <w:rPr>
          <w:rFonts w:hint="eastAsia" w:ascii="Nimbus Roman" w:hAnsi="Nimbus Roman" w:eastAsia="CESI仿宋-GB2312" w:cs="CESI仿宋-GB2312"/>
          <w:sz w:val="24"/>
          <w:szCs w:val="24"/>
        </w:rPr>
      </w:pPr>
      <w:r>
        <w:rPr>
          <w:rFonts w:hint="eastAsia" w:ascii="Nimbus Roman" w:hAnsi="Nimbus Roman" w:eastAsia="CESI仿宋-GB2312" w:cs="CESI仿宋-GB2312"/>
          <w:sz w:val="32"/>
          <w:szCs w:val="32"/>
        </w:rPr>
        <w:t xml:space="preserve">    </w:t>
      </w:r>
    </w:p>
    <w:p>
      <w:pPr>
        <w:pStyle w:val="2"/>
        <w:ind w:left="0" w:leftChars="0" w:firstLine="0" w:firstLineChars="0"/>
        <w:rPr>
          <w:rFonts w:hint="eastAsia" w:ascii="Nimbus Roman" w:hAnsi="Nimbus Roman" w:eastAsia="CESI仿宋-GB2312" w:cs="CESI仿宋-GB2312"/>
        </w:rPr>
      </w:pPr>
    </w:p>
    <w:p>
      <w:pPr>
        <w:keepNext w:val="0"/>
        <w:keepLines w:val="0"/>
        <w:pageBreakBefore w:val="0"/>
        <w:kinsoku/>
        <w:overflowPunct/>
        <w:topLinePunct w:val="0"/>
        <w:bidi w:val="0"/>
        <w:spacing w:line="560" w:lineRule="exact"/>
        <w:textAlignment w:val="auto"/>
        <w:rPr>
          <w:rFonts w:hint="eastAsia" w:ascii="Nimbus Roman" w:hAnsi="Nimbus Roman" w:eastAsia="黑体" w:cs="黑体"/>
          <w:sz w:val="32"/>
          <w:szCs w:val="32"/>
        </w:rPr>
      </w:pPr>
      <w:r>
        <w:rPr>
          <w:rFonts w:hint="eastAsia" w:ascii="Nimbus Roman" w:hAnsi="Nimbus Roman" w:eastAsia="黑体" w:cs="黑体"/>
          <w:sz w:val="32"/>
          <w:szCs w:val="32"/>
        </w:rPr>
        <w:t>附件</w:t>
      </w:r>
    </w:p>
    <w:p>
      <w:pPr>
        <w:keepNext w:val="0"/>
        <w:keepLines w:val="0"/>
        <w:pageBreakBefore w:val="0"/>
        <w:kinsoku/>
        <w:overflowPunct/>
        <w:topLinePunct w:val="0"/>
        <w:bidi w:val="0"/>
        <w:spacing w:line="560" w:lineRule="exact"/>
        <w:jc w:val="center"/>
        <w:textAlignment w:val="auto"/>
        <w:rPr>
          <w:rFonts w:ascii="Nimbus Roman" w:hAnsi="Nimbus Roman" w:eastAsia="方正小标宋简体"/>
          <w:color w:val="000000"/>
          <w:spacing w:val="-20"/>
          <w:sz w:val="44"/>
          <w:szCs w:val="44"/>
        </w:rPr>
      </w:pPr>
      <w:r>
        <w:rPr>
          <w:rFonts w:hint="eastAsia" w:ascii="Nimbus Roman" w:hAnsi="Nimbus Roman" w:eastAsia="方正小标宋简体"/>
          <w:color w:val="000000"/>
          <w:spacing w:val="-20"/>
          <w:sz w:val="44"/>
          <w:szCs w:val="44"/>
          <w:lang w:val="en-US" w:eastAsia="zh-CN"/>
        </w:rPr>
        <w:t>张店区市场主体</w:t>
      </w:r>
      <w:r>
        <w:rPr>
          <w:rFonts w:hint="eastAsia" w:ascii="Nimbus Roman" w:hAnsi="Nimbus Roman" w:eastAsia="方正小标宋简体"/>
          <w:color w:val="000000"/>
          <w:spacing w:val="-20"/>
          <w:sz w:val="44"/>
          <w:szCs w:val="44"/>
        </w:rPr>
        <w:t>公共信用综合评价指标体系</w:t>
      </w:r>
    </w:p>
    <w:tbl>
      <w:tblPr>
        <w:tblStyle w:val="7"/>
        <w:tblW w:w="10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65"/>
        <w:gridCol w:w="1417"/>
        <w:gridCol w:w="5954"/>
        <w:gridCol w:w="911"/>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评价</w:t>
            </w:r>
          </w:p>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类别</w:t>
            </w:r>
          </w:p>
        </w:tc>
        <w:tc>
          <w:tcPr>
            <w:tcW w:w="1417"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信息项</w:t>
            </w: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评价标准</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加减分</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765" w:type="dxa"/>
            <w:vMerge w:val="restart"/>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诚信信息</w:t>
            </w:r>
          </w:p>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restart"/>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企业捐款捐物信息</w:t>
            </w:r>
          </w:p>
        </w:tc>
        <w:tc>
          <w:tcPr>
            <w:tcW w:w="5954"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现金捐款1000-10000元的，每1000元加1分；</w:t>
            </w:r>
          </w:p>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捐物2000-20000元的，每2000元加1分</w:t>
            </w:r>
          </w:p>
        </w:tc>
        <w:tc>
          <w:tcPr>
            <w:tcW w:w="911"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+10</w:t>
            </w:r>
          </w:p>
        </w:tc>
        <w:tc>
          <w:tcPr>
            <w:tcW w:w="989" w:type="dxa"/>
            <w:vMerge w:val="restart"/>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捐款捐物每年最多加40分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765" w:type="dxa"/>
            <w:vMerge w:val="continue"/>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现金捐款10001-50000元的，每4000元加1分；</w:t>
            </w:r>
          </w:p>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捐物20001-100000元的，每8000元加1分</w:t>
            </w:r>
          </w:p>
        </w:tc>
        <w:tc>
          <w:tcPr>
            <w:tcW w:w="911"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+10</w:t>
            </w:r>
          </w:p>
        </w:tc>
        <w:tc>
          <w:tcPr>
            <w:tcW w:w="989" w:type="dxa"/>
            <w:vMerge w:val="continue"/>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765" w:type="dxa"/>
            <w:vMerge w:val="continue"/>
            <w:shd w:val="clear" w:color="auto" w:fill="auto"/>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现金捐款10001-50000元的，每4000元加1分；</w:t>
            </w:r>
          </w:p>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捐物20001-100000元的，每8000元加1分</w:t>
            </w:r>
          </w:p>
        </w:tc>
        <w:tc>
          <w:tcPr>
            <w:tcW w:w="911"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+10</w:t>
            </w:r>
          </w:p>
        </w:tc>
        <w:tc>
          <w:tcPr>
            <w:tcW w:w="989" w:type="dxa"/>
            <w:vMerge w:val="continue"/>
            <w:shd w:val="clear" w:color="auto" w:fill="auto"/>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765" w:type="dxa"/>
            <w:vMerge w:val="continue"/>
            <w:shd w:val="clear" w:color="auto" w:fill="auto"/>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现金捐款50001-100000元的，每5000元加1分；</w:t>
            </w:r>
          </w:p>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捐物100001-200000元的，每1万元加1分</w:t>
            </w:r>
          </w:p>
        </w:tc>
        <w:tc>
          <w:tcPr>
            <w:tcW w:w="911"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+10</w:t>
            </w:r>
          </w:p>
        </w:tc>
        <w:tc>
          <w:tcPr>
            <w:tcW w:w="989" w:type="dxa"/>
            <w:vMerge w:val="continue"/>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765" w:type="dxa"/>
            <w:vMerge w:val="continue"/>
            <w:shd w:val="clear" w:color="auto" w:fill="auto"/>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现金捐款10万元以上的，每1万元加1分；</w:t>
            </w:r>
          </w:p>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捐物20万元以上的，每2万元加1分</w:t>
            </w:r>
          </w:p>
        </w:tc>
        <w:tc>
          <w:tcPr>
            <w:tcW w:w="911"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+10</w:t>
            </w:r>
          </w:p>
        </w:tc>
        <w:tc>
          <w:tcPr>
            <w:tcW w:w="989" w:type="dxa"/>
            <w:vMerge w:val="continue"/>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765" w:type="dxa"/>
            <w:vMerge w:val="continue"/>
            <w:shd w:val="clear" w:color="auto" w:fill="auto"/>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restart"/>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个体工商户捐款捐物信息</w:t>
            </w:r>
          </w:p>
        </w:tc>
        <w:tc>
          <w:tcPr>
            <w:tcW w:w="5954"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现金捐款200-2000元的，每200元加1分；</w:t>
            </w:r>
          </w:p>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捐物400-4000元的，每400元加1分</w:t>
            </w:r>
          </w:p>
        </w:tc>
        <w:tc>
          <w:tcPr>
            <w:tcW w:w="911"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+10</w:t>
            </w:r>
          </w:p>
        </w:tc>
        <w:tc>
          <w:tcPr>
            <w:tcW w:w="989" w:type="dxa"/>
            <w:vMerge w:val="restart"/>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捐款捐物每年最多加40分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765" w:type="dxa"/>
            <w:vMerge w:val="continue"/>
            <w:shd w:val="clear" w:color="auto" w:fill="auto"/>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捐款2001-10000元的，每800元加1分；</w:t>
            </w:r>
          </w:p>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捐物4001-20000元的，每1600元加1分</w:t>
            </w:r>
          </w:p>
        </w:tc>
        <w:tc>
          <w:tcPr>
            <w:tcW w:w="911"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+10</w:t>
            </w:r>
          </w:p>
        </w:tc>
        <w:tc>
          <w:tcPr>
            <w:tcW w:w="989" w:type="dxa"/>
            <w:vMerge w:val="continue"/>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765" w:type="dxa"/>
            <w:vMerge w:val="continue"/>
            <w:shd w:val="clear" w:color="auto" w:fill="auto"/>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捐款10001-20000元的，每1000元加1分</w:t>
            </w:r>
          </w:p>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捐物20001-40000元的，每2000元加1分</w:t>
            </w:r>
          </w:p>
        </w:tc>
        <w:tc>
          <w:tcPr>
            <w:tcW w:w="911"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+10</w:t>
            </w:r>
          </w:p>
        </w:tc>
        <w:tc>
          <w:tcPr>
            <w:tcW w:w="989" w:type="dxa"/>
            <w:vMerge w:val="continue"/>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7" w:hRule="atLeast"/>
          <w:jc w:val="center"/>
        </w:trPr>
        <w:tc>
          <w:tcPr>
            <w:tcW w:w="765" w:type="dxa"/>
            <w:vMerge w:val="continue"/>
            <w:shd w:val="clear" w:color="auto" w:fill="auto"/>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捐款2万元以上的，每2000元加1分；</w:t>
            </w:r>
          </w:p>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捐物4万元以上的，每4000元加1分</w:t>
            </w:r>
          </w:p>
        </w:tc>
        <w:tc>
          <w:tcPr>
            <w:tcW w:w="911"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+10</w:t>
            </w:r>
          </w:p>
        </w:tc>
        <w:tc>
          <w:tcPr>
            <w:tcW w:w="989" w:type="dxa"/>
            <w:vMerge w:val="continue"/>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4" w:hRule="atLeast"/>
          <w:jc w:val="center"/>
        </w:trPr>
        <w:tc>
          <w:tcPr>
            <w:tcW w:w="765" w:type="dxa"/>
            <w:vMerge w:val="continue"/>
            <w:shd w:val="clear" w:color="auto" w:fill="auto"/>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restart"/>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表彰奖励</w:t>
            </w:r>
          </w:p>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信息</w:t>
            </w: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lang w:val="en-US" w:eastAsia="zh-CN" w:bidi="ar-SA"/>
              </w:rPr>
            </w:pPr>
            <w:r>
              <w:rPr>
                <w:rFonts w:hint="eastAsia" w:ascii="Nimbus Roman" w:hAnsi="Nimbus Roman" w:eastAsia="CESI仿宋-GB2312" w:cs="CESI仿宋-GB2312"/>
                <w:bCs/>
                <w:kern w:val="0"/>
                <w:sz w:val="28"/>
                <w:szCs w:val="28"/>
              </w:rPr>
              <w:t>受到</w:t>
            </w:r>
            <w:r>
              <w:rPr>
                <w:rFonts w:hint="eastAsia" w:ascii="Nimbus Roman" w:hAnsi="Nimbus Roman" w:eastAsia="CESI仿宋-GB2312" w:cs="CESI仿宋-GB2312"/>
                <w:bCs/>
                <w:kern w:val="0"/>
                <w:sz w:val="28"/>
                <w:szCs w:val="28"/>
                <w:lang w:val="en-US" w:eastAsia="zh-CN"/>
              </w:rPr>
              <w:t>区</w:t>
            </w:r>
            <w:r>
              <w:rPr>
                <w:rFonts w:hint="eastAsia" w:ascii="Nimbus Roman" w:hAnsi="Nimbus Roman" w:eastAsia="CESI仿宋-GB2312" w:cs="CESI仿宋-GB2312"/>
                <w:bCs/>
                <w:kern w:val="0"/>
                <w:sz w:val="28"/>
                <w:szCs w:val="28"/>
              </w:rPr>
              <w:t>级部门表彰奖励的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lang w:val="en-US" w:eastAsia="zh-CN" w:bidi="ar-SA"/>
              </w:rPr>
            </w:pPr>
            <w:r>
              <w:rPr>
                <w:rFonts w:hint="eastAsia" w:ascii="Nimbus Roman" w:hAnsi="Nimbus Roman" w:eastAsia="CESI仿宋-GB2312" w:cs="CESI仿宋-GB2312"/>
                <w:bCs/>
                <w:kern w:val="0"/>
                <w:sz w:val="28"/>
                <w:szCs w:val="28"/>
              </w:rPr>
              <w:t>+5</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4" w:hRule="atLeast"/>
          <w:jc w:val="center"/>
        </w:trPr>
        <w:tc>
          <w:tcPr>
            <w:tcW w:w="765" w:type="dxa"/>
            <w:vMerge w:val="continue"/>
            <w:shd w:val="clear" w:color="auto" w:fill="auto"/>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lang w:val="en-US" w:eastAsia="zh-CN" w:bidi="ar-SA"/>
              </w:rPr>
            </w:pPr>
            <w:r>
              <w:rPr>
                <w:rFonts w:hint="eastAsia" w:ascii="Nimbus Roman" w:hAnsi="Nimbus Roman" w:eastAsia="CESI仿宋-GB2312" w:cs="CESI仿宋-GB2312"/>
                <w:bCs/>
                <w:kern w:val="0"/>
                <w:sz w:val="28"/>
                <w:szCs w:val="28"/>
              </w:rPr>
              <w:t>受到</w:t>
            </w:r>
            <w:r>
              <w:rPr>
                <w:rFonts w:hint="eastAsia" w:ascii="Nimbus Roman" w:hAnsi="Nimbus Roman" w:eastAsia="CESI仿宋-GB2312" w:cs="CESI仿宋-GB2312"/>
                <w:bCs/>
                <w:kern w:val="0"/>
                <w:sz w:val="28"/>
                <w:szCs w:val="28"/>
                <w:lang w:val="en-US" w:eastAsia="zh-CN"/>
              </w:rPr>
              <w:t>淄博市</w:t>
            </w:r>
            <w:r>
              <w:rPr>
                <w:rFonts w:hint="eastAsia" w:ascii="Nimbus Roman" w:hAnsi="Nimbus Roman" w:eastAsia="CESI仿宋-GB2312" w:cs="CESI仿宋-GB2312"/>
                <w:bCs/>
                <w:kern w:val="0"/>
                <w:sz w:val="28"/>
                <w:szCs w:val="28"/>
              </w:rPr>
              <w:t>级部门表彰奖励的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lang w:val="en-US" w:eastAsia="zh-CN" w:bidi="ar-SA"/>
              </w:rPr>
            </w:pPr>
            <w:r>
              <w:rPr>
                <w:rFonts w:hint="eastAsia" w:ascii="Nimbus Roman" w:hAnsi="Nimbus Roman" w:eastAsia="CESI仿宋-GB2312" w:cs="CESI仿宋-GB2312"/>
                <w:bCs/>
                <w:kern w:val="0"/>
                <w:sz w:val="28"/>
                <w:szCs w:val="28"/>
              </w:rPr>
              <w:t>+15</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5" w:hRule="atLeast"/>
          <w:jc w:val="center"/>
        </w:trPr>
        <w:tc>
          <w:tcPr>
            <w:tcW w:w="765" w:type="dxa"/>
            <w:vMerge w:val="continue"/>
            <w:shd w:val="clear" w:color="auto" w:fill="auto"/>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lang w:val="en-US" w:eastAsia="zh-CN" w:bidi="ar-SA"/>
              </w:rPr>
            </w:pPr>
            <w:r>
              <w:rPr>
                <w:rFonts w:hint="eastAsia" w:ascii="Nimbus Roman" w:hAnsi="Nimbus Roman" w:eastAsia="CESI仿宋-GB2312" w:cs="CESI仿宋-GB2312"/>
                <w:bCs/>
                <w:kern w:val="0"/>
                <w:sz w:val="28"/>
                <w:szCs w:val="28"/>
              </w:rPr>
              <w:t>受到</w:t>
            </w:r>
            <w:r>
              <w:rPr>
                <w:rFonts w:hint="eastAsia" w:ascii="Nimbus Roman" w:hAnsi="Nimbus Roman" w:eastAsia="CESI仿宋-GB2312" w:cs="CESI仿宋-GB2312"/>
                <w:bCs/>
                <w:kern w:val="0"/>
                <w:sz w:val="28"/>
                <w:szCs w:val="28"/>
                <w:lang w:val="en-US" w:eastAsia="zh-CN"/>
              </w:rPr>
              <w:t>区级</w:t>
            </w:r>
            <w:r>
              <w:rPr>
                <w:rFonts w:hint="eastAsia" w:ascii="Nimbus Roman" w:hAnsi="Nimbus Roman" w:eastAsia="CESI仿宋-GB2312" w:cs="CESI仿宋-GB2312"/>
                <w:bCs/>
                <w:kern w:val="0"/>
                <w:sz w:val="28"/>
                <w:szCs w:val="28"/>
              </w:rPr>
              <w:t>表彰奖励的</w:t>
            </w:r>
          </w:p>
        </w:tc>
        <w:tc>
          <w:tcPr>
            <w:tcW w:w="911"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lang w:val="en-US" w:eastAsia="zh-CN" w:bidi="ar-SA"/>
              </w:rPr>
            </w:pPr>
            <w:r>
              <w:rPr>
                <w:rFonts w:hint="eastAsia" w:ascii="Nimbus Roman" w:hAnsi="Nimbus Roman" w:eastAsia="CESI仿宋-GB2312" w:cs="CESI仿宋-GB2312"/>
                <w:bCs/>
                <w:kern w:val="0"/>
                <w:sz w:val="28"/>
                <w:szCs w:val="28"/>
              </w:rPr>
              <w:t>+20</w:t>
            </w:r>
          </w:p>
        </w:tc>
        <w:tc>
          <w:tcPr>
            <w:tcW w:w="989"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7" w:hRule="atLeast"/>
          <w:jc w:val="center"/>
        </w:trPr>
        <w:tc>
          <w:tcPr>
            <w:tcW w:w="765" w:type="dxa"/>
            <w:vMerge w:val="continue"/>
            <w:shd w:val="clear" w:color="auto" w:fill="auto"/>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lang w:val="en-US" w:eastAsia="zh-CN" w:bidi="ar-SA"/>
              </w:rPr>
            </w:pPr>
            <w:r>
              <w:rPr>
                <w:rFonts w:hint="eastAsia" w:ascii="Nimbus Roman" w:hAnsi="Nimbus Roman" w:eastAsia="CESI仿宋-GB2312" w:cs="CESI仿宋-GB2312"/>
                <w:bCs/>
                <w:kern w:val="0"/>
                <w:sz w:val="28"/>
                <w:szCs w:val="28"/>
              </w:rPr>
              <w:t>受到省级部门表彰奖励的</w:t>
            </w:r>
          </w:p>
        </w:tc>
        <w:tc>
          <w:tcPr>
            <w:tcW w:w="911"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lang w:val="en-US" w:eastAsia="zh-CN" w:bidi="ar-SA"/>
              </w:rPr>
            </w:pPr>
            <w:r>
              <w:rPr>
                <w:rFonts w:hint="eastAsia" w:ascii="Nimbus Roman" w:hAnsi="Nimbus Roman" w:eastAsia="CESI仿宋-GB2312" w:cs="CESI仿宋-GB2312"/>
                <w:bCs/>
                <w:kern w:val="0"/>
                <w:sz w:val="28"/>
                <w:szCs w:val="28"/>
              </w:rPr>
              <w:t>+25</w:t>
            </w:r>
          </w:p>
        </w:tc>
        <w:tc>
          <w:tcPr>
            <w:tcW w:w="989"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2" w:hRule="atLeast"/>
          <w:jc w:val="center"/>
        </w:trPr>
        <w:tc>
          <w:tcPr>
            <w:tcW w:w="765" w:type="dxa"/>
            <w:vMerge w:val="continue"/>
            <w:shd w:val="clear" w:color="auto" w:fill="auto"/>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lang w:val="en-US" w:eastAsia="zh-CN" w:bidi="ar-SA"/>
              </w:rPr>
            </w:pPr>
            <w:r>
              <w:rPr>
                <w:rFonts w:hint="eastAsia" w:ascii="Nimbus Roman" w:hAnsi="Nimbus Roman" w:eastAsia="CESI仿宋-GB2312" w:cs="CESI仿宋-GB2312"/>
                <w:bCs/>
                <w:kern w:val="0"/>
                <w:sz w:val="28"/>
                <w:szCs w:val="28"/>
              </w:rPr>
              <w:t>受到</w:t>
            </w:r>
            <w:r>
              <w:rPr>
                <w:rFonts w:hint="eastAsia" w:ascii="Nimbus Roman" w:hAnsi="Nimbus Roman" w:eastAsia="CESI仿宋-GB2312" w:cs="CESI仿宋-GB2312"/>
                <w:bCs/>
                <w:kern w:val="0"/>
                <w:sz w:val="28"/>
                <w:szCs w:val="28"/>
                <w:lang w:val="en-US" w:eastAsia="zh-CN"/>
              </w:rPr>
              <w:t>淄博市</w:t>
            </w:r>
            <w:r>
              <w:rPr>
                <w:rFonts w:hint="eastAsia" w:ascii="Nimbus Roman" w:hAnsi="Nimbus Roman" w:eastAsia="CESI仿宋-GB2312" w:cs="CESI仿宋-GB2312"/>
                <w:bCs/>
                <w:kern w:val="0"/>
                <w:sz w:val="28"/>
                <w:szCs w:val="28"/>
              </w:rPr>
              <w:t>级表彰奖励的</w:t>
            </w:r>
          </w:p>
        </w:tc>
        <w:tc>
          <w:tcPr>
            <w:tcW w:w="911"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lang w:val="en-US" w:eastAsia="zh-CN" w:bidi="ar-SA"/>
              </w:rPr>
            </w:pPr>
            <w:r>
              <w:rPr>
                <w:rFonts w:hint="eastAsia" w:ascii="Nimbus Roman" w:hAnsi="Nimbus Roman" w:eastAsia="CESI仿宋-GB2312" w:cs="CESI仿宋-GB2312"/>
                <w:bCs/>
                <w:kern w:val="0"/>
                <w:sz w:val="28"/>
                <w:szCs w:val="28"/>
              </w:rPr>
              <w:t>+30</w:t>
            </w:r>
          </w:p>
        </w:tc>
        <w:tc>
          <w:tcPr>
            <w:tcW w:w="989"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2" w:hRule="atLeast"/>
          <w:jc w:val="center"/>
        </w:trPr>
        <w:tc>
          <w:tcPr>
            <w:tcW w:w="765" w:type="dxa"/>
            <w:vMerge w:val="continue"/>
            <w:shd w:val="clear" w:color="auto" w:fill="auto"/>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lang w:val="en-US" w:eastAsia="zh-CN" w:bidi="ar-SA"/>
              </w:rPr>
            </w:pPr>
            <w:r>
              <w:rPr>
                <w:rFonts w:hint="eastAsia" w:ascii="Nimbus Roman" w:hAnsi="Nimbus Roman" w:eastAsia="CESI仿宋-GB2312" w:cs="CESI仿宋-GB2312"/>
                <w:bCs/>
                <w:kern w:val="0"/>
                <w:sz w:val="28"/>
                <w:szCs w:val="28"/>
              </w:rPr>
              <w:t>受到省部级表彰奖励的</w:t>
            </w:r>
          </w:p>
        </w:tc>
        <w:tc>
          <w:tcPr>
            <w:tcW w:w="911"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lang w:val="en-US" w:eastAsia="zh-CN" w:bidi="ar-SA"/>
              </w:rPr>
            </w:pPr>
            <w:r>
              <w:rPr>
                <w:rFonts w:hint="eastAsia" w:ascii="Nimbus Roman" w:hAnsi="Nimbus Roman" w:eastAsia="CESI仿宋-GB2312" w:cs="CESI仿宋-GB2312"/>
                <w:bCs/>
                <w:kern w:val="0"/>
                <w:sz w:val="28"/>
                <w:szCs w:val="28"/>
              </w:rPr>
              <w:t>+60</w:t>
            </w:r>
          </w:p>
        </w:tc>
        <w:tc>
          <w:tcPr>
            <w:tcW w:w="989"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2" w:hRule="atLeast"/>
          <w:jc w:val="center"/>
        </w:trPr>
        <w:tc>
          <w:tcPr>
            <w:tcW w:w="765" w:type="dxa"/>
            <w:vMerge w:val="continue"/>
            <w:shd w:val="clear" w:color="auto" w:fill="auto"/>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lang w:val="en-US" w:eastAsia="zh-CN" w:bidi="ar-SA"/>
              </w:rPr>
            </w:pPr>
            <w:r>
              <w:rPr>
                <w:rFonts w:hint="eastAsia" w:ascii="Nimbus Roman" w:hAnsi="Nimbus Roman" w:eastAsia="CESI仿宋-GB2312" w:cs="CESI仿宋-GB2312"/>
                <w:bCs/>
                <w:kern w:val="0"/>
                <w:sz w:val="28"/>
                <w:szCs w:val="28"/>
              </w:rPr>
              <w:t>受到国家级表彰奖励的</w:t>
            </w:r>
          </w:p>
        </w:tc>
        <w:tc>
          <w:tcPr>
            <w:tcW w:w="911"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lang w:val="en-US" w:eastAsia="zh-CN" w:bidi="ar-SA"/>
              </w:rPr>
            </w:pPr>
            <w:r>
              <w:rPr>
                <w:rFonts w:hint="eastAsia" w:ascii="Nimbus Roman" w:hAnsi="Nimbus Roman" w:eastAsia="CESI仿宋-GB2312" w:cs="CESI仿宋-GB2312"/>
                <w:bCs/>
                <w:kern w:val="0"/>
                <w:sz w:val="28"/>
                <w:szCs w:val="28"/>
              </w:rPr>
              <w:t>+100</w:t>
            </w:r>
          </w:p>
        </w:tc>
        <w:tc>
          <w:tcPr>
            <w:tcW w:w="989"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2" w:hRule="atLeast"/>
          <w:jc w:val="center"/>
        </w:trPr>
        <w:tc>
          <w:tcPr>
            <w:tcW w:w="765" w:type="dxa"/>
            <w:vMerge w:val="continue"/>
            <w:shd w:val="clear" w:color="auto" w:fill="auto"/>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restart"/>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通报表扬信息</w:t>
            </w:r>
          </w:p>
        </w:tc>
        <w:tc>
          <w:tcPr>
            <w:tcW w:w="5954"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lang w:val="en-US" w:eastAsia="zh-CN" w:bidi="ar-SA"/>
              </w:rPr>
            </w:pPr>
            <w:r>
              <w:rPr>
                <w:rFonts w:hint="eastAsia" w:ascii="Nimbus Roman" w:hAnsi="Nimbus Roman" w:eastAsia="CESI仿宋-GB2312" w:cs="CESI仿宋-GB2312"/>
                <w:bCs/>
                <w:kern w:val="0"/>
                <w:sz w:val="28"/>
                <w:szCs w:val="28"/>
              </w:rPr>
              <w:t>受到</w:t>
            </w:r>
            <w:r>
              <w:rPr>
                <w:rFonts w:hint="eastAsia" w:ascii="Nimbus Roman" w:hAnsi="Nimbus Roman" w:eastAsia="CESI仿宋-GB2312" w:cs="CESI仿宋-GB2312"/>
                <w:bCs/>
                <w:kern w:val="0"/>
                <w:sz w:val="28"/>
                <w:szCs w:val="28"/>
                <w:lang w:val="en-US" w:eastAsia="zh-CN"/>
              </w:rPr>
              <w:t>区</w:t>
            </w:r>
            <w:r>
              <w:rPr>
                <w:rFonts w:hint="eastAsia" w:ascii="Nimbus Roman" w:hAnsi="Nimbus Roman" w:eastAsia="CESI仿宋-GB2312" w:cs="CESI仿宋-GB2312"/>
                <w:bCs/>
                <w:kern w:val="0"/>
                <w:sz w:val="28"/>
                <w:szCs w:val="28"/>
              </w:rPr>
              <w:t>级部门通报表扬的</w:t>
            </w:r>
          </w:p>
        </w:tc>
        <w:tc>
          <w:tcPr>
            <w:tcW w:w="911"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lang w:val="en-US" w:eastAsia="zh-CN" w:bidi="ar-SA"/>
              </w:rPr>
            </w:pPr>
            <w:r>
              <w:rPr>
                <w:rFonts w:hint="eastAsia" w:ascii="Nimbus Roman" w:hAnsi="Nimbus Roman" w:eastAsia="CESI仿宋-GB2312" w:cs="CESI仿宋-GB2312"/>
                <w:bCs/>
                <w:kern w:val="0"/>
                <w:sz w:val="28"/>
                <w:szCs w:val="28"/>
              </w:rPr>
              <w:t>+3</w:t>
            </w:r>
          </w:p>
        </w:tc>
        <w:tc>
          <w:tcPr>
            <w:tcW w:w="989"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2" w:hRule="atLeast"/>
          <w:jc w:val="center"/>
        </w:trPr>
        <w:tc>
          <w:tcPr>
            <w:tcW w:w="765" w:type="dxa"/>
            <w:vMerge w:val="continue"/>
            <w:shd w:val="clear" w:color="auto" w:fill="auto"/>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lang w:val="en-US" w:eastAsia="zh-CN" w:bidi="ar-SA"/>
              </w:rPr>
            </w:pPr>
            <w:r>
              <w:rPr>
                <w:rFonts w:hint="eastAsia" w:ascii="Nimbus Roman" w:hAnsi="Nimbus Roman" w:eastAsia="CESI仿宋-GB2312" w:cs="CESI仿宋-GB2312"/>
                <w:bCs/>
                <w:kern w:val="0"/>
                <w:sz w:val="28"/>
                <w:szCs w:val="28"/>
              </w:rPr>
              <w:t>受到</w:t>
            </w:r>
            <w:r>
              <w:rPr>
                <w:rFonts w:hint="eastAsia" w:ascii="Nimbus Roman" w:hAnsi="Nimbus Roman" w:eastAsia="CESI仿宋-GB2312" w:cs="CESI仿宋-GB2312"/>
                <w:bCs/>
                <w:kern w:val="0"/>
                <w:sz w:val="28"/>
                <w:szCs w:val="28"/>
                <w:lang w:val="en-US" w:eastAsia="zh-CN"/>
              </w:rPr>
              <w:t>淄博市</w:t>
            </w:r>
            <w:r>
              <w:rPr>
                <w:rFonts w:hint="eastAsia" w:ascii="Nimbus Roman" w:hAnsi="Nimbus Roman" w:eastAsia="CESI仿宋-GB2312" w:cs="CESI仿宋-GB2312"/>
                <w:bCs/>
                <w:kern w:val="0"/>
                <w:sz w:val="28"/>
                <w:szCs w:val="28"/>
              </w:rPr>
              <w:t>级部门通报表扬的</w:t>
            </w:r>
          </w:p>
        </w:tc>
        <w:tc>
          <w:tcPr>
            <w:tcW w:w="911"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lang w:val="en-US" w:eastAsia="zh-CN" w:bidi="ar-SA"/>
              </w:rPr>
            </w:pPr>
            <w:r>
              <w:rPr>
                <w:rFonts w:hint="eastAsia" w:ascii="Nimbus Roman" w:hAnsi="Nimbus Roman" w:eastAsia="CESI仿宋-GB2312" w:cs="CESI仿宋-GB2312"/>
                <w:bCs/>
                <w:kern w:val="0"/>
                <w:sz w:val="28"/>
                <w:szCs w:val="28"/>
              </w:rPr>
              <w:t>+10</w:t>
            </w:r>
          </w:p>
        </w:tc>
        <w:tc>
          <w:tcPr>
            <w:tcW w:w="989"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2" w:hRule="atLeast"/>
          <w:jc w:val="center"/>
        </w:trPr>
        <w:tc>
          <w:tcPr>
            <w:tcW w:w="765" w:type="dxa"/>
            <w:vMerge w:val="continue"/>
            <w:shd w:val="clear" w:color="auto" w:fill="auto"/>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lang w:val="en-US" w:eastAsia="zh-CN" w:bidi="ar-SA"/>
              </w:rPr>
            </w:pPr>
            <w:r>
              <w:rPr>
                <w:rFonts w:hint="eastAsia" w:ascii="Nimbus Roman" w:hAnsi="Nimbus Roman" w:eastAsia="CESI仿宋-GB2312" w:cs="CESI仿宋-GB2312"/>
                <w:bCs/>
                <w:kern w:val="0"/>
                <w:sz w:val="28"/>
                <w:szCs w:val="28"/>
              </w:rPr>
              <w:t>受到</w:t>
            </w:r>
            <w:r>
              <w:rPr>
                <w:rFonts w:hint="eastAsia" w:ascii="Nimbus Roman" w:hAnsi="Nimbus Roman" w:eastAsia="CESI仿宋-GB2312" w:cs="CESI仿宋-GB2312"/>
                <w:bCs/>
                <w:kern w:val="0"/>
                <w:sz w:val="28"/>
                <w:szCs w:val="28"/>
                <w:lang w:val="en-US" w:eastAsia="zh-CN"/>
              </w:rPr>
              <w:t>区</w:t>
            </w:r>
            <w:r>
              <w:rPr>
                <w:rFonts w:hint="eastAsia" w:ascii="Nimbus Roman" w:hAnsi="Nimbus Roman" w:eastAsia="CESI仿宋-GB2312" w:cs="CESI仿宋-GB2312"/>
                <w:bCs/>
                <w:kern w:val="0"/>
                <w:sz w:val="28"/>
                <w:szCs w:val="28"/>
              </w:rPr>
              <w:t>级通报表扬的</w:t>
            </w:r>
          </w:p>
        </w:tc>
        <w:tc>
          <w:tcPr>
            <w:tcW w:w="911"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lang w:val="en-US" w:eastAsia="zh-CN" w:bidi="ar-SA"/>
              </w:rPr>
            </w:pPr>
            <w:r>
              <w:rPr>
                <w:rFonts w:hint="eastAsia" w:ascii="Nimbus Roman" w:hAnsi="Nimbus Roman" w:eastAsia="CESI仿宋-GB2312" w:cs="CESI仿宋-GB2312"/>
                <w:bCs/>
                <w:kern w:val="0"/>
                <w:sz w:val="28"/>
                <w:szCs w:val="28"/>
              </w:rPr>
              <w:t>+15</w:t>
            </w:r>
          </w:p>
        </w:tc>
        <w:tc>
          <w:tcPr>
            <w:tcW w:w="989"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2" w:hRule="atLeast"/>
          <w:jc w:val="center"/>
        </w:trPr>
        <w:tc>
          <w:tcPr>
            <w:tcW w:w="765" w:type="dxa"/>
            <w:vMerge w:val="continue"/>
            <w:shd w:val="clear" w:color="auto" w:fill="auto"/>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lang w:val="en-US" w:eastAsia="zh-CN" w:bidi="ar-SA"/>
              </w:rPr>
            </w:pPr>
            <w:r>
              <w:rPr>
                <w:rFonts w:hint="eastAsia" w:ascii="Nimbus Roman" w:hAnsi="Nimbus Roman" w:eastAsia="CESI仿宋-GB2312" w:cs="CESI仿宋-GB2312"/>
                <w:bCs/>
                <w:kern w:val="0"/>
                <w:sz w:val="28"/>
                <w:szCs w:val="28"/>
              </w:rPr>
              <w:t>受到省级部门通报表扬的</w:t>
            </w:r>
          </w:p>
        </w:tc>
        <w:tc>
          <w:tcPr>
            <w:tcW w:w="911"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lang w:val="en-US" w:eastAsia="zh-CN" w:bidi="ar-SA"/>
              </w:rPr>
            </w:pPr>
            <w:r>
              <w:rPr>
                <w:rFonts w:hint="eastAsia" w:ascii="Nimbus Roman" w:hAnsi="Nimbus Roman" w:eastAsia="CESI仿宋-GB2312" w:cs="CESI仿宋-GB2312"/>
                <w:bCs/>
                <w:kern w:val="0"/>
                <w:sz w:val="28"/>
                <w:szCs w:val="28"/>
              </w:rPr>
              <w:t>+20</w:t>
            </w:r>
          </w:p>
        </w:tc>
        <w:tc>
          <w:tcPr>
            <w:tcW w:w="989"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2" w:hRule="atLeast"/>
          <w:jc w:val="center"/>
        </w:trPr>
        <w:tc>
          <w:tcPr>
            <w:tcW w:w="765" w:type="dxa"/>
            <w:vMerge w:val="continue"/>
            <w:shd w:val="clear" w:color="auto" w:fill="auto"/>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lang w:val="en-US" w:eastAsia="zh-CN" w:bidi="ar-SA"/>
              </w:rPr>
            </w:pPr>
            <w:r>
              <w:rPr>
                <w:rFonts w:hint="eastAsia" w:ascii="Nimbus Roman" w:hAnsi="Nimbus Roman" w:eastAsia="CESI仿宋-GB2312" w:cs="CESI仿宋-GB2312"/>
                <w:bCs/>
                <w:kern w:val="0"/>
                <w:sz w:val="28"/>
                <w:szCs w:val="28"/>
              </w:rPr>
              <w:t>受到</w:t>
            </w:r>
            <w:r>
              <w:rPr>
                <w:rFonts w:hint="eastAsia" w:ascii="Nimbus Roman" w:hAnsi="Nimbus Roman" w:eastAsia="CESI仿宋-GB2312" w:cs="CESI仿宋-GB2312"/>
                <w:bCs/>
                <w:kern w:val="0"/>
                <w:sz w:val="28"/>
                <w:szCs w:val="28"/>
                <w:lang w:val="en-US" w:eastAsia="zh-CN"/>
              </w:rPr>
              <w:t>淄博市</w:t>
            </w:r>
            <w:r>
              <w:rPr>
                <w:rFonts w:hint="eastAsia" w:ascii="Nimbus Roman" w:hAnsi="Nimbus Roman" w:eastAsia="CESI仿宋-GB2312" w:cs="CESI仿宋-GB2312"/>
                <w:bCs/>
                <w:kern w:val="0"/>
                <w:sz w:val="28"/>
                <w:szCs w:val="28"/>
              </w:rPr>
              <w:t>级通报表扬的</w:t>
            </w:r>
          </w:p>
        </w:tc>
        <w:tc>
          <w:tcPr>
            <w:tcW w:w="911"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lang w:val="en-US" w:eastAsia="zh-CN" w:bidi="ar-SA"/>
              </w:rPr>
            </w:pPr>
            <w:r>
              <w:rPr>
                <w:rFonts w:hint="eastAsia" w:ascii="Nimbus Roman" w:hAnsi="Nimbus Roman" w:eastAsia="CESI仿宋-GB2312" w:cs="CESI仿宋-GB2312"/>
                <w:bCs/>
                <w:kern w:val="0"/>
                <w:sz w:val="28"/>
                <w:szCs w:val="28"/>
              </w:rPr>
              <w:t>+25</w:t>
            </w:r>
          </w:p>
        </w:tc>
        <w:tc>
          <w:tcPr>
            <w:tcW w:w="989"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2" w:hRule="atLeast"/>
          <w:jc w:val="center"/>
        </w:trPr>
        <w:tc>
          <w:tcPr>
            <w:tcW w:w="765" w:type="dxa"/>
            <w:vMerge w:val="continue"/>
            <w:shd w:val="clear" w:color="auto" w:fill="auto"/>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lang w:val="en-US" w:eastAsia="zh-CN" w:bidi="ar-SA"/>
              </w:rPr>
            </w:pPr>
            <w:r>
              <w:rPr>
                <w:rFonts w:hint="eastAsia" w:ascii="Nimbus Roman" w:hAnsi="Nimbus Roman" w:eastAsia="CESI仿宋-GB2312" w:cs="CESI仿宋-GB2312"/>
                <w:bCs/>
                <w:kern w:val="0"/>
                <w:sz w:val="28"/>
                <w:szCs w:val="28"/>
              </w:rPr>
              <w:t>受到省部级通报表扬的</w:t>
            </w:r>
          </w:p>
        </w:tc>
        <w:tc>
          <w:tcPr>
            <w:tcW w:w="911"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lang w:val="en-US" w:eastAsia="zh-CN" w:bidi="ar-SA"/>
              </w:rPr>
            </w:pPr>
            <w:r>
              <w:rPr>
                <w:rFonts w:hint="eastAsia" w:ascii="Nimbus Roman" w:hAnsi="Nimbus Roman" w:eastAsia="CESI仿宋-GB2312" w:cs="CESI仿宋-GB2312"/>
                <w:bCs/>
                <w:kern w:val="0"/>
                <w:sz w:val="28"/>
                <w:szCs w:val="28"/>
              </w:rPr>
              <w:t>+50</w:t>
            </w:r>
          </w:p>
        </w:tc>
        <w:tc>
          <w:tcPr>
            <w:tcW w:w="989"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2" w:hRule="atLeast"/>
          <w:jc w:val="center"/>
        </w:trPr>
        <w:tc>
          <w:tcPr>
            <w:tcW w:w="765" w:type="dxa"/>
            <w:vMerge w:val="continue"/>
            <w:shd w:val="clear" w:color="auto" w:fill="auto"/>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lang w:val="en-US" w:eastAsia="zh-CN" w:bidi="ar-SA"/>
              </w:rPr>
            </w:pPr>
            <w:r>
              <w:rPr>
                <w:rFonts w:hint="eastAsia" w:ascii="Nimbus Roman" w:hAnsi="Nimbus Roman" w:eastAsia="CESI仿宋-GB2312" w:cs="CESI仿宋-GB2312"/>
                <w:bCs/>
                <w:kern w:val="0"/>
                <w:sz w:val="28"/>
                <w:szCs w:val="28"/>
              </w:rPr>
              <w:t>受到国家级通报表扬的</w:t>
            </w:r>
          </w:p>
        </w:tc>
        <w:tc>
          <w:tcPr>
            <w:tcW w:w="911"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lang w:val="en-US" w:eastAsia="zh-CN" w:bidi="ar-SA"/>
              </w:rPr>
            </w:pPr>
            <w:r>
              <w:rPr>
                <w:rFonts w:hint="eastAsia" w:ascii="Nimbus Roman" w:hAnsi="Nimbus Roman" w:eastAsia="CESI仿宋-GB2312" w:cs="CESI仿宋-GB2312"/>
                <w:bCs/>
                <w:kern w:val="0"/>
                <w:sz w:val="28"/>
                <w:szCs w:val="28"/>
              </w:rPr>
              <w:t>+80</w:t>
            </w:r>
          </w:p>
        </w:tc>
        <w:tc>
          <w:tcPr>
            <w:tcW w:w="989"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765" w:type="dxa"/>
            <w:vMerge w:val="restart"/>
            <w:shd w:val="clear" w:color="auto" w:fill="auto"/>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诚信信息</w:t>
            </w:r>
          </w:p>
        </w:tc>
        <w:tc>
          <w:tcPr>
            <w:tcW w:w="1417" w:type="dxa"/>
            <w:vMerge w:val="restart"/>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联合激励信息</w:t>
            </w:r>
          </w:p>
        </w:tc>
        <w:tc>
          <w:tcPr>
            <w:tcW w:w="5954" w:type="dxa"/>
            <w:shd w:val="clear" w:color="000000"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lang w:val="en-US" w:eastAsia="zh-CN" w:bidi="ar-SA"/>
              </w:rPr>
            </w:pPr>
            <w:r>
              <w:rPr>
                <w:rFonts w:hint="eastAsia" w:ascii="Nimbus Roman" w:hAnsi="Nimbus Roman" w:eastAsia="CESI仿宋-GB2312" w:cs="CESI仿宋-GB2312"/>
                <w:bCs/>
                <w:kern w:val="0"/>
                <w:sz w:val="28"/>
                <w:szCs w:val="28"/>
              </w:rPr>
              <w:t>环保、建设、海关等其他行业主管部门发布的单一行业评价等级较高的</w:t>
            </w:r>
          </w:p>
        </w:tc>
        <w:tc>
          <w:tcPr>
            <w:tcW w:w="911"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lang w:val="en-US" w:eastAsia="zh-CN" w:bidi="ar-SA"/>
              </w:rPr>
            </w:pPr>
            <w:r>
              <w:rPr>
                <w:rFonts w:hint="eastAsia" w:ascii="Nimbus Roman" w:hAnsi="Nimbus Roman" w:eastAsia="CESI仿宋-GB2312" w:cs="CESI仿宋-GB2312"/>
                <w:bCs/>
                <w:kern w:val="0"/>
                <w:sz w:val="28"/>
                <w:szCs w:val="28"/>
              </w:rPr>
              <w:t>+5</w:t>
            </w:r>
          </w:p>
        </w:tc>
        <w:tc>
          <w:tcPr>
            <w:tcW w:w="989"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765" w:type="dxa"/>
            <w:vMerge w:val="continue"/>
            <w:shd w:val="clear" w:color="auto" w:fill="auto"/>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000000"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lang w:val="en-US" w:eastAsia="zh-CN" w:bidi="ar-SA"/>
              </w:rPr>
            </w:pPr>
            <w:r>
              <w:rPr>
                <w:rFonts w:hint="eastAsia" w:ascii="Nimbus Roman" w:hAnsi="Nimbus Roman" w:eastAsia="CESI仿宋-GB2312" w:cs="CESI仿宋-GB2312"/>
                <w:bCs/>
                <w:kern w:val="0"/>
                <w:sz w:val="28"/>
                <w:szCs w:val="28"/>
              </w:rPr>
              <w:t>统计、税务等部门发布的通用行业评价等级较高的</w:t>
            </w:r>
          </w:p>
        </w:tc>
        <w:tc>
          <w:tcPr>
            <w:tcW w:w="911"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lang w:val="en-US" w:eastAsia="zh-CN" w:bidi="ar-SA"/>
              </w:rPr>
            </w:pPr>
            <w:r>
              <w:rPr>
                <w:rFonts w:hint="eastAsia" w:ascii="Nimbus Roman" w:hAnsi="Nimbus Roman" w:eastAsia="CESI仿宋-GB2312" w:cs="CESI仿宋-GB2312"/>
                <w:bCs/>
                <w:kern w:val="0"/>
                <w:sz w:val="28"/>
                <w:szCs w:val="28"/>
              </w:rPr>
              <w:t>+10</w:t>
            </w:r>
          </w:p>
        </w:tc>
        <w:tc>
          <w:tcPr>
            <w:tcW w:w="989"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765" w:type="dxa"/>
            <w:vMerge w:val="continue"/>
            <w:shd w:val="clear" w:color="auto" w:fill="auto"/>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000000"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lang w:val="en-US" w:eastAsia="zh-CN" w:bidi="ar-SA"/>
              </w:rPr>
            </w:pPr>
            <w:r>
              <w:rPr>
                <w:rFonts w:hint="eastAsia" w:ascii="Nimbus Roman" w:hAnsi="Nimbus Roman" w:eastAsia="CESI仿宋-GB2312" w:cs="CESI仿宋-GB2312"/>
                <w:bCs/>
                <w:kern w:val="0"/>
                <w:sz w:val="28"/>
                <w:szCs w:val="28"/>
              </w:rPr>
              <w:t>列入守信联合激励对象名单的</w:t>
            </w:r>
          </w:p>
        </w:tc>
        <w:tc>
          <w:tcPr>
            <w:tcW w:w="911"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lang w:val="en-US" w:eastAsia="zh-CN" w:bidi="ar-SA"/>
              </w:rPr>
            </w:pPr>
            <w:r>
              <w:rPr>
                <w:rFonts w:hint="eastAsia" w:ascii="Nimbus Roman" w:hAnsi="Nimbus Roman" w:eastAsia="CESI仿宋-GB2312" w:cs="CESI仿宋-GB2312"/>
                <w:bCs/>
                <w:kern w:val="0"/>
                <w:sz w:val="28"/>
                <w:szCs w:val="28"/>
              </w:rPr>
              <w:t>+20</w:t>
            </w:r>
          </w:p>
        </w:tc>
        <w:tc>
          <w:tcPr>
            <w:tcW w:w="989"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765" w:type="dxa"/>
            <w:vMerge w:val="continue"/>
            <w:shd w:val="clear" w:color="auto" w:fill="auto"/>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000000"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lang w:val="en-US" w:eastAsia="zh-CN" w:bidi="ar-SA"/>
              </w:rPr>
            </w:pPr>
            <w:r>
              <w:rPr>
                <w:rFonts w:hint="eastAsia" w:ascii="Nimbus Roman" w:hAnsi="Nimbus Roman" w:eastAsia="CESI仿宋-GB2312" w:cs="CESI仿宋-GB2312"/>
                <w:bCs/>
                <w:kern w:val="0"/>
                <w:sz w:val="28"/>
                <w:szCs w:val="28"/>
              </w:rPr>
              <w:t>国家公共信用综合评价等级较高的</w:t>
            </w:r>
          </w:p>
        </w:tc>
        <w:tc>
          <w:tcPr>
            <w:tcW w:w="911"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lang w:val="en-US" w:eastAsia="zh-CN" w:bidi="ar-SA"/>
              </w:rPr>
            </w:pPr>
            <w:r>
              <w:rPr>
                <w:rFonts w:hint="eastAsia" w:ascii="Nimbus Roman" w:hAnsi="Nimbus Roman" w:eastAsia="CESI仿宋-GB2312" w:cs="CESI仿宋-GB2312"/>
                <w:bCs/>
                <w:kern w:val="0"/>
                <w:sz w:val="28"/>
                <w:szCs w:val="28"/>
              </w:rPr>
              <w:t>+20</w:t>
            </w:r>
          </w:p>
        </w:tc>
        <w:tc>
          <w:tcPr>
            <w:tcW w:w="989"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765" w:type="dxa"/>
            <w:vMerge w:val="continue"/>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其他诚信信息</w:t>
            </w:r>
          </w:p>
        </w:tc>
        <w:tc>
          <w:tcPr>
            <w:tcW w:w="5954"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其他守信行为视情节加分</w:t>
            </w:r>
          </w:p>
        </w:tc>
        <w:tc>
          <w:tcPr>
            <w:tcW w:w="911"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+1至+5</w:t>
            </w:r>
          </w:p>
        </w:tc>
        <w:tc>
          <w:tcPr>
            <w:tcW w:w="989" w:type="dxa"/>
            <w:shd w:val="clear" w:color="auto" w:fill="auto"/>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restart"/>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失信</w:t>
            </w:r>
          </w:p>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信息</w:t>
            </w:r>
          </w:p>
        </w:tc>
        <w:tc>
          <w:tcPr>
            <w:tcW w:w="1417" w:type="dxa"/>
            <w:vMerge w:val="restart"/>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lang w:val="en-US" w:eastAsia="zh-CN"/>
              </w:rPr>
              <w:t>欠</w:t>
            </w:r>
            <w:r>
              <w:rPr>
                <w:rFonts w:hint="eastAsia" w:ascii="Nimbus Roman" w:hAnsi="Nimbus Roman" w:eastAsia="CESI仿宋-GB2312" w:cs="CESI仿宋-GB2312"/>
                <w:bCs/>
                <w:kern w:val="0"/>
                <w:sz w:val="28"/>
                <w:szCs w:val="28"/>
              </w:rPr>
              <w:t>税</w:t>
            </w:r>
            <w:r>
              <w:rPr>
                <w:rFonts w:hint="eastAsia" w:ascii="Nimbus Roman" w:hAnsi="Nimbus Roman" w:eastAsia="CESI仿宋-GB2312" w:cs="CESI仿宋-GB2312"/>
                <w:bCs/>
                <w:kern w:val="0"/>
                <w:sz w:val="28"/>
                <w:szCs w:val="28"/>
                <w:lang w:val="en-US" w:eastAsia="zh-CN"/>
              </w:rPr>
              <w:t>欠</w:t>
            </w:r>
            <w:r>
              <w:rPr>
                <w:rFonts w:hint="eastAsia" w:ascii="Nimbus Roman" w:hAnsi="Nimbus Roman" w:eastAsia="CESI仿宋-GB2312" w:cs="CESI仿宋-GB2312"/>
                <w:bCs/>
                <w:kern w:val="0"/>
                <w:sz w:val="28"/>
                <w:szCs w:val="28"/>
              </w:rPr>
              <w:t>费信息</w:t>
            </w: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拒不缴纳依法应当缴纳的税款的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-50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拒不缴纳依法应当缴纳的社会保险费的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-50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拒不缴纳依法应当缴纳的行政事业性收费的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-50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拒不缴纳依法应当缴纳的政府性基金的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-50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restart"/>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lang w:val="en-US" w:eastAsia="zh-CN"/>
              </w:rPr>
              <w:t>违反</w:t>
            </w:r>
            <w:r>
              <w:rPr>
                <w:rFonts w:hint="eastAsia" w:ascii="Nimbus Roman" w:hAnsi="Nimbus Roman" w:eastAsia="CESI仿宋-GB2312" w:cs="CESI仿宋-GB2312"/>
                <w:bCs/>
                <w:kern w:val="0"/>
                <w:sz w:val="28"/>
                <w:szCs w:val="28"/>
              </w:rPr>
              <w:t>信用承诺信息</w:t>
            </w: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虚假申报、虚假承诺的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lang w:val="en-US" w:eastAsia="zh-CN"/>
              </w:rPr>
            </w:pPr>
            <w:r>
              <w:rPr>
                <w:rFonts w:hint="eastAsia" w:ascii="Nimbus Roman" w:hAnsi="Nimbus Roman" w:eastAsia="CESI仿宋-GB2312" w:cs="CESI仿宋-GB2312"/>
                <w:bCs/>
                <w:kern w:val="0"/>
                <w:sz w:val="28"/>
                <w:szCs w:val="28"/>
              </w:rPr>
              <w:t>-</w:t>
            </w:r>
            <w:r>
              <w:rPr>
                <w:rFonts w:hint="eastAsia" w:ascii="Nimbus Roman" w:hAnsi="Nimbus Roman" w:eastAsia="CESI仿宋-GB2312" w:cs="CESI仿宋-GB2312"/>
                <w:bCs/>
                <w:kern w:val="0"/>
                <w:sz w:val="28"/>
                <w:szCs w:val="28"/>
                <w:lang w:val="en-US" w:eastAsia="zh-CN"/>
              </w:rPr>
              <w:t>50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不履行信用承诺义务的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lang w:val="en-US" w:eastAsia="zh-CN"/>
              </w:rPr>
            </w:pPr>
            <w:r>
              <w:rPr>
                <w:rFonts w:hint="eastAsia" w:ascii="Nimbus Roman" w:hAnsi="Nimbus Roman" w:eastAsia="CESI仿宋-GB2312" w:cs="CESI仿宋-GB2312"/>
                <w:bCs/>
                <w:kern w:val="0"/>
                <w:sz w:val="28"/>
                <w:szCs w:val="28"/>
              </w:rPr>
              <w:t>-</w:t>
            </w:r>
            <w:r>
              <w:rPr>
                <w:rFonts w:hint="eastAsia" w:ascii="Nimbus Roman" w:hAnsi="Nimbus Roman" w:eastAsia="CESI仿宋-GB2312" w:cs="CESI仿宋-GB2312"/>
                <w:bCs/>
                <w:kern w:val="0"/>
                <w:sz w:val="28"/>
                <w:szCs w:val="28"/>
                <w:lang w:val="en-US" w:eastAsia="zh-CN"/>
              </w:rPr>
              <w:t>50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tcBorders>
              <w:bottom w:val="single" w:color="auto" w:sz="4" w:space="0"/>
            </w:tcBorders>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lang w:val="en-US" w:eastAsia="zh-CN"/>
              </w:rPr>
              <w:t>高管失信</w:t>
            </w:r>
            <w:r>
              <w:rPr>
                <w:rFonts w:hint="eastAsia" w:ascii="Nimbus Roman" w:hAnsi="Nimbus Roman" w:eastAsia="CESI仿宋-GB2312" w:cs="CESI仿宋-GB2312"/>
                <w:bCs/>
                <w:kern w:val="0"/>
                <w:sz w:val="28"/>
                <w:szCs w:val="28"/>
              </w:rPr>
              <w:t>信息</w:t>
            </w:r>
          </w:p>
        </w:tc>
        <w:tc>
          <w:tcPr>
            <w:tcW w:w="5954" w:type="dxa"/>
            <w:tcBorders>
              <w:bottom w:val="single" w:color="auto" w:sz="4" w:space="0"/>
            </w:tcBorders>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lang w:val="en-US" w:eastAsia="zh-CN"/>
              </w:rPr>
            </w:pPr>
            <w:r>
              <w:rPr>
                <w:rFonts w:hint="eastAsia" w:ascii="Nimbus Roman" w:hAnsi="Nimbus Roman" w:eastAsia="CESI仿宋-GB2312" w:cs="CESI仿宋-GB2312"/>
                <w:bCs/>
                <w:kern w:val="0"/>
                <w:sz w:val="28"/>
                <w:szCs w:val="28"/>
              </w:rPr>
              <w:t>法定代表人、实际控制人</w:t>
            </w:r>
            <w:r>
              <w:rPr>
                <w:rFonts w:hint="eastAsia" w:ascii="Nimbus Roman" w:hAnsi="Nimbus Roman" w:eastAsia="CESI仿宋-GB2312" w:cs="CESI仿宋-GB2312"/>
                <w:bCs/>
                <w:kern w:val="0"/>
                <w:sz w:val="28"/>
                <w:szCs w:val="28"/>
                <w:lang w:val="en-US" w:eastAsia="zh-CN"/>
              </w:rPr>
              <w:t>等被</w:t>
            </w:r>
            <w:r>
              <w:rPr>
                <w:rFonts w:hint="eastAsia" w:ascii="Nimbus Roman" w:hAnsi="Nimbus Roman" w:eastAsia="CESI仿宋-GB2312" w:cs="CESI仿宋-GB2312"/>
                <w:bCs/>
                <w:kern w:val="0"/>
                <w:sz w:val="28"/>
                <w:szCs w:val="28"/>
              </w:rPr>
              <w:t>列入</w:t>
            </w:r>
            <w:r>
              <w:rPr>
                <w:rFonts w:hint="eastAsia" w:ascii="Nimbus Roman" w:hAnsi="Nimbus Roman" w:eastAsia="CESI仿宋-GB2312" w:cs="CESI仿宋-GB2312"/>
                <w:bCs/>
                <w:kern w:val="0"/>
                <w:sz w:val="28"/>
                <w:szCs w:val="28"/>
                <w:lang w:val="en-US" w:eastAsia="zh-CN"/>
              </w:rPr>
              <w:t>被执行人的</w:t>
            </w:r>
          </w:p>
        </w:tc>
        <w:tc>
          <w:tcPr>
            <w:tcW w:w="911" w:type="dxa"/>
            <w:tcBorders>
              <w:bottom w:val="single" w:color="auto" w:sz="4" w:space="0"/>
            </w:tcBorders>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-20</w:t>
            </w:r>
          </w:p>
        </w:tc>
        <w:tc>
          <w:tcPr>
            <w:tcW w:w="989" w:type="dxa"/>
            <w:tcBorders>
              <w:bottom w:val="single" w:color="auto" w:sz="4" w:space="0"/>
            </w:tcBorders>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restart"/>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lang w:val="en-US" w:eastAsia="zh-CN"/>
              </w:rPr>
              <w:t>行政</w:t>
            </w:r>
            <w:r>
              <w:rPr>
                <w:rFonts w:hint="eastAsia" w:ascii="Nimbus Roman" w:hAnsi="Nimbus Roman" w:eastAsia="CESI仿宋-GB2312" w:cs="CESI仿宋-GB2312"/>
                <w:bCs/>
                <w:kern w:val="0"/>
                <w:sz w:val="28"/>
                <w:szCs w:val="28"/>
              </w:rPr>
              <w:t>裁决信息</w:t>
            </w: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lang w:val="en-US" w:eastAsia="zh-CN" w:bidi="ar-SA"/>
              </w:rPr>
            </w:pPr>
            <w:r>
              <w:rPr>
                <w:rFonts w:hint="eastAsia" w:ascii="Nimbus Roman" w:hAnsi="Nimbus Roman" w:eastAsia="CESI仿宋-GB2312" w:cs="CESI仿宋-GB2312"/>
                <w:bCs/>
                <w:kern w:val="0"/>
                <w:sz w:val="28"/>
                <w:szCs w:val="28"/>
              </w:rPr>
              <w:t>不按要求履行生效的行政裁决等行政行为决定文书的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lang w:val="en-US" w:eastAsia="zh-CN" w:bidi="ar-SA"/>
              </w:rPr>
            </w:pPr>
            <w:r>
              <w:rPr>
                <w:rFonts w:hint="eastAsia" w:ascii="Nimbus Roman" w:hAnsi="Nimbus Roman" w:eastAsia="CESI仿宋-GB2312" w:cs="CESI仿宋-GB2312"/>
                <w:bCs/>
                <w:kern w:val="0"/>
                <w:sz w:val="28"/>
                <w:szCs w:val="28"/>
              </w:rPr>
              <w:t>-100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lang w:val="en-US" w:eastAsia="zh-CN" w:bidi="ar-SA"/>
              </w:rPr>
            </w:pPr>
            <w:r>
              <w:rPr>
                <w:rFonts w:hint="eastAsia" w:ascii="Nimbus Roman" w:hAnsi="Nimbus Roman" w:eastAsia="CESI仿宋-GB2312" w:cs="CESI仿宋-GB2312"/>
                <w:bCs/>
                <w:kern w:val="0"/>
                <w:sz w:val="28"/>
                <w:szCs w:val="28"/>
              </w:rPr>
              <w:t>拒不履行生效的行政裁决等行政行为决定文书的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lang w:val="en-US" w:eastAsia="zh-CN" w:bidi="ar-SA"/>
              </w:rPr>
            </w:pPr>
            <w:r>
              <w:rPr>
                <w:rFonts w:hint="eastAsia" w:ascii="Nimbus Roman" w:hAnsi="Nimbus Roman" w:eastAsia="CESI仿宋-GB2312" w:cs="CESI仿宋-GB2312"/>
                <w:bCs/>
                <w:kern w:val="0"/>
                <w:sz w:val="28"/>
                <w:szCs w:val="28"/>
              </w:rPr>
              <w:t>-200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5" w:hRule="atLeast"/>
          <w:jc w:val="center"/>
        </w:trPr>
        <w:tc>
          <w:tcPr>
            <w:tcW w:w="765" w:type="dxa"/>
            <w:vMerge w:val="restart"/>
            <w:shd w:val="clear" w:color="auto" w:fill="FFFFFF"/>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失信信息</w:t>
            </w:r>
          </w:p>
        </w:tc>
        <w:tc>
          <w:tcPr>
            <w:tcW w:w="1417" w:type="dxa"/>
            <w:vMerge w:val="restart"/>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行政处罚信息</w:t>
            </w: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受到通报批评行政处罚的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-10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处以1万元及以下罚款行政处罚的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-20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处以1万元至10万元（含）罚款行政处罚的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-40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处以10万元至50万元（含）罚款行政处罚的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-60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处以50万元至100万元（含）罚款行政处罚的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-100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处以100万元以上罚款行政处罚的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-200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处以没收违法所得、没收非法财物1万元（含）以下的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-20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处以没收违法所得、没收非法财物1万元至5万元（含）的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-30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处以没收违法所得、没收非法财物5万元至10万元（含）的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-40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处以没收违法所得、没收非法财物10万元以上的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-60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处以暂扣许可证件行政处罚的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-200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处以降低资质等级行政处罚的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-200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处以限制开展生产经营活动行政处罚的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-200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处以限制从业行政处罚的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-200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处以责令停产停业行政处罚的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-200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处以吊销许可证件行政处罚的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-400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处以责令关闭行政处罚的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-400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处以永久限制开展生产经营活动行政处罚的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-400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处以终身限制从业行政处罚的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-400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受到法律、行政法规规定的其他行政处罚的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-20至</w:t>
            </w:r>
            <w:r>
              <w:rPr>
                <w:rFonts w:hint="eastAsia" w:ascii="Nimbus Roman" w:hAnsi="Nimbus Roman" w:eastAsia="CESI仿宋-GB2312" w:cs="CESI仿宋-GB2312"/>
                <w:bCs/>
                <w:kern w:val="0"/>
                <w:sz w:val="28"/>
                <w:szCs w:val="28"/>
                <w:lang w:eastAsia="zh-CN"/>
              </w:rPr>
              <w:t>－</w:t>
            </w:r>
            <w:r>
              <w:rPr>
                <w:rFonts w:hint="eastAsia" w:ascii="Nimbus Roman" w:hAnsi="Nimbus Roman" w:eastAsia="CESI仿宋-GB2312" w:cs="CESI仿宋-GB2312"/>
                <w:bCs/>
                <w:kern w:val="0"/>
                <w:sz w:val="28"/>
                <w:szCs w:val="28"/>
              </w:rPr>
              <w:t>400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restart"/>
            <w:shd w:val="clear" w:color="auto" w:fill="FFFFFF"/>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失信信息</w:t>
            </w:r>
          </w:p>
        </w:tc>
        <w:tc>
          <w:tcPr>
            <w:tcW w:w="1417" w:type="dxa"/>
            <w:vMerge w:val="restart"/>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行政强制</w:t>
            </w:r>
          </w:p>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执行信息</w:t>
            </w:r>
          </w:p>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被实施加处罚款或者滞纳金强制执行方式的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-40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被实施划拨存款、汇款强制执行方式的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-60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被实施拍卖或者依法处理查封、扣押的场所、设施或者财物强制执行方式的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-80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被实施排除妨碍、恢复原状强制执行方式的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-80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被实施代履行强制执行方式的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-100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被实施其他强制执行方式的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-20至</w:t>
            </w:r>
            <w:r>
              <w:rPr>
                <w:rFonts w:hint="eastAsia" w:ascii="Nimbus Roman" w:hAnsi="Nimbus Roman" w:eastAsia="CESI仿宋-GB2312" w:cs="CESI仿宋-GB2312"/>
                <w:bCs/>
                <w:kern w:val="0"/>
                <w:sz w:val="28"/>
                <w:szCs w:val="28"/>
                <w:lang w:eastAsia="zh-CN"/>
              </w:rPr>
              <w:t>－</w:t>
            </w:r>
            <w:r>
              <w:rPr>
                <w:rFonts w:hint="eastAsia" w:ascii="Nimbus Roman" w:hAnsi="Nimbus Roman" w:eastAsia="CESI仿宋-GB2312" w:cs="CESI仿宋-GB2312"/>
                <w:bCs/>
                <w:kern w:val="0"/>
                <w:sz w:val="28"/>
                <w:szCs w:val="28"/>
              </w:rPr>
              <w:t>100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restart"/>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lang w:val="en-US" w:eastAsia="zh-CN"/>
              </w:rPr>
            </w:pPr>
            <w:r>
              <w:rPr>
                <w:rFonts w:hint="eastAsia" w:ascii="Nimbus Roman" w:hAnsi="Nimbus Roman" w:eastAsia="CESI仿宋-GB2312" w:cs="CESI仿宋-GB2312"/>
                <w:bCs/>
                <w:kern w:val="0"/>
                <w:sz w:val="28"/>
                <w:szCs w:val="28"/>
                <w:lang w:val="en-US" w:eastAsia="zh-CN"/>
              </w:rPr>
              <w:t>行业评价信息</w:t>
            </w: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lang w:val="en-US" w:eastAsia="zh-CN" w:bidi="ar-SA"/>
              </w:rPr>
            </w:pPr>
            <w:r>
              <w:rPr>
                <w:rFonts w:hint="eastAsia" w:ascii="Nimbus Roman" w:hAnsi="Nimbus Roman" w:eastAsia="CESI仿宋-GB2312" w:cs="CESI仿宋-GB2312"/>
                <w:bCs/>
                <w:kern w:val="0"/>
                <w:sz w:val="28"/>
                <w:szCs w:val="28"/>
              </w:rPr>
              <w:t>环保、建设、海关等其他行业主管部门发布的单一行业评价等级较低的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lang w:val="en-US" w:eastAsia="zh-CN" w:bidi="ar-SA"/>
              </w:rPr>
            </w:pPr>
            <w:r>
              <w:rPr>
                <w:rFonts w:hint="eastAsia" w:ascii="Nimbus Roman" w:hAnsi="Nimbus Roman" w:eastAsia="CESI仿宋-GB2312" w:cs="CESI仿宋-GB2312"/>
                <w:bCs/>
                <w:kern w:val="0"/>
                <w:sz w:val="28"/>
                <w:szCs w:val="28"/>
              </w:rPr>
              <w:t>-5</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统计、税务等部门开展的通用行业评价等级较低的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-10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17"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被列入经营异常名录的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-20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其他失信信息</w:t>
            </w: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国家和省规定的其他失信信息</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-10至</w:t>
            </w:r>
            <w:r>
              <w:rPr>
                <w:rFonts w:hint="eastAsia" w:ascii="Nimbus Roman" w:hAnsi="Nimbus Roman" w:eastAsia="CESI仿宋-GB2312" w:cs="CESI仿宋-GB2312"/>
                <w:bCs/>
                <w:kern w:val="0"/>
                <w:sz w:val="28"/>
                <w:szCs w:val="28"/>
                <w:lang w:eastAsia="zh-CN"/>
              </w:rPr>
              <w:t>－</w:t>
            </w:r>
            <w:r>
              <w:rPr>
                <w:rFonts w:hint="eastAsia" w:ascii="Nimbus Roman" w:hAnsi="Nimbus Roman" w:eastAsia="CESI仿宋-GB2312" w:cs="CESI仿宋-GB2312"/>
                <w:bCs/>
                <w:kern w:val="0"/>
                <w:sz w:val="28"/>
                <w:szCs w:val="28"/>
              </w:rPr>
              <w:t>400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restart"/>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严重失信主体名单信息</w:t>
            </w:r>
          </w:p>
        </w:tc>
        <w:tc>
          <w:tcPr>
            <w:tcW w:w="1417" w:type="dxa"/>
            <w:vMerge w:val="restart"/>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严重危害人民群众身体健康和生命安全</w:t>
            </w: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被认定为食品药品领域严重失信主体名单的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-600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被认定为生态环境领域严重失信主体名单的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-600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被认定为工程质量领域严重失信主体名单的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-600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被认定为安全生产领域严重失信主体名单的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-600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被认定为消防安全领域严重失信主体名单的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-600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被认定为强制性产品认证领域严重失信主体名单的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-600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19"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restart"/>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spacing w:val="-11"/>
                <w:kern w:val="0"/>
                <w:sz w:val="28"/>
                <w:szCs w:val="28"/>
              </w:rPr>
            </w:pPr>
            <w:r>
              <w:rPr>
                <w:rFonts w:hint="eastAsia" w:ascii="Nimbus Roman" w:hAnsi="Nimbus Roman" w:eastAsia="CESI仿宋-GB2312" w:cs="CESI仿宋-GB2312"/>
                <w:bCs/>
                <w:spacing w:val="-11"/>
                <w:kern w:val="0"/>
                <w:sz w:val="28"/>
                <w:szCs w:val="28"/>
              </w:rPr>
              <w:t>严重破坏市场公平竞争秩序和社会正常秩序</w:t>
            </w: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被认定为贿赂行为严重失信主体名单的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-600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被认定为逃税骗税严重失信主体名单的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-600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6"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被认定为恶意逃废债务严重失信主体名单的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-600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spacing w:val="-20"/>
                <w:kern w:val="0"/>
                <w:sz w:val="28"/>
                <w:szCs w:val="28"/>
              </w:rPr>
            </w:pPr>
            <w:r>
              <w:rPr>
                <w:rFonts w:hint="eastAsia" w:ascii="Nimbus Roman" w:hAnsi="Nimbus Roman" w:eastAsia="CESI仿宋-GB2312" w:cs="CESI仿宋-GB2312"/>
                <w:bCs/>
                <w:spacing w:val="-20"/>
                <w:kern w:val="0"/>
                <w:sz w:val="28"/>
                <w:szCs w:val="28"/>
              </w:rPr>
              <w:t>被认定为恶意拖欠货款或服务费严重失信主体名单的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-600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restart"/>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严重失信主体名单信息</w:t>
            </w:r>
          </w:p>
        </w:tc>
        <w:tc>
          <w:tcPr>
            <w:tcW w:w="1417" w:type="dxa"/>
            <w:vMerge w:val="restart"/>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严重破坏市场公平竞争秩序和社会正常秩序</w:t>
            </w: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被认定为恶意欠薪严重失信主体名单的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-600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被认定为非法集资严重失信主体名单的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-600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被认定为合同欺诈严重失信主体名单的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-600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被认定为组织传销严重失信主体名单的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-600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被认定为无证照经营严重失信主体名单的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-600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被认定为制售假冒伪劣产品和故意侵犯知识产权严重失信主体名单的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-600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被认定为出借和借用资质投标严重失信主体名单的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-600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被认定为围标串标严重失信主体名单的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-600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被认定为虚假广告严重失信主体名单的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-600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被认定为侵害消费者或证券期货投资者合法权益严重失信主体名单的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-600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被认定为严重破坏网络空间传播秩序严重失信主体名单的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-600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被认定为聚众扰乱社会秩序严重失信主体名单的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-600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restart"/>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拒不履行法定义务严重影响司法机关公信力</w:t>
            </w: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被认定为逃避执行生效司法机关、行政机关作出的判决或决定的严重失信主体名单</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-600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被认定为有履行能力但拒不履行司法机关、行政机关作出的判决或决定的严重失信主体名单</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-600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法定代表人、实际控制人因职务行为被列为失信被执行人的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-600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市场主体被列为失信被执行人的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-600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87" w:hRule="atLeast"/>
          <w:jc w:val="center"/>
        </w:trPr>
        <w:tc>
          <w:tcPr>
            <w:tcW w:w="765" w:type="dxa"/>
            <w:vMerge w:val="continue"/>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c>
          <w:tcPr>
            <w:tcW w:w="1417"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spacing w:val="-20"/>
                <w:kern w:val="0"/>
                <w:sz w:val="28"/>
                <w:szCs w:val="28"/>
              </w:rPr>
            </w:pPr>
            <w:r>
              <w:rPr>
                <w:rFonts w:hint="eastAsia" w:ascii="Nimbus Roman" w:hAnsi="Nimbus Roman" w:eastAsia="CESI仿宋-GB2312" w:cs="CESI仿宋-GB2312"/>
                <w:bCs/>
                <w:spacing w:val="-20"/>
                <w:kern w:val="0"/>
                <w:sz w:val="28"/>
                <w:szCs w:val="28"/>
              </w:rPr>
              <w:t>其他严重失信主体名单</w:t>
            </w:r>
          </w:p>
        </w:tc>
        <w:tc>
          <w:tcPr>
            <w:tcW w:w="5954"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国家和省规定的其他严重失信主体名单的</w:t>
            </w:r>
          </w:p>
        </w:tc>
        <w:tc>
          <w:tcPr>
            <w:tcW w:w="911"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-600</w:t>
            </w:r>
          </w:p>
        </w:tc>
        <w:tc>
          <w:tcPr>
            <w:tcW w:w="989" w:type="dxa"/>
            <w:shd w:val="clear" w:color="auto" w:fill="FFFFFF"/>
            <w:noWrap w:val="0"/>
            <w:tcMar>
              <w:top w:w="14" w:type="dxa"/>
              <w:left w:w="14" w:type="dxa"/>
              <w:bottom w:w="0" w:type="dxa"/>
              <w:right w:w="14" w:type="dxa"/>
            </w:tcMar>
            <w:vAlign w:val="center"/>
          </w:tcPr>
          <w:p>
            <w:pPr>
              <w:keepNext w:val="0"/>
              <w:keepLines w:val="0"/>
              <w:pageBreakBefore w:val="0"/>
              <w:widowControl/>
              <w:kinsoku/>
              <w:overflowPunct/>
              <w:topLinePunct w:val="0"/>
              <w:bidi w:val="0"/>
              <w:snapToGrid w:val="0"/>
              <w:spacing w:line="560" w:lineRule="exact"/>
              <w:jc w:val="center"/>
              <w:textAlignment w:val="auto"/>
              <w:rPr>
                <w:rFonts w:hint="eastAsia" w:ascii="Nimbus Roman" w:hAnsi="Nimbus Roman" w:eastAsia="CESI仿宋-GB2312" w:cs="CESI仿宋-GB2312"/>
                <w:bCs/>
                <w:kern w:val="0"/>
                <w:sz w:val="28"/>
                <w:szCs w:val="28"/>
              </w:rPr>
            </w:pPr>
          </w:p>
        </w:tc>
      </w:tr>
    </w:tbl>
    <w:p>
      <w:pPr>
        <w:rPr>
          <w:rFonts w:ascii="Nimbus Roman" w:hAnsi="Nimbus Roman"/>
        </w:rPr>
      </w:pPr>
    </w:p>
    <w:p>
      <w:pPr>
        <w:rPr>
          <w:rFonts w:ascii="Nimbus Roman" w:hAnsi="Nimbus Roman"/>
        </w:rPr>
      </w:pPr>
    </w:p>
    <w:p>
      <w:pPr>
        <w:pStyle w:val="13"/>
        <w:keepNext w:val="0"/>
        <w:keepLines w:val="0"/>
        <w:pageBreakBefore w:val="0"/>
        <w:kinsoku/>
        <w:overflowPunct/>
        <w:topLinePunct w:val="0"/>
        <w:bidi w:val="0"/>
        <w:spacing w:line="560" w:lineRule="exact"/>
        <w:jc w:val="both"/>
        <w:textAlignment w:val="auto"/>
        <w:rPr>
          <w:rFonts w:ascii="Nimbus Roman" w:hAnsi="Nimbus Roman"/>
        </w:rPr>
        <w:sectPr>
          <w:pgSz w:w="11906" w:h="16838"/>
          <w:pgMar w:top="2098" w:right="1474" w:bottom="2041" w:left="1587" w:header="851" w:footer="1531" w:gutter="0"/>
          <w:pgNumType w:fmt="decimal"/>
          <w:cols w:space="425" w:num="1"/>
          <w:docGrid w:type="lines" w:linePitch="312" w:charSpace="0"/>
        </w:sectPr>
      </w:pPr>
    </w:p>
    <w:p>
      <w:pPr>
        <w:pStyle w:val="13"/>
        <w:keepNext w:val="0"/>
        <w:keepLines w:val="0"/>
        <w:pageBreakBefore w:val="0"/>
        <w:kinsoku/>
        <w:overflowPunct/>
        <w:topLinePunct w:val="0"/>
        <w:bidi w:val="0"/>
        <w:spacing w:line="560" w:lineRule="exact"/>
        <w:jc w:val="both"/>
        <w:textAlignment w:val="auto"/>
        <w:rPr>
          <w:rFonts w:ascii="Nimbus Roman" w:hAnsi="Nimbus Roman"/>
        </w:rPr>
      </w:pPr>
    </w:p>
    <w:p>
      <w:pPr>
        <w:pStyle w:val="13"/>
        <w:keepNext w:val="0"/>
        <w:keepLines w:val="0"/>
        <w:pageBreakBefore w:val="0"/>
        <w:kinsoku/>
        <w:overflowPunct/>
        <w:topLinePunct w:val="0"/>
        <w:bidi w:val="0"/>
        <w:spacing w:line="560" w:lineRule="exact"/>
        <w:jc w:val="both"/>
        <w:textAlignment w:val="auto"/>
        <w:rPr>
          <w:rFonts w:ascii="Nimbus Roman" w:hAnsi="Nimbus Roman"/>
        </w:rPr>
      </w:pPr>
    </w:p>
    <w:p>
      <w:pPr>
        <w:pStyle w:val="13"/>
        <w:keepNext w:val="0"/>
        <w:keepLines w:val="0"/>
        <w:pageBreakBefore w:val="0"/>
        <w:kinsoku/>
        <w:overflowPunct/>
        <w:topLinePunct w:val="0"/>
        <w:bidi w:val="0"/>
        <w:spacing w:line="560" w:lineRule="exact"/>
        <w:jc w:val="both"/>
        <w:textAlignment w:val="auto"/>
        <w:rPr>
          <w:rFonts w:ascii="Nimbus Roman" w:hAnsi="Nimbus Roman"/>
        </w:rPr>
      </w:pPr>
    </w:p>
    <w:p>
      <w:pPr>
        <w:pStyle w:val="13"/>
        <w:keepNext w:val="0"/>
        <w:keepLines w:val="0"/>
        <w:pageBreakBefore w:val="0"/>
        <w:kinsoku/>
        <w:overflowPunct/>
        <w:topLinePunct w:val="0"/>
        <w:bidi w:val="0"/>
        <w:spacing w:line="560" w:lineRule="exact"/>
        <w:jc w:val="both"/>
        <w:textAlignment w:val="auto"/>
        <w:rPr>
          <w:rFonts w:ascii="Nimbus Roman" w:hAnsi="Nimbus Roman"/>
        </w:rPr>
      </w:pPr>
    </w:p>
    <w:p>
      <w:pPr>
        <w:pStyle w:val="13"/>
        <w:keepNext w:val="0"/>
        <w:keepLines w:val="0"/>
        <w:pageBreakBefore w:val="0"/>
        <w:kinsoku/>
        <w:overflowPunct/>
        <w:topLinePunct w:val="0"/>
        <w:bidi w:val="0"/>
        <w:spacing w:line="560" w:lineRule="exact"/>
        <w:jc w:val="both"/>
        <w:textAlignment w:val="auto"/>
        <w:rPr>
          <w:rFonts w:ascii="Nimbus Roman" w:hAnsi="Nimbus Roman"/>
        </w:rPr>
      </w:pPr>
    </w:p>
    <w:p>
      <w:pPr>
        <w:pStyle w:val="13"/>
        <w:keepNext w:val="0"/>
        <w:keepLines w:val="0"/>
        <w:pageBreakBefore w:val="0"/>
        <w:kinsoku/>
        <w:overflowPunct/>
        <w:topLinePunct w:val="0"/>
        <w:bidi w:val="0"/>
        <w:spacing w:line="560" w:lineRule="exact"/>
        <w:jc w:val="both"/>
        <w:textAlignment w:val="auto"/>
        <w:rPr>
          <w:rFonts w:ascii="Nimbus Roman" w:hAnsi="Nimbus Roman"/>
        </w:rPr>
      </w:pPr>
    </w:p>
    <w:p>
      <w:pPr>
        <w:pStyle w:val="13"/>
        <w:keepNext w:val="0"/>
        <w:keepLines w:val="0"/>
        <w:pageBreakBefore w:val="0"/>
        <w:kinsoku/>
        <w:overflowPunct/>
        <w:topLinePunct w:val="0"/>
        <w:bidi w:val="0"/>
        <w:spacing w:line="560" w:lineRule="exact"/>
        <w:jc w:val="both"/>
        <w:textAlignment w:val="auto"/>
        <w:rPr>
          <w:rFonts w:ascii="Nimbus Roman" w:hAnsi="Nimbus Roman"/>
        </w:rPr>
      </w:pPr>
    </w:p>
    <w:p>
      <w:pPr>
        <w:pStyle w:val="13"/>
        <w:keepNext w:val="0"/>
        <w:keepLines w:val="0"/>
        <w:pageBreakBefore w:val="0"/>
        <w:kinsoku/>
        <w:overflowPunct/>
        <w:topLinePunct w:val="0"/>
        <w:bidi w:val="0"/>
        <w:spacing w:line="560" w:lineRule="exact"/>
        <w:jc w:val="both"/>
        <w:textAlignment w:val="auto"/>
        <w:rPr>
          <w:rFonts w:ascii="Nimbus Roman" w:hAnsi="Nimbus Roman"/>
        </w:rPr>
      </w:pPr>
    </w:p>
    <w:p>
      <w:pPr>
        <w:pStyle w:val="13"/>
        <w:keepNext w:val="0"/>
        <w:keepLines w:val="0"/>
        <w:pageBreakBefore w:val="0"/>
        <w:kinsoku/>
        <w:overflowPunct/>
        <w:topLinePunct w:val="0"/>
        <w:bidi w:val="0"/>
        <w:spacing w:line="560" w:lineRule="exact"/>
        <w:jc w:val="both"/>
        <w:textAlignment w:val="auto"/>
        <w:rPr>
          <w:rFonts w:ascii="Nimbus Roman" w:hAnsi="Nimbus Roman"/>
        </w:rPr>
      </w:pPr>
    </w:p>
    <w:p>
      <w:pPr>
        <w:pStyle w:val="13"/>
        <w:keepNext w:val="0"/>
        <w:keepLines w:val="0"/>
        <w:pageBreakBefore w:val="0"/>
        <w:kinsoku/>
        <w:overflowPunct/>
        <w:topLinePunct w:val="0"/>
        <w:bidi w:val="0"/>
        <w:spacing w:line="560" w:lineRule="exact"/>
        <w:jc w:val="both"/>
        <w:textAlignment w:val="auto"/>
        <w:rPr>
          <w:rFonts w:ascii="Nimbus Roman" w:hAnsi="Nimbus Roman"/>
        </w:rPr>
      </w:pPr>
    </w:p>
    <w:p>
      <w:pPr>
        <w:pStyle w:val="13"/>
        <w:keepNext w:val="0"/>
        <w:keepLines w:val="0"/>
        <w:pageBreakBefore w:val="0"/>
        <w:kinsoku/>
        <w:overflowPunct/>
        <w:topLinePunct w:val="0"/>
        <w:bidi w:val="0"/>
        <w:spacing w:line="560" w:lineRule="exact"/>
        <w:jc w:val="both"/>
        <w:textAlignment w:val="auto"/>
        <w:rPr>
          <w:rFonts w:ascii="Nimbus Roman" w:hAnsi="Nimbus Roman"/>
        </w:rPr>
      </w:pPr>
    </w:p>
    <w:p>
      <w:pPr>
        <w:pStyle w:val="13"/>
        <w:keepNext w:val="0"/>
        <w:keepLines w:val="0"/>
        <w:pageBreakBefore w:val="0"/>
        <w:kinsoku/>
        <w:overflowPunct/>
        <w:topLinePunct w:val="0"/>
        <w:bidi w:val="0"/>
        <w:spacing w:line="560" w:lineRule="exact"/>
        <w:jc w:val="both"/>
        <w:textAlignment w:val="auto"/>
        <w:rPr>
          <w:rFonts w:ascii="Nimbus Roman" w:hAnsi="Nimbus Roman"/>
        </w:rPr>
      </w:pPr>
    </w:p>
    <w:p>
      <w:pPr>
        <w:pStyle w:val="13"/>
        <w:keepNext w:val="0"/>
        <w:keepLines w:val="0"/>
        <w:pageBreakBefore w:val="0"/>
        <w:kinsoku/>
        <w:overflowPunct/>
        <w:topLinePunct w:val="0"/>
        <w:bidi w:val="0"/>
        <w:spacing w:line="560" w:lineRule="exact"/>
        <w:jc w:val="both"/>
        <w:textAlignment w:val="auto"/>
        <w:rPr>
          <w:rFonts w:ascii="Nimbus Roman" w:hAnsi="Nimbus Roman"/>
        </w:rPr>
      </w:pPr>
    </w:p>
    <w:p>
      <w:pPr>
        <w:pStyle w:val="13"/>
        <w:keepNext w:val="0"/>
        <w:keepLines w:val="0"/>
        <w:pageBreakBefore w:val="0"/>
        <w:kinsoku/>
        <w:overflowPunct/>
        <w:topLinePunct w:val="0"/>
        <w:bidi w:val="0"/>
        <w:spacing w:line="560" w:lineRule="exact"/>
        <w:jc w:val="both"/>
        <w:textAlignment w:val="auto"/>
        <w:rPr>
          <w:rFonts w:ascii="Nimbus Roman" w:hAnsi="Nimbus Roman"/>
        </w:rPr>
      </w:pPr>
    </w:p>
    <w:p>
      <w:pPr>
        <w:pStyle w:val="13"/>
        <w:keepNext w:val="0"/>
        <w:keepLines w:val="0"/>
        <w:pageBreakBefore w:val="0"/>
        <w:kinsoku/>
        <w:overflowPunct/>
        <w:topLinePunct w:val="0"/>
        <w:bidi w:val="0"/>
        <w:spacing w:line="560" w:lineRule="exact"/>
        <w:jc w:val="both"/>
        <w:textAlignment w:val="auto"/>
        <w:rPr>
          <w:rFonts w:ascii="Nimbus Roman" w:hAnsi="Nimbus Roman"/>
        </w:rPr>
      </w:pPr>
    </w:p>
    <w:p>
      <w:pPr>
        <w:pStyle w:val="13"/>
        <w:keepNext w:val="0"/>
        <w:keepLines w:val="0"/>
        <w:pageBreakBefore w:val="0"/>
        <w:kinsoku/>
        <w:overflowPunct/>
        <w:topLinePunct w:val="0"/>
        <w:bidi w:val="0"/>
        <w:spacing w:line="560" w:lineRule="exact"/>
        <w:jc w:val="both"/>
        <w:textAlignment w:val="auto"/>
        <w:rPr>
          <w:rFonts w:ascii="Nimbus Roman" w:hAnsi="Nimbus Roman"/>
        </w:rPr>
      </w:pPr>
    </w:p>
    <w:p>
      <w:pPr>
        <w:pStyle w:val="13"/>
        <w:keepNext w:val="0"/>
        <w:keepLines w:val="0"/>
        <w:pageBreakBefore w:val="0"/>
        <w:kinsoku/>
        <w:overflowPunct/>
        <w:topLinePunct w:val="0"/>
        <w:bidi w:val="0"/>
        <w:spacing w:line="560" w:lineRule="exact"/>
        <w:jc w:val="both"/>
        <w:textAlignment w:val="auto"/>
        <w:rPr>
          <w:rFonts w:hint="eastAsia" w:ascii="Nimbus Roman" w:hAnsi="Nimbus Roman" w:eastAsia="CESI仿宋-GB2312" w:cs="CESI仿宋-GB2312"/>
          <w:sz w:val="32"/>
          <w:szCs w:val="32"/>
        </w:rPr>
      </w:pPr>
    </w:p>
    <w:p>
      <w:pPr>
        <w:pStyle w:val="13"/>
        <w:keepNext w:val="0"/>
        <w:keepLines w:val="0"/>
        <w:pageBreakBefore w:val="0"/>
        <w:kinsoku/>
        <w:overflowPunct/>
        <w:topLinePunct w:val="0"/>
        <w:bidi w:val="0"/>
        <w:spacing w:line="560" w:lineRule="exact"/>
        <w:jc w:val="both"/>
        <w:textAlignment w:val="auto"/>
        <w:rPr>
          <w:rFonts w:hint="eastAsia" w:ascii="Nimbus Roman" w:hAnsi="Nimbus Roman" w:eastAsia="CESI仿宋-GB2312" w:cs="CESI仿宋-GB2312"/>
        </w:rPr>
      </w:pPr>
    </w:p>
    <w:p>
      <w:pPr>
        <w:keepNext w:val="0"/>
        <w:keepLines w:val="0"/>
        <w:pageBreakBefore w:val="0"/>
        <w:widowControl w:val="0"/>
        <w:pBdr>
          <w:bottom w:val="single" w:color="auto" w:sz="4" w:space="0"/>
        </w:pBdr>
        <w:kinsoku/>
        <w:wordWrap/>
        <w:overflowPunct/>
        <w:topLinePunct w:val="0"/>
        <w:autoSpaceDE/>
        <w:autoSpaceDN/>
        <w:bidi w:val="0"/>
        <w:adjustRightInd/>
        <w:snapToGrid/>
        <w:spacing w:line="480" w:lineRule="exact"/>
        <w:rPr>
          <w:rFonts w:hint="eastAsia" w:ascii="Nimbus Roman" w:hAnsi="Nimbus Roman" w:eastAsia="CESI仿宋-GB2312" w:cs="CESI仿宋-GB2312"/>
          <w:color w:val="auto"/>
          <w:szCs w:val="32"/>
        </w:rPr>
      </w:pPr>
    </w:p>
    <w:p>
      <w:pPr>
        <w:keepNext w:val="0"/>
        <w:keepLines w:val="0"/>
        <w:pageBreakBefore w:val="0"/>
        <w:widowControl w:val="0"/>
        <w:pBdr>
          <w:bottom w:val="single" w:color="auto" w:sz="4" w:space="0"/>
        </w:pBdr>
        <w:kinsoku/>
        <w:wordWrap/>
        <w:overflowPunct/>
        <w:topLinePunct w:val="0"/>
        <w:autoSpaceDE/>
        <w:autoSpaceDN/>
        <w:bidi w:val="0"/>
        <w:adjustRightInd/>
        <w:snapToGrid/>
        <w:spacing w:line="480" w:lineRule="exact"/>
        <w:rPr>
          <w:rFonts w:hint="eastAsia" w:ascii="Nimbus Roman" w:hAnsi="Nimbus Roman" w:eastAsia="CESI仿宋-GB2312" w:cs="CESI仿宋-GB2312"/>
          <w:color w:val="auto"/>
          <w:szCs w:val="32"/>
        </w:rPr>
      </w:pPr>
    </w:p>
    <w:p>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center"/>
        <w:rPr>
          <w:rFonts w:hint="eastAsia" w:ascii="Nimbus Roman" w:hAnsi="Nimbus Roman" w:eastAsia="CESI仿宋-GB2312" w:cs="CESI仿宋-GB2312"/>
          <w:color w:val="auto"/>
          <w:sz w:val="28"/>
          <w:szCs w:val="28"/>
          <w:lang w:eastAsia="zh-CN"/>
        </w:rPr>
      </w:pPr>
      <w:r>
        <w:rPr>
          <w:rFonts w:hint="eastAsia" w:ascii="Nimbus Roman" w:hAnsi="Nimbus Roman" w:eastAsia="CESI仿宋-GB2312" w:cs="CESI仿宋-GB2312"/>
          <w:color w:val="auto"/>
          <w:sz w:val="28"/>
          <w:szCs w:val="28"/>
        </w:rPr>
        <w:t>抄送：区委办公室，区人大常委会办公室，区政协办公室，</w:t>
      </w:r>
      <w:r>
        <w:rPr>
          <w:rFonts w:hint="eastAsia" w:ascii="Nimbus Roman" w:hAnsi="Nimbus Roman" w:eastAsia="CESI仿宋-GB2312" w:cs="CESI仿宋-GB2312"/>
          <w:color w:val="auto"/>
          <w:sz w:val="28"/>
          <w:szCs w:val="28"/>
          <w:lang w:eastAsia="zh-CN"/>
        </w:rPr>
        <w:t>区监委，</w:t>
      </w:r>
    </w:p>
    <w:p>
      <w:pPr>
        <w:keepNext w:val="0"/>
        <w:keepLines w:val="0"/>
        <w:pageBreakBefore w:val="0"/>
        <w:widowControl w:val="0"/>
        <w:kinsoku/>
        <w:wordWrap/>
        <w:overflowPunct/>
        <w:topLinePunct w:val="0"/>
        <w:autoSpaceDE/>
        <w:autoSpaceDN/>
        <w:bidi w:val="0"/>
        <w:adjustRightInd/>
        <w:snapToGrid/>
        <w:spacing w:line="480" w:lineRule="exact"/>
        <w:ind w:firstLine="1120" w:firstLineChars="400"/>
        <w:textAlignment w:val="center"/>
        <w:rPr>
          <w:rFonts w:hint="eastAsia" w:ascii="Nimbus Roman" w:hAnsi="Nimbus Roman" w:eastAsia="CESI仿宋-GB2312" w:cs="CESI仿宋-GB2312"/>
          <w:color w:val="auto"/>
          <w:szCs w:val="32"/>
        </w:rPr>
      </w:pPr>
      <w:r>
        <w:rPr>
          <w:rFonts w:hint="eastAsia" w:ascii="Nimbus Roman" w:hAnsi="Nimbus Roman" w:eastAsia="CESI仿宋-GB2312" w:cs="CESI仿宋-GB2312"/>
          <w:color w:val="auto"/>
          <w:sz w:val="28"/>
          <w:szCs w:val="28"/>
        </w:rPr>
        <w:t>区法院，区检察院。</w:t>
      </w: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480" w:lineRule="exact"/>
        <w:ind w:firstLine="280" w:firstLineChars="100"/>
        <w:textAlignment w:val="center"/>
        <w:rPr>
          <w:rFonts w:hint="eastAsia" w:ascii="Nimbus Roman" w:hAnsi="Nimbus Roman" w:eastAsia="CESI仿宋-GB2312" w:cs="CESI仿宋-GB2312"/>
          <w:color w:val="auto"/>
        </w:rPr>
      </w:pPr>
      <w:r>
        <w:rPr>
          <w:rFonts w:hint="eastAsia" w:ascii="Nimbus Roman" w:hAnsi="Nimbus Roman" w:eastAsia="CESI仿宋-GB2312" w:cs="CESI仿宋-GB2312"/>
          <w:color w:val="auto"/>
          <w:sz w:val="28"/>
          <w:szCs w:val="28"/>
        </w:rPr>
        <w:t>淄博市张店区人民政府办公室            2021年1</w:t>
      </w:r>
      <w:r>
        <w:rPr>
          <w:rFonts w:hint="eastAsia" w:ascii="Nimbus Roman" w:hAnsi="Nimbus Roman" w:eastAsia="CESI仿宋-GB2312" w:cs="CESI仿宋-GB2312"/>
          <w:color w:val="auto"/>
          <w:sz w:val="28"/>
          <w:szCs w:val="28"/>
          <w:lang w:val="en-US" w:eastAsia="zh-CN"/>
        </w:rPr>
        <w:t>2</w:t>
      </w:r>
      <w:r>
        <w:rPr>
          <w:rFonts w:hint="eastAsia" w:ascii="Nimbus Roman" w:hAnsi="Nimbus Roman" w:eastAsia="CESI仿宋-GB2312" w:cs="CESI仿宋-GB2312"/>
          <w:color w:val="auto"/>
          <w:sz w:val="28"/>
          <w:szCs w:val="28"/>
        </w:rPr>
        <w:t>月</w:t>
      </w:r>
      <w:r>
        <w:rPr>
          <w:rFonts w:hint="eastAsia" w:ascii="Nimbus Roman" w:hAnsi="Nimbus Roman" w:eastAsia="CESI仿宋-GB2312" w:cs="CESI仿宋-GB2312"/>
          <w:color w:val="auto"/>
          <w:sz w:val="28"/>
          <w:szCs w:val="28"/>
          <w:lang w:val="en-US" w:eastAsia="zh-CN"/>
        </w:rPr>
        <w:t>31</w:t>
      </w:r>
      <w:r>
        <w:rPr>
          <w:rFonts w:hint="eastAsia" w:ascii="Nimbus Roman" w:hAnsi="Nimbus Roman" w:eastAsia="CESI仿宋-GB2312" w:cs="CESI仿宋-GB2312"/>
          <w:color w:val="auto"/>
          <w:sz w:val="28"/>
          <w:szCs w:val="28"/>
        </w:rPr>
        <w:t>日印发</w:t>
      </w:r>
    </w:p>
    <w:sectPr>
      <w:pgSz w:w="11906" w:h="16838"/>
      <w:pgMar w:top="2098" w:right="1474" w:bottom="2041" w:left="1587" w:header="851" w:footer="153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宋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MingLiU">
    <w:altName w:val="宋体"/>
    <w:panose1 w:val="02020509000000000000"/>
    <w:charset w:val="88"/>
    <w:family w:val="auto"/>
    <w:pitch w:val="default"/>
    <w:sig w:usb0="00000000" w:usb1="00000000" w:usb2="00000016" w:usb3="00000000" w:csb0="00100001" w:csb1="00000000"/>
  </w:font>
  <w:font w:name="文星标宋">
    <w:altName w:val="宋体"/>
    <w:panose1 w:val="02010604000101010101"/>
    <w:charset w:val="86"/>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w:panose1 w:val="00000500000000000000"/>
    <w:charset w:val="00"/>
    <w:family w:val="auto"/>
    <w:pitch w:val="default"/>
    <w:sig w:usb0="00000287" w:usb1="00000800" w:usb2="00000000" w:usb3="00000000" w:csb0="6000009F" w:csb1="00000000"/>
  </w:font>
  <w:font w:name="方正楷体_GBK">
    <w:panose1 w:val="02000000000000000000"/>
    <w:charset w:val="86"/>
    <w:family w:val="auto"/>
    <w:pitch w:val="default"/>
    <w:sig w:usb0="A00002BF" w:usb1="38CF7CFA" w:usb2="00082016" w:usb3="00000000" w:csb0="00040001" w:csb1="00000000"/>
  </w:font>
  <w:font w:name="CESI仿宋-GB2312">
    <w:panose1 w:val="02000500000000000000"/>
    <w:charset w:val="86"/>
    <w:family w:val="auto"/>
    <w:pitch w:val="default"/>
    <w:sig w:usb0="800002AF" w:usb1="084F6CF8" w:usb2="00000010" w:usb3="00000000" w:csb0="0004000F" w:csb1="00000000"/>
  </w:font>
  <w:font w:name="Calibri Light">
    <w:altName w:val="DejaVu Sans"/>
    <w:panose1 w:val="00000000000000000000"/>
    <w:charset w:val="00"/>
    <w:family w:val="auto"/>
    <w:pitch w:val="default"/>
    <w:sig w:usb0="00000000" w:usb1="00000000" w:usb2="00000000" w:usb3="00000000" w:csb0="00000000" w:csb1="00000000"/>
  </w:font>
  <w:font w:name="CESI黑体-GB18030">
    <w:panose1 w:val="02000500000000000000"/>
    <w:charset w:val="86"/>
    <w:family w:val="auto"/>
    <w:pitch w:val="default"/>
    <w:sig w:usb0="A00002BF" w:usb1="38C77CFA" w:usb2="00000016" w:usb3="00000000" w:csb0="0004000F"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60DD9"/>
    <w:multiLevelType w:val="singleLevel"/>
    <w:tmpl w:val="85860DD9"/>
    <w:lvl w:ilvl="0" w:tentative="0">
      <w:start w:val="5"/>
      <w:numFmt w:val="chineseCounting"/>
      <w:suff w:val="space"/>
      <w:lvlText w:val="第%1章"/>
      <w:lvlJc w:val="left"/>
      <w:rPr>
        <w:rFonts w:hint="eastAsia"/>
      </w:rPr>
    </w:lvl>
  </w:abstractNum>
  <w:abstractNum w:abstractNumId="1">
    <w:nsid w:val="0C0F5992"/>
    <w:multiLevelType w:val="multilevel"/>
    <w:tmpl w:val="0C0F5992"/>
    <w:lvl w:ilvl="0" w:tentative="0">
      <w:start w:val="1"/>
      <w:numFmt w:val="japaneseCounting"/>
      <w:lvlText w:val="第%1章"/>
      <w:lvlJc w:val="left"/>
      <w:pPr>
        <w:ind w:left="1155" w:hanging="11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A8490EC"/>
    <w:multiLevelType w:val="singleLevel"/>
    <w:tmpl w:val="7A8490EC"/>
    <w:lvl w:ilvl="0" w:tentative="0">
      <w:start w:val="6"/>
      <w:numFmt w:val="chineseCounting"/>
      <w:suff w:val="space"/>
      <w:lvlText w:val="第%1条"/>
      <w:lvlJc w:val="left"/>
      <w:rPr>
        <w:rFonts w:hint="eastAsia"/>
        <w:b/>
        <w:bC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82F10"/>
    <w:rsid w:val="01B26022"/>
    <w:rsid w:val="02015201"/>
    <w:rsid w:val="02BE4BFD"/>
    <w:rsid w:val="03A9453B"/>
    <w:rsid w:val="03AC7FDB"/>
    <w:rsid w:val="03EE1720"/>
    <w:rsid w:val="045917B9"/>
    <w:rsid w:val="0658744C"/>
    <w:rsid w:val="073F66D2"/>
    <w:rsid w:val="075908BC"/>
    <w:rsid w:val="084C39EA"/>
    <w:rsid w:val="08E677D4"/>
    <w:rsid w:val="098E7FBC"/>
    <w:rsid w:val="0A75563E"/>
    <w:rsid w:val="0BD97FFA"/>
    <w:rsid w:val="0C471E7E"/>
    <w:rsid w:val="0CD80BFD"/>
    <w:rsid w:val="0D84498F"/>
    <w:rsid w:val="0E631D43"/>
    <w:rsid w:val="0E6D4F9D"/>
    <w:rsid w:val="1091349D"/>
    <w:rsid w:val="10941D38"/>
    <w:rsid w:val="109C70F4"/>
    <w:rsid w:val="117925C3"/>
    <w:rsid w:val="125D6A2E"/>
    <w:rsid w:val="133F7185"/>
    <w:rsid w:val="13D1398E"/>
    <w:rsid w:val="14423EEC"/>
    <w:rsid w:val="147F3239"/>
    <w:rsid w:val="150352FE"/>
    <w:rsid w:val="15C0760A"/>
    <w:rsid w:val="15F04635"/>
    <w:rsid w:val="1932687E"/>
    <w:rsid w:val="1A1017A5"/>
    <w:rsid w:val="1AF847A9"/>
    <w:rsid w:val="1BC15F04"/>
    <w:rsid w:val="1CD03BC5"/>
    <w:rsid w:val="1D8835DD"/>
    <w:rsid w:val="1EA2430C"/>
    <w:rsid w:val="1EB56853"/>
    <w:rsid w:val="1F2C6134"/>
    <w:rsid w:val="1FAB53F9"/>
    <w:rsid w:val="21211FF1"/>
    <w:rsid w:val="21AF6F22"/>
    <w:rsid w:val="22F36668"/>
    <w:rsid w:val="235B7A3E"/>
    <w:rsid w:val="24476DEC"/>
    <w:rsid w:val="24E502D7"/>
    <w:rsid w:val="25B43DAB"/>
    <w:rsid w:val="26313873"/>
    <w:rsid w:val="26CB110F"/>
    <w:rsid w:val="27A70EBD"/>
    <w:rsid w:val="28A85659"/>
    <w:rsid w:val="29C96F86"/>
    <w:rsid w:val="2A5253EB"/>
    <w:rsid w:val="2ACD66B9"/>
    <w:rsid w:val="2CCC7CBC"/>
    <w:rsid w:val="2D763A74"/>
    <w:rsid w:val="2E444456"/>
    <w:rsid w:val="2EB62F6E"/>
    <w:rsid w:val="30322996"/>
    <w:rsid w:val="30766691"/>
    <w:rsid w:val="30A17B24"/>
    <w:rsid w:val="31AD16AF"/>
    <w:rsid w:val="32850736"/>
    <w:rsid w:val="33880BDE"/>
    <w:rsid w:val="34CE019C"/>
    <w:rsid w:val="35370171"/>
    <w:rsid w:val="355A280A"/>
    <w:rsid w:val="3781077F"/>
    <w:rsid w:val="37B61853"/>
    <w:rsid w:val="38645252"/>
    <w:rsid w:val="386F402C"/>
    <w:rsid w:val="38DB1717"/>
    <w:rsid w:val="38F56E47"/>
    <w:rsid w:val="390271FE"/>
    <w:rsid w:val="3A020A68"/>
    <w:rsid w:val="3A5379CD"/>
    <w:rsid w:val="3AAE5EA6"/>
    <w:rsid w:val="3DB0071B"/>
    <w:rsid w:val="3E392C81"/>
    <w:rsid w:val="3EEC568A"/>
    <w:rsid w:val="3FAF5369"/>
    <w:rsid w:val="40D059C4"/>
    <w:rsid w:val="4125716F"/>
    <w:rsid w:val="41EC15A3"/>
    <w:rsid w:val="42123F2C"/>
    <w:rsid w:val="427869F1"/>
    <w:rsid w:val="42D67CE1"/>
    <w:rsid w:val="43955B0C"/>
    <w:rsid w:val="43C67C03"/>
    <w:rsid w:val="44272E19"/>
    <w:rsid w:val="457D188A"/>
    <w:rsid w:val="467F547C"/>
    <w:rsid w:val="46BF783D"/>
    <w:rsid w:val="47034E0B"/>
    <w:rsid w:val="4904511D"/>
    <w:rsid w:val="495E637D"/>
    <w:rsid w:val="4AF72545"/>
    <w:rsid w:val="4B9E7814"/>
    <w:rsid w:val="4C9E0283"/>
    <w:rsid w:val="4DD802C7"/>
    <w:rsid w:val="4E0405F0"/>
    <w:rsid w:val="4E175711"/>
    <w:rsid w:val="4EE773B2"/>
    <w:rsid w:val="4F6F45A0"/>
    <w:rsid w:val="50894C08"/>
    <w:rsid w:val="5125072E"/>
    <w:rsid w:val="51AF26D7"/>
    <w:rsid w:val="524A0B54"/>
    <w:rsid w:val="52A6404D"/>
    <w:rsid w:val="55052BAC"/>
    <w:rsid w:val="572469E3"/>
    <w:rsid w:val="57833A75"/>
    <w:rsid w:val="57F4754E"/>
    <w:rsid w:val="59F04BEF"/>
    <w:rsid w:val="5CA16C8E"/>
    <w:rsid w:val="5D143F8E"/>
    <w:rsid w:val="5D442F33"/>
    <w:rsid w:val="5D5C6115"/>
    <w:rsid w:val="5E064D2F"/>
    <w:rsid w:val="5E3351DA"/>
    <w:rsid w:val="5F1640A8"/>
    <w:rsid w:val="60B05B60"/>
    <w:rsid w:val="611B652F"/>
    <w:rsid w:val="61EE7351"/>
    <w:rsid w:val="63BA7E31"/>
    <w:rsid w:val="63BB2719"/>
    <w:rsid w:val="65B327D3"/>
    <w:rsid w:val="67387972"/>
    <w:rsid w:val="6BC3052E"/>
    <w:rsid w:val="6BE25095"/>
    <w:rsid w:val="6BE951B8"/>
    <w:rsid w:val="6C2D7EBD"/>
    <w:rsid w:val="6DA07317"/>
    <w:rsid w:val="6DF45ADA"/>
    <w:rsid w:val="6F116BFE"/>
    <w:rsid w:val="7064654E"/>
    <w:rsid w:val="70855834"/>
    <w:rsid w:val="717615F1"/>
    <w:rsid w:val="71D03D15"/>
    <w:rsid w:val="72D45F5E"/>
    <w:rsid w:val="73D97608"/>
    <w:rsid w:val="740626D5"/>
    <w:rsid w:val="747635CF"/>
    <w:rsid w:val="749A49FA"/>
    <w:rsid w:val="76D44F90"/>
    <w:rsid w:val="77D0436D"/>
    <w:rsid w:val="77FF6BC5"/>
    <w:rsid w:val="7B015469"/>
    <w:rsid w:val="7B652283"/>
    <w:rsid w:val="7C157FFD"/>
    <w:rsid w:val="7D336893"/>
    <w:rsid w:val="7DA35141"/>
    <w:rsid w:val="7DDB21BB"/>
    <w:rsid w:val="7E3232B6"/>
    <w:rsid w:val="7EFA04E4"/>
    <w:rsid w:val="F1FF527A"/>
    <w:rsid w:val="F7EF2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link w:val="10"/>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napToGrid w:val="0"/>
      <w:spacing w:line="640" w:lineRule="exact"/>
      <w:ind w:firstLine="705"/>
    </w:pPr>
    <w:rPr>
      <w:rFonts w:ascii="仿宋_GB2312" w:eastAsia="仿宋_GB2312"/>
      <w:color w:val="000000"/>
      <w:sz w:val="36"/>
      <w:szCs w:val="36"/>
    </w:rPr>
  </w:style>
  <w:style w:type="paragraph" w:styleId="3">
    <w:name w:val="Plain Text"/>
    <w:basedOn w:val="1"/>
    <w:qFormat/>
    <w:uiPriority w:val="0"/>
    <w:rPr>
      <w:rFonts w:ascii="宋体" w:hAnsi="Courier New"/>
      <w:szCs w:val="20"/>
    </w:rPr>
  </w:style>
  <w:style w:type="paragraph" w:styleId="4">
    <w:name w:val="footer"/>
    <w:basedOn w:val="1"/>
    <w:unhideWhenUsed/>
    <w:qFormat/>
    <w:uiPriority w:val="99"/>
    <w:pPr>
      <w:tabs>
        <w:tab w:val="center" w:pos="4153"/>
        <w:tab w:val="right" w:pos="8306"/>
      </w:tabs>
      <w:snapToGrid w:val="0"/>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 Char Char Char Char Char Char"/>
    <w:basedOn w:val="1"/>
    <w:link w:val="9"/>
    <w:qFormat/>
    <w:uiPriority w:val="0"/>
    <w:pPr>
      <w:widowControl/>
      <w:spacing w:after="160" w:afterLines="0" w:line="240" w:lineRule="exact"/>
      <w:ind w:firstLine="980" w:firstLineChars="350"/>
      <w:jc w:val="left"/>
    </w:pPr>
  </w:style>
  <w:style w:type="character" w:styleId="11">
    <w:name w:val="Strong"/>
    <w:basedOn w:val="9"/>
    <w:qFormat/>
    <w:uiPriority w:val="0"/>
    <w:rPr>
      <w:b/>
    </w:rPr>
  </w:style>
  <w:style w:type="character" w:styleId="12">
    <w:name w:val="page number"/>
    <w:basedOn w:val="9"/>
    <w:qFormat/>
    <w:uiPriority w:val="0"/>
    <w:rPr>
      <w:rFonts w:ascii="Times New Roman" w:eastAsia="宋体"/>
      <w:color w:val="000000"/>
      <w:sz w:val="21"/>
      <w:u w:val="none" w:color="000000"/>
      <w:vertAlign w:val="baseline"/>
      <w:lang w:val="en-US" w:eastAsia="zh-CN"/>
    </w:rPr>
  </w:style>
  <w:style w:type="paragraph" w:customStyle="1" w:styleId="13">
    <w:name w:val="Default"/>
    <w:qFormat/>
    <w:uiPriority w:val="99"/>
    <w:pPr>
      <w:widowControl w:val="0"/>
      <w:autoSpaceDE w:val="0"/>
      <w:autoSpaceDN w:val="0"/>
      <w:adjustRightInd w:val="0"/>
    </w:pPr>
    <w:rPr>
      <w:rFonts w:ascii="方正小标宋简体" w:hAnsi="方正小标宋简体" w:eastAsia="方正小标宋简体" w:cs="方正小标宋简体"/>
      <w:color w:val="000000"/>
      <w:sz w:val="24"/>
      <w:szCs w:val="24"/>
      <w:lang w:val="en-US" w:eastAsia="zh-CN" w:bidi="ar-SA"/>
    </w:rPr>
  </w:style>
  <w:style w:type="paragraph" w:styleId="14">
    <w:name w:val="List Paragraph"/>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character" w:customStyle="1" w:styleId="15">
    <w:name w:val="font11"/>
    <w:basedOn w:val="9"/>
    <w:qFormat/>
    <w:uiPriority w:val="0"/>
    <w:rPr>
      <w:rFonts w:hint="default" w:ascii="MingLiU" w:hAnsi="MingLiU" w:eastAsia="MingLiU" w:cs="MingLiU"/>
      <w:color w:val="000000"/>
      <w:sz w:val="20"/>
      <w:szCs w:val="20"/>
      <w:u w:val="none"/>
    </w:rPr>
  </w:style>
  <w:style w:type="character" w:customStyle="1" w:styleId="16">
    <w:name w:val="font21"/>
    <w:basedOn w:val="9"/>
    <w:qFormat/>
    <w:uiPriority w:val="0"/>
    <w:rPr>
      <w:rFonts w:hint="default" w:ascii="MingLiU" w:hAnsi="MingLiU" w:eastAsia="MingLiU" w:cs="MingLiU"/>
      <w:color w:val="000000"/>
      <w:sz w:val="18"/>
      <w:szCs w:val="18"/>
      <w:u w:val="none"/>
    </w:rPr>
  </w:style>
  <w:style w:type="character" w:customStyle="1" w:styleId="17">
    <w:name w:val="font31"/>
    <w:basedOn w:val="9"/>
    <w:qFormat/>
    <w:uiPriority w:val="0"/>
    <w:rPr>
      <w:rFonts w:hint="default" w:ascii="Arial" w:hAnsi="Arial" w:cs="Arial"/>
      <w:color w:val="000000"/>
      <w:sz w:val="16"/>
      <w:szCs w:val="16"/>
      <w:u w:val="none"/>
    </w:rPr>
  </w:style>
  <w:style w:type="character" w:customStyle="1" w:styleId="18">
    <w:name w:val="font41"/>
    <w:basedOn w:val="9"/>
    <w:qFormat/>
    <w:uiPriority w:val="0"/>
    <w:rPr>
      <w:rFonts w:hint="default" w:ascii="Arial" w:hAnsi="Arial" w:cs="Arial"/>
      <w:color w:val="000000"/>
      <w:sz w:val="16"/>
      <w:szCs w:val="16"/>
      <w:u w:val="none"/>
    </w:rPr>
  </w:style>
  <w:style w:type="character" w:customStyle="1" w:styleId="19">
    <w:name w:val="font51"/>
    <w:basedOn w:val="9"/>
    <w:qFormat/>
    <w:uiPriority w:val="0"/>
    <w:rPr>
      <w:rFonts w:hint="default" w:ascii="Arial" w:hAnsi="Arial" w:cs="Arial"/>
      <w:i/>
      <w:iCs/>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6250</Words>
  <Characters>6774</Characters>
  <Lines>0</Lines>
  <Paragraphs>0</Paragraphs>
  <TotalTime>12</TotalTime>
  <ScaleCrop>false</ScaleCrop>
  <LinksUpToDate>false</LinksUpToDate>
  <CharactersWithSpaces>6893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2021-09-21T07:23:00Z</dcterms:created>
  <dc:creator>slw</dc:creator>
  <cp:lastModifiedBy>user</cp:lastModifiedBy>
  <cp:lastPrinted>2022-01-08T22:35:00Z</cp:lastPrinted>
  <dcterms:modified xsi:type="dcterms:W3CDTF">2022-01-13T09:56:50Z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C64065E3D3D84F3697FD0DD1DB147E77</vt:lpwstr>
  </property>
</Properties>
</file>