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widowControl/>
        <w:shd w:val="clear" w:color="auto" w:fill="FFFFFF"/>
        <w:spacing w:beforeAutospacing="0" w:afterAutospacing="0" w:line="620" w:lineRule="exact"/>
        <w:jc w:val="center"/>
        <w:rPr>
          <w:rFonts w:ascii="方正小标宋简体" w:hAnsi="方正小标宋简体" w:eastAsia="方正小标宋简体" w:cs="Times New Roman"/>
          <w:color w:val="333333"/>
          <w:sz w:val="44"/>
          <w:szCs w:val="44"/>
          <w:shd w:val="clear" w:color="auto" w:fill="FFFFFF"/>
        </w:rPr>
      </w:pPr>
      <w:r>
        <w:rPr>
          <w:rFonts w:hint="eastAsia" w:ascii="方正小标宋简体" w:hAnsi="方正小标宋简体" w:eastAsia="方正小标宋简体" w:cs="方正小标宋简体"/>
          <w:color w:val="333333"/>
          <w:sz w:val="44"/>
          <w:szCs w:val="44"/>
          <w:shd w:val="clear" w:color="auto" w:fill="FFFFFF"/>
        </w:rPr>
        <w:t>淄博市张店区人民政府</w:t>
      </w:r>
    </w:p>
    <w:p>
      <w:pPr>
        <w:pStyle w:val="5"/>
        <w:widowControl/>
        <w:shd w:val="clear" w:color="auto" w:fill="FFFFFF"/>
        <w:spacing w:beforeAutospacing="0" w:afterAutospacing="0" w:line="620" w:lineRule="exact"/>
        <w:jc w:val="center"/>
        <w:rPr>
          <w:rFonts w:ascii="方正小标宋简体" w:hAnsi="方正小标宋简体" w:eastAsia="方正小标宋简体" w:cs="Times New Roman"/>
          <w:color w:val="333333"/>
          <w:sz w:val="44"/>
          <w:szCs w:val="44"/>
        </w:rPr>
      </w:pPr>
      <w:r>
        <w:rPr>
          <w:rFonts w:ascii="方正小标宋简体" w:hAnsi="方正小标宋简体" w:eastAsia="方正小标宋简体" w:cs="方正小标宋简体"/>
          <w:color w:val="333333"/>
          <w:sz w:val="44"/>
          <w:szCs w:val="44"/>
          <w:shd w:val="clear" w:color="auto" w:fill="FFFFFF"/>
        </w:rPr>
        <w:t>2019</w:t>
      </w:r>
      <w:r>
        <w:rPr>
          <w:rFonts w:hint="eastAsia" w:ascii="方正小标宋简体" w:hAnsi="方正小标宋简体" w:eastAsia="方正小标宋简体" w:cs="方正小标宋简体"/>
          <w:color w:val="333333"/>
          <w:sz w:val="44"/>
          <w:szCs w:val="44"/>
          <w:shd w:val="clear" w:color="auto" w:fill="FFFFFF"/>
        </w:rPr>
        <w:t>年政府信息公开工作年度报告</w:t>
      </w:r>
    </w:p>
    <w:p>
      <w:pPr>
        <w:pStyle w:val="5"/>
        <w:widowControl/>
        <w:shd w:val="clear" w:color="auto" w:fill="FFFFFF"/>
        <w:spacing w:beforeAutospacing="0" w:afterAutospacing="0" w:line="620" w:lineRule="exact"/>
        <w:ind w:firstLine="420"/>
        <w:jc w:val="both"/>
        <w:rPr>
          <w:rFonts w:ascii="宋体" w:cs="Times New Roman"/>
          <w:color w:val="333333"/>
          <w:sz w:val="28"/>
          <w:szCs w:val="28"/>
        </w:rPr>
      </w:pPr>
    </w:p>
    <w:p>
      <w:pPr>
        <w:pStyle w:val="5"/>
        <w:widowControl/>
        <w:shd w:val="clear" w:color="auto" w:fill="FFFFFF"/>
        <w:spacing w:beforeAutospacing="0" w:afterAutospacing="0" w:line="620" w:lineRule="exact"/>
        <w:ind w:firstLine="640"/>
        <w:jc w:val="both"/>
        <w:rPr>
          <w:rFonts w:ascii="仿宋" w:hAnsi="仿宋" w:eastAsia="仿宋" w:cs="Times New Roman"/>
          <w:color w:val="333333"/>
          <w:sz w:val="32"/>
          <w:szCs w:val="32"/>
          <w:shd w:val="clear" w:color="auto" w:fill="FFFFFF"/>
        </w:rPr>
      </w:pPr>
      <w:r>
        <w:rPr>
          <w:rFonts w:hint="eastAsia" w:ascii="仿宋" w:hAnsi="仿宋" w:eastAsia="仿宋" w:cs="仿宋"/>
          <w:color w:val="333333"/>
          <w:sz w:val="32"/>
          <w:szCs w:val="32"/>
          <w:shd w:val="clear" w:color="auto" w:fill="FFFFFF"/>
        </w:rPr>
        <w:t>本报告是根据《中华人民共和国政府信息公开条例》（以下简称《条例》）要求</w:t>
      </w:r>
      <w:r>
        <w:rPr>
          <w:rFonts w:ascii="仿宋" w:hAnsi="仿宋" w:eastAsia="仿宋" w:cs="仿宋"/>
          <w:color w:val="333333"/>
          <w:sz w:val="32"/>
          <w:szCs w:val="32"/>
          <w:shd w:val="clear" w:color="auto" w:fill="FFFFFF"/>
        </w:rPr>
        <w:t>,</w:t>
      </w:r>
      <w:r>
        <w:rPr>
          <w:rFonts w:hint="eastAsia" w:ascii="仿宋" w:hAnsi="仿宋" w:eastAsia="仿宋" w:cs="仿宋"/>
          <w:color w:val="333333"/>
          <w:sz w:val="32"/>
          <w:szCs w:val="32"/>
          <w:shd w:val="clear" w:color="auto" w:fill="FFFFFF"/>
        </w:rPr>
        <w:t>由淄博市张店区人民政府办公室编制。本年度报告中所列数据的统计期限自</w:t>
      </w:r>
      <w:r>
        <w:rPr>
          <w:rFonts w:ascii="仿宋" w:hAnsi="仿宋" w:eastAsia="仿宋" w:cs="仿宋"/>
          <w:color w:val="333333"/>
          <w:sz w:val="32"/>
          <w:szCs w:val="32"/>
          <w:shd w:val="clear" w:color="auto" w:fill="FFFFFF"/>
        </w:rPr>
        <w:t>2019</w:t>
      </w:r>
      <w:r>
        <w:rPr>
          <w:rFonts w:hint="eastAsia" w:ascii="仿宋" w:hAnsi="仿宋" w:eastAsia="仿宋" w:cs="仿宋"/>
          <w:color w:val="333333"/>
          <w:sz w:val="32"/>
          <w:szCs w:val="32"/>
          <w:shd w:val="clear" w:color="auto" w:fill="FFFFFF"/>
        </w:rPr>
        <w:t>年</w:t>
      </w:r>
      <w:r>
        <w:rPr>
          <w:rFonts w:ascii="仿宋" w:hAnsi="仿宋" w:eastAsia="仿宋" w:cs="仿宋"/>
          <w:color w:val="333333"/>
          <w:sz w:val="32"/>
          <w:szCs w:val="32"/>
          <w:shd w:val="clear" w:color="auto" w:fill="FFFFFF"/>
        </w:rPr>
        <w:t>1</w:t>
      </w:r>
      <w:r>
        <w:rPr>
          <w:rFonts w:hint="eastAsia" w:ascii="仿宋" w:hAnsi="仿宋" w:eastAsia="仿宋" w:cs="仿宋"/>
          <w:color w:val="333333"/>
          <w:sz w:val="32"/>
          <w:szCs w:val="32"/>
          <w:shd w:val="clear" w:color="auto" w:fill="FFFFFF"/>
        </w:rPr>
        <w:t>月</w:t>
      </w:r>
      <w:r>
        <w:rPr>
          <w:rFonts w:ascii="仿宋" w:hAnsi="仿宋" w:eastAsia="仿宋" w:cs="仿宋"/>
          <w:color w:val="333333"/>
          <w:sz w:val="32"/>
          <w:szCs w:val="32"/>
          <w:shd w:val="clear" w:color="auto" w:fill="FFFFFF"/>
        </w:rPr>
        <w:t>1</w:t>
      </w:r>
      <w:r>
        <w:rPr>
          <w:rFonts w:hint="eastAsia" w:ascii="仿宋" w:hAnsi="仿宋" w:eastAsia="仿宋" w:cs="仿宋"/>
          <w:color w:val="333333"/>
          <w:sz w:val="32"/>
          <w:szCs w:val="32"/>
          <w:shd w:val="clear" w:color="auto" w:fill="FFFFFF"/>
        </w:rPr>
        <w:t>日起至</w:t>
      </w:r>
      <w:r>
        <w:rPr>
          <w:rFonts w:ascii="仿宋" w:hAnsi="仿宋" w:eastAsia="仿宋" w:cs="仿宋"/>
          <w:color w:val="333333"/>
          <w:sz w:val="32"/>
          <w:szCs w:val="32"/>
          <w:shd w:val="clear" w:color="auto" w:fill="FFFFFF"/>
        </w:rPr>
        <w:t>12</w:t>
      </w:r>
      <w:r>
        <w:rPr>
          <w:rFonts w:hint="eastAsia" w:ascii="仿宋" w:hAnsi="仿宋" w:eastAsia="仿宋" w:cs="仿宋"/>
          <w:color w:val="333333"/>
          <w:sz w:val="32"/>
          <w:szCs w:val="32"/>
          <w:shd w:val="clear" w:color="auto" w:fill="FFFFFF"/>
        </w:rPr>
        <w:t>月</w:t>
      </w:r>
      <w:r>
        <w:rPr>
          <w:rFonts w:ascii="仿宋" w:hAnsi="仿宋" w:eastAsia="仿宋" w:cs="仿宋"/>
          <w:color w:val="333333"/>
          <w:sz w:val="32"/>
          <w:szCs w:val="32"/>
          <w:shd w:val="clear" w:color="auto" w:fill="FFFFFF"/>
        </w:rPr>
        <w:t>31</w:t>
      </w:r>
      <w:r>
        <w:rPr>
          <w:rFonts w:hint="eastAsia" w:ascii="仿宋" w:hAnsi="仿宋" w:eastAsia="仿宋" w:cs="仿宋"/>
          <w:color w:val="333333"/>
          <w:sz w:val="32"/>
          <w:szCs w:val="32"/>
          <w:shd w:val="clear" w:color="auto" w:fill="FFFFFF"/>
        </w:rPr>
        <w:t>日止。本报告电子版可在淄博市张店区人民政府门户网站查阅或下载（网址：</w:t>
      </w:r>
      <w:r>
        <w:rPr>
          <w:rFonts w:ascii="仿宋" w:hAnsi="仿宋" w:eastAsia="仿宋" w:cs="仿宋"/>
          <w:color w:val="333333"/>
          <w:sz w:val="32"/>
          <w:szCs w:val="32"/>
          <w:shd w:val="clear" w:color="auto" w:fill="FFFFFF"/>
        </w:rPr>
        <w:t>www.zhangdian.gov.cn</w:t>
      </w:r>
      <w:r>
        <w:rPr>
          <w:rFonts w:hint="eastAsia" w:ascii="仿宋" w:hAnsi="仿宋" w:eastAsia="仿宋" w:cs="仿宋"/>
          <w:color w:val="333333"/>
          <w:sz w:val="32"/>
          <w:szCs w:val="32"/>
          <w:shd w:val="clear" w:color="auto" w:fill="FFFFFF"/>
        </w:rPr>
        <w:t>）。如对报告内容有疑问，请与张店区人民政府办公室联系（地址：张店区新村西路</w:t>
      </w:r>
      <w:r>
        <w:rPr>
          <w:rFonts w:ascii="仿宋" w:hAnsi="仿宋" w:eastAsia="仿宋" w:cs="仿宋"/>
          <w:color w:val="333333"/>
          <w:sz w:val="32"/>
          <w:szCs w:val="32"/>
          <w:shd w:val="clear" w:color="auto" w:fill="FFFFFF"/>
        </w:rPr>
        <w:t>226</w:t>
      </w:r>
      <w:r>
        <w:rPr>
          <w:rFonts w:hint="eastAsia" w:ascii="仿宋" w:hAnsi="仿宋" w:eastAsia="仿宋" w:cs="仿宋"/>
          <w:color w:val="333333"/>
          <w:sz w:val="32"/>
          <w:szCs w:val="32"/>
          <w:shd w:val="clear" w:color="auto" w:fill="FFFFFF"/>
        </w:rPr>
        <w:t>号区政务中心</w:t>
      </w:r>
      <w:r>
        <w:rPr>
          <w:rFonts w:ascii="仿宋" w:hAnsi="仿宋" w:eastAsia="仿宋" w:cs="仿宋"/>
          <w:color w:val="333333"/>
          <w:sz w:val="32"/>
          <w:szCs w:val="32"/>
          <w:shd w:val="clear" w:color="auto" w:fill="FFFFFF"/>
        </w:rPr>
        <w:t>;</w:t>
      </w:r>
      <w:r>
        <w:rPr>
          <w:rFonts w:hint="eastAsia" w:ascii="仿宋" w:hAnsi="仿宋" w:eastAsia="仿宋" w:cs="仿宋"/>
          <w:color w:val="333333"/>
          <w:sz w:val="32"/>
          <w:szCs w:val="32"/>
          <w:shd w:val="clear" w:color="auto" w:fill="FFFFFF"/>
        </w:rPr>
        <w:t>邮编</w:t>
      </w:r>
      <w:r>
        <w:rPr>
          <w:rFonts w:ascii="仿宋" w:hAnsi="仿宋" w:eastAsia="仿宋" w:cs="仿宋"/>
          <w:color w:val="333333"/>
          <w:sz w:val="32"/>
          <w:szCs w:val="32"/>
          <w:shd w:val="clear" w:color="auto" w:fill="FFFFFF"/>
        </w:rPr>
        <w:t>:255020;</w:t>
      </w:r>
      <w:r>
        <w:rPr>
          <w:rFonts w:hint="eastAsia" w:ascii="仿宋" w:hAnsi="仿宋" w:eastAsia="仿宋" w:cs="仿宋"/>
          <w:color w:val="333333"/>
          <w:sz w:val="32"/>
          <w:szCs w:val="32"/>
          <w:shd w:val="clear" w:color="auto" w:fill="FFFFFF"/>
        </w:rPr>
        <w:t>电话</w:t>
      </w:r>
      <w:r>
        <w:rPr>
          <w:rFonts w:ascii="仿宋" w:hAnsi="仿宋" w:eastAsia="仿宋" w:cs="仿宋"/>
          <w:color w:val="333333"/>
          <w:sz w:val="32"/>
          <w:szCs w:val="32"/>
          <w:shd w:val="clear" w:color="auto" w:fill="FFFFFF"/>
        </w:rPr>
        <w:t>:0533-2869836</w:t>
      </w:r>
      <w:r>
        <w:rPr>
          <w:rFonts w:hint="eastAsia" w:ascii="仿宋" w:hAnsi="仿宋" w:eastAsia="仿宋" w:cs="仿宋"/>
          <w:color w:val="333333"/>
          <w:sz w:val="32"/>
          <w:szCs w:val="32"/>
          <w:shd w:val="clear" w:color="auto" w:fill="FFFFFF"/>
        </w:rPr>
        <w:t>）。</w:t>
      </w:r>
    </w:p>
    <w:p>
      <w:pPr>
        <w:rPr>
          <w:rFonts w:ascii="黑体" w:hAnsi="黑体" w:eastAsia="黑体" w:cs="Times New Roman"/>
          <w:sz w:val="32"/>
          <w:szCs w:val="32"/>
        </w:rPr>
      </w:pPr>
      <w:r>
        <w:rPr>
          <w:rFonts w:ascii="仿宋" w:hAnsi="仿宋" w:eastAsia="仿宋" w:cs="仿宋"/>
          <w:sz w:val="32"/>
          <w:szCs w:val="32"/>
        </w:rPr>
        <w:t xml:space="preserve">    </w:t>
      </w:r>
      <w:r>
        <w:rPr>
          <w:rFonts w:hint="eastAsia" w:ascii="黑体" w:hAnsi="黑体" w:eastAsia="黑体" w:cs="黑体"/>
          <w:sz w:val="32"/>
          <w:szCs w:val="32"/>
        </w:rPr>
        <w:t>一、基本情况</w:t>
      </w:r>
    </w:p>
    <w:p>
      <w:pPr>
        <w:autoSpaceDE w:val="0"/>
        <w:autoSpaceDN w:val="0"/>
        <w:adjustRightInd w:val="0"/>
        <w:jc w:val="left"/>
        <w:rPr>
          <w:rFonts w:ascii="仿宋" w:hAnsi="仿宋" w:eastAsia="仿宋" w:cs="Times New Roman"/>
          <w:sz w:val="32"/>
          <w:szCs w:val="32"/>
        </w:rPr>
      </w:pPr>
      <w:r>
        <w:rPr>
          <w:rFonts w:ascii="仿宋" w:hAnsi="仿宋" w:eastAsia="仿宋" w:cs="仿宋"/>
          <w:sz w:val="32"/>
          <w:szCs w:val="32"/>
        </w:rPr>
        <w:t xml:space="preserve">    2019</w:t>
      </w:r>
      <w:r>
        <w:rPr>
          <w:rFonts w:hint="eastAsia" w:ascii="仿宋" w:hAnsi="仿宋" w:eastAsia="仿宋" w:cs="仿宋"/>
          <w:sz w:val="32"/>
          <w:szCs w:val="32"/>
        </w:rPr>
        <w:t>年，张店区坚持以习近平新时代中国特色社会主义思想为指导，按照市委“五个转变”的工作要求，坚持落实“三三四”重点工作部署，把政务公开工作作为提高政府工作透明度、保证公民合法权益、促进依法行政的重要举措，以新修订的《条例》为指引，以公开、便民、勤政、廉洁、高效为基本要求，进一步</w:t>
      </w:r>
      <w:r>
        <w:rPr>
          <w:rFonts w:hint="eastAsia" w:ascii="仿宋" w:hAnsi="仿宋" w:eastAsia="仿宋" w:cs="仿宋"/>
          <w:kern w:val="0"/>
          <w:sz w:val="32"/>
          <w:szCs w:val="32"/>
        </w:rPr>
        <w:t>推进决策、执行、管理、服务、结果公开，提高行政效能，优化政务服务，</w:t>
      </w:r>
      <w:r>
        <w:rPr>
          <w:rFonts w:hint="eastAsia" w:ascii="仿宋" w:hAnsi="仿宋" w:eastAsia="仿宋" w:cs="仿宋"/>
          <w:sz w:val="32"/>
          <w:szCs w:val="32"/>
        </w:rPr>
        <w:t>更好保障人民群众的知情权、参与权、表达权和监督权，人民群众的获得感、幸福感和安全感显著增强。</w:t>
      </w:r>
    </w:p>
    <w:p>
      <w:pPr>
        <w:spacing w:line="600" w:lineRule="exact"/>
        <w:ind w:firstLine="640" w:firstLineChars="200"/>
        <w:rPr>
          <w:rFonts w:ascii="仿宋" w:hAnsi="仿宋" w:eastAsia="仿宋" w:cs="Times New Roman"/>
          <w:sz w:val="32"/>
          <w:szCs w:val="32"/>
        </w:rPr>
      </w:pPr>
      <w:r>
        <w:rPr>
          <w:rFonts w:ascii="楷体" w:hAnsi="楷体" w:eastAsia="楷体" w:cs="楷体"/>
          <w:sz w:val="32"/>
          <w:szCs w:val="32"/>
        </w:rPr>
        <w:t>1</w:t>
      </w:r>
      <w:r>
        <w:rPr>
          <w:rFonts w:hint="eastAsia" w:ascii="楷体" w:hAnsi="楷体" w:eastAsia="楷体" w:cs="楷体"/>
          <w:sz w:val="32"/>
          <w:szCs w:val="32"/>
        </w:rPr>
        <w:t>、完善政务公开工作体制机制。</w:t>
      </w:r>
      <w:r>
        <w:rPr>
          <w:rFonts w:hint="eastAsia" w:ascii="仿宋" w:hAnsi="仿宋" w:eastAsia="仿宋" w:cs="仿宋"/>
          <w:sz w:val="32"/>
          <w:szCs w:val="32"/>
        </w:rPr>
        <w:t>一是结合党政机构改革，调整了区政府办公室电子政务办公室的名称和职责，名称调整为政务公开科，职责为政务公开和大数据相关工作。为做好政务公开工作的推进，根据上级文件要求及时</w:t>
      </w:r>
      <w:r>
        <w:pict>
          <v:shape id="_x0000_s1026" o:spid="_x0000_s1026" o:spt="75" type="#_x0000_t75" style="position:absolute;left:0pt;margin-left:0.3pt;margin-top:100.65pt;height:203.55pt;width:287.3pt;mso-wrap-distance-bottom:0pt;mso-wrap-distance-left:9pt;mso-wrap-distance-right:9pt;mso-wrap-distance-top:0pt;z-index:1024;mso-width-relative:page;mso-height-relative:page;" filled="f" o:preferrelative="t" stroked="f" coordsize="21600,21600">
            <v:path/>
            <v:fill on="f" focussize="0,0"/>
            <v:stroke on="f" joinstyle="miter"/>
            <v:imagedata r:id="rId5" o:title=""/>
            <o:lock v:ext="edit" aspectratio="t"/>
            <w10:wrap type="square"/>
          </v:shape>
        </w:pict>
      </w:r>
      <w:r>
        <w:rPr>
          <w:rFonts w:hint="eastAsia" w:ascii="仿宋" w:hAnsi="仿宋" w:eastAsia="仿宋" w:cs="仿宋"/>
          <w:sz w:val="32"/>
          <w:szCs w:val="32"/>
        </w:rPr>
        <w:t>成立张店区政务公开领导小组，对成员单位进行了扩充。各镇、街道和区政府各部门均及时调整或成立了本单位的政务公开领导小组，明确了分管领导、业务科室和具体工作人员，进一步理顺了全区政务公开工作立体化协调、推进和落实机制。二是进一步完善考核机制，有效发挥考核的导向作用。在全区经济社会发展综合考核中进一步明确了政务公开工作的比重，严格落实中央、省、市文件规定的分值不低于</w:t>
      </w:r>
      <w:r>
        <w:rPr>
          <w:rFonts w:ascii="仿宋" w:hAnsi="仿宋" w:eastAsia="仿宋" w:cs="仿宋"/>
          <w:sz w:val="32"/>
          <w:szCs w:val="32"/>
        </w:rPr>
        <w:t>4%</w:t>
      </w:r>
      <w:r>
        <w:rPr>
          <w:rFonts w:hint="eastAsia" w:ascii="仿宋" w:hAnsi="仿宋" w:eastAsia="仿宋" w:cs="仿宋"/>
          <w:sz w:val="32"/>
          <w:szCs w:val="32"/>
        </w:rPr>
        <w:t>要求，并在“目标完成”指标中明确政务公开</w:t>
      </w:r>
      <w:r>
        <w:rPr>
          <w:rFonts w:ascii="仿宋" w:hAnsi="仿宋" w:eastAsia="仿宋" w:cs="仿宋"/>
          <w:sz w:val="32"/>
          <w:szCs w:val="32"/>
        </w:rPr>
        <w:t>40</w:t>
      </w:r>
      <w:r>
        <w:rPr>
          <w:rFonts w:hint="eastAsia" w:ascii="仿宋" w:hAnsi="仿宋" w:eastAsia="仿宋" w:cs="仿宋"/>
          <w:sz w:val="32"/>
          <w:szCs w:val="32"/>
        </w:rPr>
        <w:t>分分值不可更改。三是按照国办、省、市政务公开工作要点要求，结合实际制定下发了《</w:t>
      </w:r>
      <w:r>
        <w:rPr>
          <w:rFonts w:ascii="仿宋" w:hAnsi="仿宋" w:eastAsia="仿宋" w:cs="仿宋"/>
          <w:sz w:val="32"/>
          <w:szCs w:val="32"/>
        </w:rPr>
        <w:t>2019</w:t>
      </w:r>
      <w:r>
        <w:rPr>
          <w:rFonts w:hint="eastAsia" w:ascii="仿宋" w:hAnsi="仿宋" w:eastAsia="仿宋" w:cs="仿宋"/>
          <w:sz w:val="32"/>
          <w:szCs w:val="32"/>
        </w:rPr>
        <w:t>年张店区政务公开工作方案》和《</w:t>
      </w:r>
      <w:r>
        <w:rPr>
          <w:rFonts w:ascii="仿宋" w:hAnsi="仿宋" w:eastAsia="仿宋" w:cs="仿宋"/>
          <w:sz w:val="32"/>
          <w:szCs w:val="32"/>
        </w:rPr>
        <w:t>2019</w:t>
      </w:r>
      <w:r>
        <w:rPr>
          <w:rFonts w:hint="eastAsia" w:ascii="仿宋" w:hAnsi="仿宋" w:eastAsia="仿宋" w:cs="仿宋"/>
          <w:sz w:val="32"/>
          <w:szCs w:val="32"/>
        </w:rPr>
        <w:t>年张店区政务公开工作评估考核有关事项的通知》，对工作任务逐项细化分解，进一步明确分工、压实责任，保障了政务公开工作的扎实有序开展。四是按照省、市政府的要求，进一步完善《张店区政府信息源头性认定办法》、保密审查程序等配套制度，明确政务公开责任追究办法，确保政府信息和政务公开工作持续良好开展。同时，积极开展专项业务培训，在业务上进行一对一、点对点的帮助和指导，切实提升全区各镇办、各部门具体工作人员的政府信息公开业务能力水平等。</w:t>
      </w:r>
    </w:p>
    <w:p>
      <w:pPr>
        <w:spacing w:line="600" w:lineRule="exact"/>
        <w:ind w:firstLine="640" w:firstLineChars="200"/>
        <w:rPr>
          <w:rFonts w:ascii="仿宋" w:hAnsi="仿宋" w:eastAsia="仿宋" w:cs="Times New Roman"/>
          <w:sz w:val="32"/>
          <w:szCs w:val="32"/>
        </w:rPr>
      </w:pPr>
      <w:r>
        <w:rPr>
          <w:rFonts w:ascii="楷体" w:hAnsi="楷体" w:eastAsia="楷体" w:cs="楷体"/>
          <w:sz w:val="32"/>
          <w:szCs w:val="32"/>
        </w:rPr>
        <w:t>2</w:t>
      </w:r>
      <w:r>
        <w:rPr>
          <w:rFonts w:hint="eastAsia" w:ascii="楷体" w:hAnsi="楷体" w:eastAsia="楷体" w:cs="楷体"/>
          <w:sz w:val="32"/>
          <w:szCs w:val="32"/>
        </w:rPr>
        <w:t>、深化重点领域信息公开。</w:t>
      </w:r>
      <w:r>
        <w:rPr>
          <w:rFonts w:hint="eastAsia" w:ascii="仿宋" w:hAnsi="仿宋" w:eastAsia="仿宋" w:cs="仿宋"/>
          <w:sz w:val="32"/>
          <w:szCs w:val="32"/>
        </w:rPr>
        <w:t>坚持“公开为常态、不公开为例外”原则，围绕乡村振兴、新旧动能转换、防范化解重大风险、精准脱贫、污染防治、权责清单、“双随机、一公开”、就业创业、市场准入负面清单、重大行政决策、建议提案办理结果等重大部署，围绕财政预决算、重大建设项目、公共资源配置、公益事业建设、民生、食品药品安全等重点领域，围绕加强政策解读、政务舆情处置回应、公众参与和政民互动以及推进网上办事服务、提升实体政务大厅服务能力、优化审批办事服务等方面对涉及公众利益调整、需要公众广泛知晓或者需要公众参与决策的政府信息，加大主动公开力度，努力实现应公开尽公开。</w:t>
      </w:r>
      <w:r>
        <w:rPr>
          <w:rFonts w:ascii="仿宋" w:hAnsi="仿宋" w:eastAsia="仿宋" w:cs="仿宋"/>
          <w:sz w:val="32"/>
          <w:szCs w:val="32"/>
        </w:rPr>
        <w:t xml:space="preserve"> </w:t>
      </w:r>
    </w:p>
    <w:p>
      <w:pPr>
        <w:spacing w:line="600" w:lineRule="exact"/>
        <w:ind w:firstLine="420" w:firstLineChars="200"/>
        <w:rPr>
          <w:rFonts w:ascii="仿宋" w:hAnsi="仿宋" w:eastAsia="仿宋" w:cs="Times New Roman"/>
          <w:sz w:val="32"/>
          <w:szCs w:val="32"/>
        </w:rPr>
      </w:pPr>
      <w:r>
        <w:pict>
          <v:shape id="_x0000_s1027" o:spid="_x0000_s1027" o:spt="75" type="#_x0000_t75" style="position:absolute;left:0pt;margin-left:126pt;margin-top:37.1pt;height:177.1pt;width:306pt;mso-wrap-distance-bottom:0pt;mso-wrap-distance-left:9pt;mso-wrap-distance-right:9pt;mso-wrap-distance-top:0pt;z-index:1024;mso-width-relative:page;mso-height-relative:page;" filled="f" o:preferrelative="t" stroked="f" coordsize="21600,21600">
            <v:path/>
            <v:fill on="f" focussize="0,0"/>
            <v:stroke on="f" joinstyle="miter"/>
            <v:imagedata r:id="rId6" o:title=""/>
            <o:lock v:ext="edit" aspectratio="t"/>
            <w10:wrap type="square"/>
          </v:shape>
        </w:pict>
      </w:r>
      <w:r>
        <w:rPr>
          <w:rFonts w:ascii="仿宋" w:hAnsi="仿宋" w:eastAsia="仿宋" w:cs="仿宋"/>
          <w:sz w:val="32"/>
          <w:szCs w:val="32"/>
        </w:rPr>
        <w:t xml:space="preserve"> </w:t>
      </w:r>
      <w:r>
        <w:rPr>
          <w:rFonts w:hint="eastAsia" w:ascii="仿宋" w:hAnsi="仿宋" w:eastAsia="仿宋" w:cs="仿宋"/>
          <w:sz w:val="32"/>
          <w:szCs w:val="32"/>
        </w:rPr>
        <w:t>如为进一步深化“放管服”改革，简化政务服务程序，降低企业、群众制度性成本，实现“一次办好”，优化营商环境，提高群众满意度，及时印发《</w:t>
      </w:r>
      <w:r>
        <w:rPr>
          <w:rFonts w:hint="eastAsia" w:ascii="仿宋" w:hAnsi="仿宋" w:eastAsia="仿宋" w:cs="仿宋"/>
          <w:color w:val="3D3D3D"/>
          <w:sz w:val="32"/>
          <w:szCs w:val="32"/>
        </w:rPr>
        <w:t>张店区政务服务“好差评”试点工作方案</w:t>
      </w:r>
      <w:r>
        <w:rPr>
          <w:rFonts w:hint="eastAsia" w:ascii="仿宋" w:hAnsi="仿宋" w:eastAsia="仿宋" w:cs="仿宋"/>
          <w:sz w:val="32"/>
          <w:szCs w:val="32"/>
        </w:rPr>
        <w:t>》、《张店区人民政府关于实施流程再造推进“一次办好”改革的实施意见》等文件，并及时通过微博、微信等新媒体和广播电视等传统媒体公开发布。区行政审批局按照公开、透明的原则，科学设置政务服务“好差评”指标，建立完善“好差评”评价、反馈、整改、监督全流程闭环工作机制，对企业群众办事中的差评和“难点、堵点、痛点”问题及时处理整改并反馈，实行一站式服务等等，进一步提高政务服务质量和效率，倒逼政府部门行政效能提升。</w:t>
      </w:r>
    </w:p>
    <w:p>
      <w:pPr>
        <w:spacing w:line="600" w:lineRule="exact"/>
        <w:ind w:firstLine="420" w:firstLineChars="200"/>
        <w:rPr>
          <w:rFonts w:ascii="仿宋" w:hAnsi="仿宋" w:eastAsia="仿宋" w:cs="Times New Roman"/>
          <w:sz w:val="32"/>
          <w:szCs w:val="32"/>
        </w:rPr>
      </w:pPr>
      <w:r>
        <w:pict>
          <v:shape id="_x0000_s1028" o:spid="_x0000_s1028" o:spt="75" type="#_x0000_t75" style="position:absolute;left:0pt;margin-left:135pt;margin-top:165.6pt;height:227.4pt;width:297.65pt;mso-wrap-distance-bottom:0pt;mso-wrap-distance-left:9pt;mso-wrap-distance-right:9pt;mso-wrap-distance-top:0pt;z-index:1024;mso-width-relative:page;mso-height-relative:page;" filled="f" o:preferrelative="t" stroked="f" coordsize="21600,21600">
            <v:path/>
            <v:fill on="f" focussize="0,0"/>
            <v:stroke on="f" joinstyle="miter"/>
            <v:imagedata r:id="rId7" o:title=""/>
            <o:lock v:ext="edit" aspectratio="t"/>
            <w10:wrap type="square"/>
          </v:shape>
        </w:pict>
      </w:r>
      <w:r>
        <w:rPr>
          <w:rFonts w:ascii="仿宋" w:hAnsi="仿宋" w:eastAsia="仿宋" w:cs="仿宋"/>
          <w:sz w:val="32"/>
          <w:szCs w:val="32"/>
        </w:rPr>
        <w:t xml:space="preserve"> </w:t>
      </w:r>
      <w:r>
        <w:rPr>
          <w:rFonts w:hint="eastAsia" w:ascii="仿宋" w:hAnsi="仿宋" w:eastAsia="仿宋" w:cs="仿宋"/>
          <w:sz w:val="32"/>
          <w:szCs w:val="32"/>
        </w:rPr>
        <w:t>如为推进就业创业领域信息公开，区人社局坚持把群众最关心、最密切的民生事项作为政府信息公开重点，做到常规性工作定期公开，临时性工作随时公开，固定性工作长期公开，针对公众关切，主动、及时、全面、准确地解读就业创业、社会保障、人事人才及劳动关系等方面的政策，提升政策知晓率，做到阳光透明，全程公开。</w:t>
      </w:r>
      <w:r>
        <w:rPr>
          <w:rFonts w:ascii="仿宋" w:hAnsi="仿宋" w:eastAsia="仿宋" w:cs="仿宋"/>
          <w:sz w:val="32"/>
          <w:szCs w:val="32"/>
        </w:rPr>
        <w:t>2019</w:t>
      </w:r>
      <w:r>
        <w:rPr>
          <w:rFonts w:hint="eastAsia" w:ascii="仿宋" w:hAnsi="仿宋" w:eastAsia="仿宋" w:cs="仿宋"/>
          <w:sz w:val="32"/>
          <w:szCs w:val="32"/>
        </w:rPr>
        <w:t>年通过政府网站、微信公众号、网络直播等媒体平台作用主动公开就业创业、社会保障、人事人才等各类政府信息</w:t>
      </w:r>
      <w:r>
        <w:rPr>
          <w:rFonts w:ascii="仿宋" w:hAnsi="仿宋" w:eastAsia="仿宋" w:cs="仿宋"/>
          <w:sz w:val="32"/>
          <w:szCs w:val="32"/>
        </w:rPr>
        <w:t>1000</w:t>
      </w:r>
      <w:r>
        <w:rPr>
          <w:rFonts w:hint="eastAsia" w:ascii="仿宋" w:hAnsi="仿宋" w:eastAsia="仿宋" w:cs="仿宋"/>
          <w:sz w:val="32"/>
          <w:szCs w:val="32"/>
        </w:rPr>
        <w:t>余条。主动公开事业单位公开招聘、就业创业、社会保障、人事人才等信息</w:t>
      </w:r>
      <w:r>
        <w:rPr>
          <w:rFonts w:ascii="仿宋" w:hAnsi="仿宋" w:eastAsia="仿宋" w:cs="仿宋"/>
          <w:sz w:val="32"/>
          <w:szCs w:val="32"/>
        </w:rPr>
        <w:t>200</w:t>
      </w:r>
      <w:r>
        <w:rPr>
          <w:rFonts w:hint="eastAsia" w:ascii="仿宋" w:hAnsi="仿宋" w:eastAsia="仿宋" w:cs="仿宋"/>
          <w:sz w:val="32"/>
          <w:szCs w:val="32"/>
        </w:rPr>
        <w:t>余条；公开涉及人社政策通知类信息</w:t>
      </w:r>
      <w:r>
        <w:rPr>
          <w:rFonts w:ascii="仿宋" w:hAnsi="仿宋" w:eastAsia="仿宋" w:cs="仿宋"/>
          <w:sz w:val="32"/>
          <w:szCs w:val="32"/>
        </w:rPr>
        <w:t>500</w:t>
      </w:r>
      <w:r>
        <w:rPr>
          <w:rFonts w:hint="eastAsia" w:ascii="仿宋" w:hAnsi="仿宋" w:eastAsia="仿宋" w:cs="仿宋"/>
          <w:sz w:val="32"/>
          <w:szCs w:val="32"/>
        </w:rPr>
        <w:t>余条，涉及就业招聘、稳岗补贴、社保补贴、退休办理等公告类信息</w:t>
      </w:r>
      <w:r>
        <w:rPr>
          <w:rFonts w:ascii="仿宋" w:hAnsi="仿宋" w:eastAsia="仿宋" w:cs="仿宋"/>
          <w:sz w:val="32"/>
          <w:szCs w:val="32"/>
        </w:rPr>
        <w:t>200</w:t>
      </w:r>
      <w:r>
        <w:rPr>
          <w:rFonts w:hint="eastAsia" w:ascii="仿宋" w:hAnsi="仿宋" w:eastAsia="仿宋" w:cs="仿宋"/>
          <w:sz w:val="32"/>
          <w:szCs w:val="32"/>
        </w:rPr>
        <w:t>余条，涉及事业单位公开招聘、人才新政各类补贴等公示类信息</w:t>
      </w:r>
      <w:r>
        <w:rPr>
          <w:rFonts w:ascii="仿宋" w:hAnsi="仿宋" w:eastAsia="仿宋" w:cs="仿宋"/>
          <w:sz w:val="32"/>
          <w:szCs w:val="32"/>
        </w:rPr>
        <w:t>100</w:t>
      </w:r>
      <w:r>
        <w:rPr>
          <w:rFonts w:hint="eastAsia" w:ascii="仿宋" w:hAnsi="仿宋" w:eastAsia="仿宋" w:cs="仿宋"/>
          <w:sz w:val="32"/>
          <w:szCs w:val="32"/>
        </w:rPr>
        <w:t>余条，重点工作宣传类信息</w:t>
      </w:r>
      <w:r>
        <w:rPr>
          <w:rFonts w:ascii="仿宋" w:hAnsi="仿宋" w:eastAsia="仿宋" w:cs="仿宋"/>
          <w:sz w:val="32"/>
          <w:szCs w:val="32"/>
        </w:rPr>
        <w:t>250</w:t>
      </w:r>
      <w:r>
        <w:rPr>
          <w:rFonts w:hint="eastAsia" w:ascii="仿宋" w:hAnsi="仿宋" w:eastAsia="仿宋" w:cs="仿宋"/>
          <w:sz w:val="32"/>
          <w:szCs w:val="32"/>
        </w:rPr>
        <w:t>余条。</w:t>
      </w:r>
    </w:p>
    <w:p>
      <w:pPr>
        <w:spacing w:line="600" w:lineRule="exact"/>
        <w:ind w:firstLine="420" w:firstLineChars="200"/>
        <w:rPr>
          <w:rFonts w:ascii="仿宋" w:hAnsi="仿宋" w:eastAsia="仿宋" w:cs="Times New Roman"/>
          <w:sz w:val="32"/>
          <w:szCs w:val="32"/>
        </w:rPr>
      </w:pPr>
      <w:r>
        <w:pict>
          <v:shape id="_x0000_s1029" o:spid="_x0000_s1029" o:spt="75" type="#_x0000_t75" style="position:absolute;left:0pt;margin-left:0pt;margin-top:133.2pt;height:205.15pt;width:325.35pt;mso-wrap-distance-bottom:0pt;mso-wrap-distance-left:9pt;mso-wrap-distance-right:9pt;mso-wrap-distance-top:0pt;z-index:1024;mso-width-relative:page;mso-height-relative:page;" filled="f" o:preferrelative="t" stroked="f" coordsize="21600,21600">
            <v:path/>
            <v:fill on="f" focussize="0,0"/>
            <v:stroke on="f" joinstyle="miter"/>
            <v:imagedata r:id="rId8" o:title=""/>
            <o:lock v:ext="edit" aspectratio="t"/>
            <w10:wrap type="square"/>
          </v:shape>
        </w:pict>
      </w:r>
      <w:r>
        <w:rPr>
          <w:rFonts w:ascii="仿宋" w:hAnsi="仿宋" w:eastAsia="仿宋" w:cs="仿宋"/>
          <w:sz w:val="32"/>
          <w:szCs w:val="32"/>
        </w:rPr>
        <w:t xml:space="preserve">  </w:t>
      </w:r>
      <w:r>
        <w:rPr>
          <w:rFonts w:ascii="楷体" w:hAnsi="楷体" w:eastAsia="楷体" w:cs="楷体"/>
          <w:sz w:val="32"/>
          <w:szCs w:val="32"/>
        </w:rPr>
        <w:t>3</w:t>
      </w:r>
      <w:r>
        <w:rPr>
          <w:rFonts w:hint="eastAsia" w:ascii="楷体" w:hAnsi="楷体" w:eastAsia="楷体" w:cs="楷体"/>
          <w:sz w:val="32"/>
          <w:szCs w:val="32"/>
        </w:rPr>
        <w:t>、加强政府信息公开平台建设。</w:t>
      </w:r>
      <w:r>
        <w:rPr>
          <w:rFonts w:hint="eastAsia" w:ascii="仿宋" w:hAnsi="仿宋" w:eastAsia="仿宋" w:cs="仿宋"/>
          <w:sz w:val="32"/>
          <w:szCs w:val="32"/>
        </w:rPr>
        <w:t>一是做好区政府网站平台栏目设置，充分发挥其政务公开第一平台作用。根据机构改革方案及时做好区政府门户网站政务公开相关栏目调整工作，在征求区政府各部门及所属单位意见的基础上，编制了《张店区人民政府网站调整方案》，及时调整修改保障单位名称</w:t>
      </w:r>
      <w:r>
        <w:rPr>
          <w:rFonts w:ascii="仿宋" w:hAnsi="仿宋" w:eastAsia="仿宋" w:cs="仿宋"/>
          <w:sz w:val="32"/>
          <w:szCs w:val="32"/>
        </w:rPr>
        <w:t>46</w:t>
      </w:r>
      <w:r>
        <w:rPr>
          <w:rFonts w:hint="eastAsia" w:ascii="仿宋" w:hAnsi="仿宋" w:eastAsia="仿宋" w:cs="仿宋"/>
          <w:sz w:val="32"/>
          <w:szCs w:val="32"/>
        </w:rPr>
        <w:t>家，整合教育局、体育局等</w:t>
      </w:r>
      <w:r>
        <w:rPr>
          <w:rFonts w:ascii="仿宋" w:hAnsi="仿宋" w:eastAsia="仿宋" w:cs="仿宋"/>
          <w:sz w:val="32"/>
          <w:szCs w:val="32"/>
        </w:rPr>
        <w:t>21</w:t>
      </w:r>
      <w:r>
        <w:rPr>
          <w:rFonts w:hint="eastAsia" w:ascii="仿宋" w:hAnsi="仿宋" w:eastAsia="仿宋" w:cs="仿宋"/>
          <w:sz w:val="32"/>
          <w:szCs w:val="32"/>
        </w:rPr>
        <w:t>家单位，拆分民政等</w:t>
      </w:r>
      <w:r>
        <w:rPr>
          <w:rFonts w:ascii="仿宋" w:hAnsi="仿宋" w:eastAsia="仿宋" w:cs="仿宋"/>
          <w:sz w:val="32"/>
          <w:szCs w:val="32"/>
        </w:rPr>
        <w:t>3</w:t>
      </w:r>
      <w:r>
        <w:rPr>
          <w:rFonts w:hint="eastAsia" w:ascii="仿宋" w:hAnsi="仿宋" w:eastAsia="仿宋" w:cs="仿宋"/>
          <w:sz w:val="32"/>
          <w:szCs w:val="32"/>
        </w:rPr>
        <w:t>家单位，新增退役军人事务局等</w:t>
      </w:r>
      <w:r>
        <w:rPr>
          <w:rFonts w:ascii="仿宋" w:hAnsi="仿宋" w:eastAsia="仿宋" w:cs="仿宋"/>
          <w:sz w:val="32"/>
          <w:szCs w:val="32"/>
        </w:rPr>
        <w:t>3</w:t>
      </w:r>
      <w:r>
        <w:rPr>
          <w:rFonts w:hint="eastAsia" w:ascii="仿宋" w:hAnsi="仿宋" w:eastAsia="仿宋" w:cs="仿宋"/>
          <w:sz w:val="32"/>
          <w:szCs w:val="32"/>
        </w:rPr>
        <w:t>家单位、撤销区物价局等</w:t>
      </w:r>
      <w:r>
        <w:rPr>
          <w:rFonts w:ascii="仿宋" w:hAnsi="仿宋" w:eastAsia="仿宋" w:cs="仿宋"/>
          <w:sz w:val="32"/>
          <w:szCs w:val="32"/>
        </w:rPr>
        <w:t>3</w:t>
      </w:r>
      <w:r>
        <w:rPr>
          <w:rFonts w:hint="eastAsia" w:ascii="仿宋" w:hAnsi="仿宋" w:eastAsia="仿宋" w:cs="仿宋"/>
          <w:sz w:val="32"/>
          <w:szCs w:val="32"/>
        </w:rPr>
        <w:t>家单位。结合政务公开工作新形势、新要求，对“政务公开”栏目进行了改版优化，细化了政务公开栏目分类，梳理一级目录</w:t>
      </w:r>
      <w:r>
        <w:rPr>
          <w:rFonts w:ascii="仿宋" w:hAnsi="仿宋" w:eastAsia="仿宋" w:cs="仿宋"/>
          <w:sz w:val="32"/>
          <w:szCs w:val="32"/>
        </w:rPr>
        <w:t>49</w:t>
      </w:r>
      <w:r>
        <w:rPr>
          <w:rFonts w:hint="eastAsia" w:ascii="仿宋" w:hAnsi="仿宋" w:eastAsia="仿宋" w:cs="仿宋"/>
          <w:sz w:val="32"/>
          <w:szCs w:val="32"/>
        </w:rPr>
        <w:t>个，二级目录</w:t>
      </w:r>
      <w:r>
        <w:rPr>
          <w:rFonts w:ascii="仿宋" w:hAnsi="仿宋" w:eastAsia="仿宋" w:cs="仿宋"/>
          <w:sz w:val="32"/>
          <w:szCs w:val="32"/>
        </w:rPr>
        <w:t>254</w:t>
      </w:r>
      <w:r>
        <w:rPr>
          <w:rFonts w:hint="eastAsia" w:ascii="仿宋" w:hAnsi="仿宋" w:eastAsia="仿宋" w:cs="仿宋"/>
          <w:sz w:val="32"/>
          <w:szCs w:val="32"/>
        </w:rPr>
        <w:t>个，主动公开目录达到</w:t>
      </w:r>
      <w:r>
        <w:rPr>
          <w:rFonts w:ascii="仿宋" w:hAnsi="仿宋" w:eastAsia="仿宋" w:cs="仿宋"/>
          <w:sz w:val="32"/>
          <w:szCs w:val="32"/>
        </w:rPr>
        <w:t>321</w:t>
      </w:r>
      <w:r>
        <w:rPr>
          <w:rFonts w:hint="eastAsia" w:ascii="仿宋" w:hAnsi="仿宋" w:eastAsia="仿宋" w:cs="仿宋"/>
          <w:sz w:val="32"/>
          <w:szCs w:val="32"/>
        </w:rPr>
        <w:t>个。</w:t>
      </w:r>
      <w:r>
        <w:rPr>
          <w:rFonts w:ascii="仿宋" w:hAnsi="仿宋" w:eastAsia="仿宋" w:cs="仿宋"/>
          <w:sz w:val="32"/>
          <w:szCs w:val="32"/>
        </w:rPr>
        <w:t>2019</w:t>
      </w:r>
      <w:r>
        <w:rPr>
          <w:rFonts w:hint="eastAsia" w:ascii="仿宋" w:hAnsi="仿宋" w:eastAsia="仿宋" w:cs="仿宋"/>
          <w:sz w:val="32"/>
          <w:szCs w:val="32"/>
        </w:rPr>
        <w:t>年区政府门户网站公开政府信息</w:t>
      </w:r>
      <w:r>
        <w:rPr>
          <w:rFonts w:ascii="仿宋" w:hAnsi="仿宋" w:eastAsia="仿宋" w:cs="仿宋"/>
          <w:sz w:val="32"/>
          <w:szCs w:val="32"/>
        </w:rPr>
        <w:t>5067</w:t>
      </w:r>
      <w:r>
        <w:rPr>
          <w:rFonts w:hint="eastAsia" w:ascii="仿宋" w:hAnsi="仿宋" w:eastAsia="仿宋" w:cs="仿宋"/>
          <w:sz w:val="32"/>
          <w:szCs w:val="32"/>
        </w:rPr>
        <w:t>条，累计</w:t>
      </w:r>
      <w:r>
        <w:rPr>
          <w:rFonts w:ascii="仿宋" w:hAnsi="仿宋" w:eastAsia="仿宋" w:cs="仿宋"/>
          <w:sz w:val="32"/>
          <w:szCs w:val="32"/>
        </w:rPr>
        <w:t>41232</w:t>
      </w:r>
      <w:r>
        <w:rPr>
          <w:rFonts w:hint="eastAsia" w:ascii="仿宋" w:hAnsi="仿宋" w:eastAsia="仿宋" w:cs="仿宋"/>
          <w:sz w:val="32"/>
          <w:szCs w:val="32"/>
        </w:rPr>
        <w:t>条。二是推动新媒体的应用。在依托“两微一端”政务新媒体应用平台的基础上，积极引导各政府信息公开成员单位规范开设、使用微信公众号等新媒体及时发布政府信息、回应社会关切。如区融媒体中心创新打造的“爱张店</w:t>
      </w:r>
      <w:r>
        <w:rPr>
          <w:rFonts w:ascii="仿宋" w:hAnsi="仿宋" w:eastAsia="仿宋" w:cs="仿宋"/>
          <w:sz w:val="32"/>
          <w:szCs w:val="32"/>
        </w:rPr>
        <w:t>APP</w:t>
      </w:r>
      <w:r>
        <w:rPr>
          <w:rFonts w:hint="eastAsia" w:ascii="仿宋" w:hAnsi="仿宋" w:eastAsia="仿宋" w:cs="仿宋"/>
          <w:sz w:val="32"/>
          <w:szCs w:val="32"/>
        </w:rPr>
        <w:t>”客户端，立足“媒体</w:t>
      </w:r>
      <w:r>
        <w:rPr>
          <w:rFonts w:ascii="仿宋" w:hAnsi="仿宋" w:eastAsia="仿宋" w:cs="仿宋"/>
          <w:sz w:val="32"/>
          <w:szCs w:val="32"/>
        </w:rPr>
        <w:t>+</w:t>
      </w:r>
      <w:r>
        <w:rPr>
          <w:rFonts w:hint="eastAsia" w:ascii="仿宋" w:hAnsi="仿宋" w:eastAsia="仿宋" w:cs="仿宋"/>
          <w:sz w:val="32"/>
          <w:szCs w:val="32"/>
        </w:rPr>
        <w:t>政务</w:t>
      </w:r>
      <w:r>
        <w:rPr>
          <w:rFonts w:ascii="仿宋" w:hAnsi="仿宋" w:eastAsia="仿宋" w:cs="仿宋"/>
          <w:sz w:val="32"/>
          <w:szCs w:val="32"/>
        </w:rPr>
        <w:t>+</w:t>
      </w:r>
      <w:r>
        <w:rPr>
          <w:rFonts w:hint="eastAsia" w:ascii="仿宋" w:hAnsi="仿宋" w:eastAsia="仿宋" w:cs="仿宋"/>
          <w:sz w:val="32"/>
          <w:szCs w:val="32"/>
        </w:rPr>
        <w:t>服务”的功能定位，将全区各相关部门的微博、微信、网站的链接信息整合形成媒体矩阵，开设“政民互动”、“便民服务”等板块，既提升了政府的透明度，做到政务公开、问政于民，又以便捷的方式为</w:t>
      </w:r>
      <w:r>
        <w:pict>
          <v:shape id="_x0000_s1030" o:spid="_x0000_s1030" o:spt="75" type="#_x0000_t75" style="position:absolute;left:0pt;margin-left:135pt;margin-top:405.6pt;height:219.8pt;width:152.35pt;mso-wrap-distance-bottom:0pt;mso-wrap-distance-left:9pt;mso-wrap-distance-right:9pt;mso-wrap-distance-top:0pt;z-index:1024;mso-width-relative:page;mso-height-relative:page;" filled="f" o:preferrelative="t" stroked="f" coordsize="21600,21600">
            <v:path/>
            <v:fill on="f" focussize="0,0"/>
            <v:stroke on="f" joinstyle="miter"/>
            <v:imagedata r:id="rId9" o:title=""/>
            <o:lock v:ext="edit" aspectratio="t"/>
            <w10:wrap type="square"/>
          </v:shape>
        </w:pict>
      </w:r>
      <w:r>
        <w:rPr>
          <w:rFonts w:hint="eastAsia" w:ascii="仿宋" w:hAnsi="仿宋" w:eastAsia="仿宋" w:cs="仿宋"/>
          <w:sz w:val="32"/>
          <w:szCs w:val="32"/>
        </w:rPr>
        <w:t>“多利</w:t>
      </w:r>
      <w:r>
        <w:pict>
          <v:shape id="_x0000_s1031" o:spid="_x0000_s1031" o:spt="75" type="#_x0000_t75" style="position:absolute;left:0pt;margin-left:279pt;margin-top:390pt;height:273pt;width:165.7pt;mso-wrap-distance-bottom:0pt;mso-wrap-distance-left:9pt;mso-wrap-distance-right:9pt;mso-wrap-distance-top:0pt;z-index:1024;mso-width-relative:page;mso-height-relative:page;" filled="f" o:preferrelative="t" stroked="f" coordsize="21600,21600">
            <v:path/>
            <v:fill on="f" focussize="0,0"/>
            <v:stroke on="f" joinstyle="miter"/>
            <v:imagedata r:id="rId10" o:title=""/>
            <o:lock v:ext="edit" aspectratio="t"/>
            <w10:wrap type="square"/>
          </v:shape>
        </w:pict>
      </w:r>
      <w:r>
        <w:rPr>
          <w:rFonts w:hint="eastAsia" w:ascii="仿宋" w:hAnsi="仿宋" w:eastAsia="仿宋" w:cs="仿宋"/>
          <w:sz w:val="32"/>
          <w:szCs w:val="32"/>
        </w:rPr>
        <w:t>益攸关方”共同参与提供“一站式”服务。</w:t>
      </w:r>
      <w:r>
        <w:rPr>
          <w:rFonts w:ascii="仿宋" w:hAnsi="仿宋" w:eastAsia="仿宋" w:cs="仿宋"/>
          <w:sz w:val="32"/>
          <w:szCs w:val="32"/>
        </w:rPr>
        <w:t>2019</w:t>
      </w:r>
      <w:r>
        <w:rPr>
          <w:rFonts w:hint="eastAsia" w:ascii="仿宋" w:hAnsi="仿宋" w:eastAsia="仿宋" w:cs="仿宋"/>
          <w:sz w:val="32"/>
          <w:szCs w:val="32"/>
        </w:rPr>
        <w:t>年通过新媒体公开各类政府信息</w:t>
      </w:r>
      <w:r>
        <w:rPr>
          <w:rFonts w:ascii="仿宋" w:hAnsi="仿宋" w:eastAsia="仿宋" w:cs="仿宋"/>
          <w:sz w:val="32"/>
          <w:szCs w:val="32"/>
        </w:rPr>
        <w:t>18600</w:t>
      </w:r>
      <w:r>
        <w:rPr>
          <w:rFonts w:hint="eastAsia" w:ascii="仿宋" w:hAnsi="仿宋" w:eastAsia="仿宋" w:cs="仿宋"/>
          <w:sz w:val="32"/>
          <w:szCs w:val="32"/>
        </w:rPr>
        <w:t>余条次。三是做好《政府公报》的编辑发行及数字化工作。</w:t>
      </w:r>
      <w:r>
        <w:rPr>
          <w:rFonts w:ascii="仿宋" w:hAnsi="仿宋" w:eastAsia="仿宋" w:cs="仿宋"/>
          <w:sz w:val="32"/>
          <w:szCs w:val="32"/>
        </w:rPr>
        <w:t>2019</w:t>
      </w:r>
      <w:r>
        <w:rPr>
          <w:rFonts w:hint="eastAsia" w:ascii="仿宋" w:hAnsi="仿宋" w:eastAsia="仿宋" w:cs="仿宋"/>
          <w:sz w:val="32"/>
          <w:szCs w:val="32"/>
        </w:rPr>
        <w:t>年按照要求编辑《张店区人民政府公报》</w:t>
      </w:r>
      <w:r>
        <w:rPr>
          <w:rFonts w:ascii="仿宋" w:hAnsi="仿宋" w:eastAsia="仿宋" w:cs="仿宋"/>
          <w:sz w:val="32"/>
          <w:szCs w:val="32"/>
        </w:rPr>
        <w:t>5</w:t>
      </w:r>
      <w:r>
        <w:rPr>
          <w:rFonts w:hint="eastAsia" w:ascii="仿宋" w:hAnsi="仿宋" w:eastAsia="仿宋" w:cs="仿宋"/>
          <w:sz w:val="32"/>
          <w:szCs w:val="32"/>
        </w:rPr>
        <w:t>期，全部赠阅至区政府各部门、各单位，各镇办、村居、便民服务中心，行政区域内相关企业。并按照要求及时把电子版在区政府门户网站上公开发布，并率先实现《政府公报》的目录导航、内容检索服务与网站的有机整合。四是发挥区档案馆、区图书馆等政府信息查阅场所功能，为群众获取政府信息提供便利。如：区档案馆年内累计提供利用档案</w:t>
      </w:r>
      <w:r>
        <w:rPr>
          <w:rFonts w:ascii="仿宋" w:hAnsi="仿宋" w:eastAsia="仿宋" w:cs="仿宋"/>
          <w:sz w:val="32"/>
          <w:szCs w:val="32"/>
        </w:rPr>
        <w:t>6130</w:t>
      </w:r>
      <w:r>
        <w:rPr>
          <w:rFonts w:hint="eastAsia" w:ascii="仿宋" w:hAnsi="仿宋" w:eastAsia="仿宋" w:cs="仿宋"/>
          <w:sz w:val="32"/>
          <w:szCs w:val="32"/>
        </w:rPr>
        <w:t>卷次、接待查档者</w:t>
      </w:r>
      <w:r>
        <w:rPr>
          <w:rFonts w:ascii="仿宋" w:hAnsi="仿宋" w:eastAsia="仿宋" w:cs="仿宋"/>
          <w:sz w:val="32"/>
          <w:szCs w:val="32"/>
        </w:rPr>
        <w:t>760</w:t>
      </w:r>
      <w:r>
        <w:rPr>
          <w:rFonts w:hint="eastAsia" w:ascii="仿宋" w:hAnsi="仿宋" w:eastAsia="仿宋" w:cs="仿宋"/>
          <w:sz w:val="32"/>
          <w:szCs w:val="32"/>
        </w:rPr>
        <w:t>余人次、复印档案资料</w:t>
      </w:r>
      <w:r>
        <w:rPr>
          <w:rFonts w:ascii="仿宋" w:hAnsi="仿宋" w:eastAsia="仿宋" w:cs="仿宋"/>
          <w:sz w:val="32"/>
          <w:szCs w:val="32"/>
        </w:rPr>
        <w:t>2040</w:t>
      </w:r>
      <w:r>
        <w:rPr>
          <w:rFonts w:hint="eastAsia" w:ascii="仿宋" w:hAnsi="仿宋" w:eastAsia="仿宋" w:cs="仿宋"/>
          <w:sz w:val="32"/>
          <w:szCs w:val="32"/>
        </w:rPr>
        <w:t>页，为广大市民提供高效便捷的查阅利用服务。五是充分利用电视、报纸等传统媒体做好政府信息的发布工作。</w:t>
      </w:r>
      <w:r>
        <w:rPr>
          <w:rFonts w:ascii="仿宋" w:hAnsi="仿宋" w:eastAsia="仿宋" w:cs="仿宋"/>
          <w:sz w:val="32"/>
          <w:szCs w:val="32"/>
        </w:rPr>
        <w:t>2019</w:t>
      </w:r>
      <w:r>
        <w:rPr>
          <w:rFonts w:hint="eastAsia" w:ascii="仿宋" w:hAnsi="仿宋" w:eastAsia="仿宋" w:cs="仿宋"/>
          <w:sz w:val="32"/>
          <w:szCs w:val="32"/>
        </w:rPr>
        <w:t>年共编辑出版《张店通讯》</w:t>
      </w:r>
      <w:r>
        <w:rPr>
          <w:rFonts w:ascii="仿宋" w:hAnsi="仿宋" w:eastAsia="仿宋" w:cs="仿宋"/>
          <w:sz w:val="32"/>
          <w:szCs w:val="32"/>
        </w:rPr>
        <w:t>100</w:t>
      </w:r>
      <w:r>
        <w:rPr>
          <w:rFonts w:hint="eastAsia" w:ascii="仿宋" w:hAnsi="仿宋" w:eastAsia="仿宋" w:cs="仿宋"/>
          <w:sz w:val="32"/>
          <w:szCs w:val="32"/>
        </w:rPr>
        <w:t>期，印刷发行</w:t>
      </w:r>
      <w:r>
        <w:rPr>
          <w:rFonts w:ascii="仿宋" w:hAnsi="仿宋" w:eastAsia="仿宋" w:cs="仿宋"/>
          <w:sz w:val="32"/>
          <w:szCs w:val="32"/>
        </w:rPr>
        <w:t>1000</w:t>
      </w:r>
      <w:r>
        <w:rPr>
          <w:rFonts w:hint="eastAsia" w:ascii="仿宋" w:hAnsi="仿宋" w:eastAsia="仿宋" w:cs="仿宋"/>
          <w:sz w:val="32"/>
          <w:szCs w:val="32"/>
        </w:rPr>
        <w:t>万份，每期除</w:t>
      </w:r>
      <w:r>
        <w:rPr>
          <w:rFonts w:ascii="仿宋" w:hAnsi="仿宋" w:eastAsia="仿宋" w:cs="仿宋"/>
          <w:sz w:val="32"/>
          <w:szCs w:val="32"/>
        </w:rPr>
        <w:t>7000</w:t>
      </w:r>
      <w:r>
        <w:rPr>
          <w:rFonts w:hint="eastAsia" w:ascii="仿宋" w:hAnsi="仿宋" w:eastAsia="仿宋" w:cs="仿宋"/>
          <w:sz w:val="32"/>
          <w:szCs w:val="32"/>
        </w:rPr>
        <w:t>份进入党政机关企事业单位和社会重点单位外，全部发至我区</w:t>
      </w:r>
      <w:r>
        <w:rPr>
          <w:rFonts w:ascii="仿宋" w:hAnsi="仿宋" w:eastAsia="仿宋" w:cs="仿宋"/>
          <w:sz w:val="32"/>
          <w:szCs w:val="32"/>
        </w:rPr>
        <w:t>12</w:t>
      </w:r>
      <w:r>
        <w:rPr>
          <w:rFonts w:hint="eastAsia" w:ascii="仿宋" w:hAnsi="仿宋" w:eastAsia="仿宋" w:cs="仿宋"/>
          <w:sz w:val="32"/>
          <w:szCs w:val="32"/>
        </w:rPr>
        <w:t>个镇办所辖的农村和城市社区中的</w:t>
      </w:r>
      <w:r>
        <w:rPr>
          <w:rFonts w:ascii="仿宋" w:hAnsi="仿宋" w:eastAsia="仿宋" w:cs="仿宋"/>
          <w:sz w:val="32"/>
          <w:szCs w:val="32"/>
        </w:rPr>
        <w:t>93000</w:t>
      </w:r>
      <w:r>
        <w:rPr>
          <w:rFonts w:hint="eastAsia" w:ascii="仿宋" w:hAnsi="仿宋" w:eastAsia="仿宋" w:cs="仿宋"/>
          <w:sz w:val="32"/>
          <w:szCs w:val="32"/>
        </w:rPr>
        <w:t>户居民家庭</w:t>
      </w:r>
      <w:r>
        <w:rPr>
          <w:rFonts w:hint="eastAsia" w:ascii="仿宋" w:hAnsi="仿宋" w:eastAsia="仿宋" w:cs="仿宋"/>
          <w:b/>
          <w:bCs/>
          <w:sz w:val="32"/>
          <w:szCs w:val="32"/>
        </w:rPr>
        <w:t>；</w:t>
      </w:r>
      <w:r>
        <w:rPr>
          <w:rFonts w:hint="eastAsia" w:ascii="仿宋" w:hAnsi="仿宋" w:eastAsia="仿宋" w:cs="仿宋"/>
          <w:sz w:val="32"/>
          <w:szCs w:val="32"/>
        </w:rPr>
        <w:t>在张店电视台开设“张店民声”栏目。栏目坚持“关注民生热点、倾听群众诉求、架起沟通桥梁、促进作风建设”目标，由各单位主要负责同志接听解答群众咨询。</w:t>
      </w:r>
      <w:r>
        <w:rPr>
          <w:rFonts w:ascii="仿宋" w:hAnsi="仿宋" w:eastAsia="仿宋" w:cs="仿宋"/>
          <w:sz w:val="32"/>
          <w:szCs w:val="32"/>
        </w:rPr>
        <w:t>2019</w:t>
      </w:r>
      <w:r>
        <w:rPr>
          <w:rFonts w:hint="eastAsia" w:ascii="仿宋" w:hAnsi="仿宋" w:eastAsia="仿宋" w:cs="仿宋"/>
          <w:sz w:val="32"/>
          <w:szCs w:val="32"/>
        </w:rPr>
        <w:t>年共播出</w:t>
      </w:r>
      <w:r>
        <w:rPr>
          <w:rFonts w:ascii="仿宋" w:hAnsi="仿宋" w:eastAsia="仿宋" w:cs="仿宋"/>
          <w:sz w:val="32"/>
          <w:szCs w:val="32"/>
        </w:rPr>
        <w:t>91</w:t>
      </w:r>
      <w:r>
        <w:rPr>
          <w:rFonts w:hint="eastAsia" w:ascii="仿宋" w:hAnsi="仿宋" w:eastAsia="仿宋" w:cs="仿宋"/>
          <w:sz w:val="32"/>
          <w:szCs w:val="32"/>
        </w:rPr>
        <w:t>期，已上线单位</w:t>
      </w:r>
      <w:r>
        <w:rPr>
          <w:rFonts w:ascii="仿宋" w:hAnsi="仿宋" w:eastAsia="仿宋" w:cs="仿宋"/>
          <w:sz w:val="32"/>
          <w:szCs w:val="32"/>
        </w:rPr>
        <w:t>25</w:t>
      </w:r>
      <w:r>
        <w:rPr>
          <w:rFonts w:hint="eastAsia" w:ascii="仿宋" w:hAnsi="仿宋" w:eastAsia="仿宋" w:cs="仿宋"/>
          <w:sz w:val="32"/>
          <w:szCs w:val="32"/>
        </w:rPr>
        <w:t>个，上线问题</w:t>
      </w:r>
      <w:r>
        <w:rPr>
          <w:rFonts w:ascii="仿宋" w:hAnsi="仿宋" w:eastAsia="仿宋" w:cs="仿宋"/>
          <w:sz w:val="32"/>
          <w:szCs w:val="32"/>
        </w:rPr>
        <w:t>61</w:t>
      </w:r>
      <w:r>
        <w:rPr>
          <w:rFonts w:hint="eastAsia" w:ascii="仿宋" w:hAnsi="仿宋" w:eastAsia="仿宋" w:cs="仿宋"/>
          <w:sz w:val="32"/>
          <w:szCs w:val="32"/>
        </w:rPr>
        <w:t>条，解决群众关注的热点问题</w:t>
      </w:r>
      <w:r>
        <w:rPr>
          <w:rFonts w:ascii="仿宋" w:hAnsi="仿宋" w:eastAsia="仿宋" w:cs="仿宋"/>
          <w:sz w:val="32"/>
          <w:szCs w:val="32"/>
        </w:rPr>
        <w:t>110</w:t>
      </w:r>
      <w:r>
        <w:rPr>
          <w:rFonts w:hint="eastAsia" w:ascii="仿宋" w:hAnsi="仿宋" w:eastAsia="仿宋" w:cs="仿宋"/>
          <w:sz w:val="32"/>
          <w:szCs w:val="32"/>
        </w:rPr>
        <w:t>余件，促进了政风行风持续好转。</w:t>
      </w:r>
    </w:p>
    <w:p>
      <w:pPr>
        <w:ind w:firstLine="707" w:firstLineChars="221"/>
        <w:rPr>
          <w:rFonts w:ascii="仿宋" w:hAnsi="仿宋" w:eastAsia="仿宋" w:cs="Times New Roman"/>
          <w:color w:val="FF0000"/>
          <w:sz w:val="32"/>
          <w:szCs w:val="32"/>
        </w:rPr>
      </w:pPr>
      <w:r>
        <w:rPr>
          <w:rFonts w:ascii="楷体" w:hAnsi="楷体" w:eastAsia="楷体" w:cs="楷体"/>
          <w:sz w:val="32"/>
          <w:szCs w:val="32"/>
        </w:rPr>
        <w:t>4</w:t>
      </w:r>
      <w:r>
        <w:rPr>
          <w:rFonts w:hint="eastAsia" w:ascii="楷体" w:hAnsi="楷体" w:eastAsia="楷体" w:cs="楷体"/>
          <w:sz w:val="32"/>
          <w:szCs w:val="32"/>
        </w:rPr>
        <w:t>、依法依规做好依申请公开工作。</w:t>
      </w:r>
      <w:r>
        <w:rPr>
          <w:rFonts w:hint="eastAsia" w:ascii="仿宋" w:hAnsi="仿宋" w:eastAsia="仿宋" w:cs="仿宋"/>
          <w:sz w:val="32"/>
          <w:szCs w:val="32"/>
        </w:rPr>
        <w:t>在做好主动公开的同时，按照《条例》和国办《关于做好政府信息依申请公开工作的意见》要求，进一步规范做好依申请公开工作，初步建立起全区依申请公开政府信息备案机制。对收到的信息公开申请，严格按照工作程序，认真分析、及时规范给予答复。针对新版《条例》的实施，加大了对区政府信息公开成员单位的指导、协调和监督力度，对各镇办、区政府各部门、各有关单位因依申请公开受理量较少而造成的对相关业务不了解、法规不熟悉、答复不规范等问题，有针对性地组织开展专题业务培训，并在实际答复工作中做好“一对一”业务指导，确保依申请事项能够及时</w:t>
      </w:r>
      <w:r>
        <w:pict>
          <v:shape id="_x0000_s1032" o:spid="_x0000_s1032" o:spt="75" type="#_x0000_t75" style="position:absolute;left:0pt;margin-left:0.3pt;margin-top:98.35pt;height:251.3pt;width:216pt;mso-wrap-distance-bottom:0pt;mso-wrap-distance-left:9pt;mso-wrap-distance-right:9pt;mso-wrap-distance-top:0pt;z-index:1024;mso-width-relative:page;mso-height-relative:page;" filled="f" o:preferrelative="t" stroked="f" coordsize="21600,21600">
            <v:path/>
            <v:fill on="f" focussize="0,0"/>
            <v:stroke on="f" joinstyle="miter"/>
            <v:imagedata r:id="rId11" o:title=""/>
            <o:lock v:ext="edit" aspectratio="t"/>
            <w10:wrap type="square"/>
          </v:shape>
        </w:pict>
      </w:r>
      <w:r>
        <w:rPr>
          <w:rFonts w:hint="eastAsia" w:ascii="仿宋" w:hAnsi="仿宋" w:eastAsia="仿宋" w:cs="仿宋"/>
          <w:sz w:val="32"/>
          <w:szCs w:val="32"/>
        </w:rPr>
        <w:t>、准确、规范办理。截</w:t>
      </w:r>
      <w:r>
        <w:rPr>
          <w:rFonts w:ascii="仿宋" w:hAnsi="仿宋" w:eastAsia="仿宋" w:cs="Times New Roman"/>
          <w:sz w:val="32"/>
          <w:szCs w:val="32"/>
        </w:rPr>
        <w:pict>
          <v:shape id="_x0000_i1025" o:spt="75" type="#_x0000_t75" style="height:248.4pt;width:189pt;" filled="f" o:preferrelative="t" stroked="f" coordsize="21600,21600">
            <v:path/>
            <v:fill on="f" focussize="0,0"/>
            <v:stroke on="f" joinstyle="miter"/>
            <v:imagedata r:id="rId12" o:title=""/>
            <o:lock v:ext="edit" aspectratio="t"/>
            <w10:wrap type="none"/>
            <w10:anchorlock/>
          </v:shape>
        </w:pict>
      </w:r>
      <w:r>
        <w:rPr>
          <w:rFonts w:hint="eastAsia" w:ascii="仿宋" w:hAnsi="仿宋" w:eastAsia="仿宋" w:cs="仿宋"/>
          <w:sz w:val="32"/>
          <w:szCs w:val="32"/>
        </w:rPr>
        <w:t>止目前，全区收到依申请公开</w:t>
      </w:r>
      <w:r>
        <w:pict>
          <v:shape id="_x0000_s1033" o:spid="_x0000_s1033" o:spt="75" type="#_x0000_t75" style="position:absolute;left:0pt;margin-left:225pt;margin-top:390pt;height:218.4pt;width:251.3pt;mso-wrap-distance-bottom:0pt;mso-wrap-distance-left:9pt;mso-wrap-distance-right:9pt;mso-wrap-distance-top:0pt;z-index:1024;mso-width-relative:page;mso-height-relative:page;" filled="f" o:preferrelative="t" stroked="f" coordsize="21600,21600">
            <v:path/>
            <v:fill on="f" focussize="0,0"/>
            <v:stroke on="f" joinstyle="miter"/>
            <v:imagedata r:id="rId13" o:title=""/>
            <o:lock v:ext="edit" aspectratio="t"/>
            <w10:wrap type="square"/>
          </v:shape>
        </w:pict>
      </w:r>
      <w:r>
        <w:rPr>
          <w:rFonts w:ascii="仿宋" w:hAnsi="仿宋" w:eastAsia="仿宋" w:cs="仿宋"/>
          <w:sz w:val="32"/>
          <w:szCs w:val="32"/>
        </w:rPr>
        <w:t>172</w:t>
      </w:r>
      <w:r>
        <w:rPr>
          <w:rFonts w:hint="eastAsia" w:ascii="仿宋" w:hAnsi="仿宋" w:eastAsia="仿宋" w:cs="仿宋"/>
          <w:sz w:val="32"/>
          <w:szCs w:val="32"/>
        </w:rPr>
        <w:t>件，其中政府层面</w:t>
      </w:r>
      <w:r>
        <w:rPr>
          <w:rFonts w:ascii="仿宋" w:hAnsi="仿宋" w:eastAsia="仿宋" w:cs="仿宋"/>
          <w:sz w:val="32"/>
          <w:szCs w:val="32"/>
        </w:rPr>
        <w:t>29</w:t>
      </w:r>
      <w:r>
        <w:rPr>
          <w:rFonts w:hint="eastAsia" w:ascii="仿宋" w:hAnsi="仿宋" w:eastAsia="仿宋" w:cs="仿宋"/>
          <w:sz w:val="32"/>
          <w:szCs w:val="32"/>
        </w:rPr>
        <w:t>件（信函</w:t>
      </w:r>
      <w:r>
        <w:rPr>
          <w:rFonts w:ascii="仿宋" w:hAnsi="仿宋" w:eastAsia="仿宋" w:cs="仿宋"/>
          <w:sz w:val="32"/>
          <w:szCs w:val="32"/>
        </w:rPr>
        <w:t>22</w:t>
      </w:r>
      <w:r>
        <w:rPr>
          <w:rFonts w:hint="eastAsia" w:ascii="仿宋" w:hAnsi="仿宋" w:eastAsia="仿宋" w:cs="仿宋"/>
          <w:sz w:val="32"/>
          <w:szCs w:val="32"/>
        </w:rPr>
        <w:t>件、政府网站平台</w:t>
      </w:r>
      <w:r>
        <w:rPr>
          <w:rFonts w:ascii="仿宋" w:hAnsi="仿宋" w:eastAsia="仿宋" w:cs="仿宋"/>
          <w:sz w:val="32"/>
          <w:szCs w:val="32"/>
        </w:rPr>
        <w:t>7</w:t>
      </w:r>
      <w:r>
        <w:rPr>
          <w:rFonts w:hint="eastAsia" w:ascii="仿宋" w:hAnsi="仿宋" w:eastAsia="仿宋" w:cs="仿宋"/>
          <w:sz w:val="32"/>
          <w:szCs w:val="32"/>
        </w:rPr>
        <w:t>件）均在法定时限内给予了规范答复。截至目前，指导人社、住建、卫健、教育、统计、市场监管、自然资源、农业农村、民政、火车站南广场等多家单位做好依申请公开规范答复工作近</w:t>
      </w:r>
      <w:r>
        <w:rPr>
          <w:rFonts w:ascii="仿宋" w:hAnsi="仿宋" w:eastAsia="仿宋" w:cs="仿宋"/>
          <w:sz w:val="32"/>
          <w:szCs w:val="32"/>
        </w:rPr>
        <w:t>140</w:t>
      </w:r>
      <w:r>
        <w:rPr>
          <w:rFonts w:hint="eastAsia" w:ascii="仿宋" w:hAnsi="仿宋" w:eastAsia="仿宋" w:cs="仿宋"/>
          <w:sz w:val="32"/>
          <w:szCs w:val="32"/>
        </w:rPr>
        <w:t>余件。</w:t>
      </w:r>
      <w:r>
        <w:rPr>
          <w:rFonts w:ascii="仿宋" w:hAnsi="仿宋" w:eastAsia="仿宋" w:cs="Times New Roman"/>
          <w:sz w:val="32"/>
          <w:szCs w:val="32"/>
        </w:rPr>
        <w:br w:type="textWrapping"/>
      </w:r>
      <w:r>
        <w:rPr>
          <w:rFonts w:ascii="仿宋" w:hAnsi="仿宋" w:eastAsia="仿宋" w:cs="仿宋"/>
          <w:sz w:val="32"/>
          <w:szCs w:val="32"/>
        </w:rPr>
        <w:t xml:space="preserve">  </w:t>
      </w:r>
      <w:r>
        <w:rPr>
          <w:rFonts w:ascii="楷体" w:hAnsi="楷体" w:eastAsia="楷体" w:cs="楷体"/>
          <w:sz w:val="32"/>
          <w:szCs w:val="32"/>
        </w:rPr>
        <w:t xml:space="preserve">  5</w:t>
      </w:r>
      <w:r>
        <w:rPr>
          <w:rFonts w:hint="eastAsia" w:ascii="楷体" w:hAnsi="楷体" w:eastAsia="楷体" w:cs="楷体"/>
          <w:sz w:val="32"/>
          <w:szCs w:val="32"/>
        </w:rPr>
        <w:t>、高效办理人大代表建议、政协委员提案。</w:t>
      </w:r>
      <w:r>
        <w:rPr>
          <w:rFonts w:hint="eastAsia" w:ascii="仿宋" w:hAnsi="仿宋" w:eastAsia="仿宋" w:cs="仿宋"/>
          <w:kern w:val="0"/>
          <w:sz w:val="32"/>
          <w:szCs w:val="32"/>
        </w:rPr>
        <w:t>区十七届人大三次会议期间</w:t>
      </w:r>
      <w:r>
        <w:rPr>
          <w:rFonts w:hint="eastAsia" w:ascii="仿宋" w:hAnsi="仿宋" w:eastAsia="仿宋" w:cs="仿宋"/>
          <w:color w:val="FF0000"/>
          <w:kern w:val="0"/>
          <w:sz w:val="32"/>
          <w:szCs w:val="32"/>
        </w:rPr>
        <w:t>，</w:t>
      </w:r>
      <w:r>
        <w:rPr>
          <w:rFonts w:hint="eastAsia" w:ascii="仿宋" w:hAnsi="仿宋" w:eastAsia="仿宋" w:cs="仿宋"/>
          <w:kern w:val="0"/>
          <w:sz w:val="32"/>
          <w:szCs w:val="32"/>
        </w:rPr>
        <w:t>经审查，区人大代表建议</w:t>
      </w:r>
      <w:r>
        <w:rPr>
          <w:rFonts w:ascii="仿宋" w:hAnsi="仿宋" w:eastAsia="仿宋" w:cs="仿宋"/>
          <w:kern w:val="0"/>
          <w:sz w:val="32"/>
          <w:szCs w:val="32"/>
        </w:rPr>
        <w:t>127</w:t>
      </w:r>
      <w:r>
        <w:rPr>
          <w:rFonts w:hint="eastAsia" w:ascii="仿宋" w:hAnsi="仿宋" w:eastAsia="仿宋" w:cs="仿宋"/>
          <w:kern w:val="0"/>
          <w:sz w:val="32"/>
          <w:szCs w:val="32"/>
        </w:rPr>
        <w:t>件，由</w:t>
      </w:r>
      <w:r>
        <w:rPr>
          <w:rFonts w:ascii="仿宋" w:hAnsi="仿宋" w:eastAsia="仿宋" w:cs="仿宋"/>
          <w:kern w:val="0"/>
          <w:sz w:val="32"/>
          <w:szCs w:val="32"/>
        </w:rPr>
        <w:t>40</w:t>
      </w:r>
      <w:r>
        <w:rPr>
          <w:rFonts w:hint="eastAsia" w:ascii="仿宋" w:hAnsi="仿宋" w:eastAsia="仿宋" w:cs="仿宋"/>
          <w:kern w:val="0"/>
          <w:sz w:val="32"/>
          <w:szCs w:val="32"/>
        </w:rPr>
        <w:t>个区直部门及相关镇、街道办事处承办，均已在规定期限内书面答复了各位代表。从办理结果看，所提建议已经解决的</w:t>
      </w:r>
      <w:r>
        <w:rPr>
          <w:rFonts w:ascii="仿宋" w:hAnsi="仿宋" w:eastAsia="仿宋" w:cs="仿宋"/>
          <w:kern w:val="0"/>
          <w:sz w:val="32"/>
          <w:szCs w:val="32"/>
        </w:rPr>
        <w:t>79</w:t>
      </w:r>
      <w:r>
        <w:rPr>
          <w:rFonts w:hint="eastAsia" w:ascii="仿宋" w:hAnsi="仿宋" w:eastAsia="仿宋" w:cs="仿宋"/>
          <w:kern w:val="0"/>
          <w:sz w:val="32"/>
          <w:szCs w:val="32"/>
        </w:rPr>
        <w:t>件，占总数的</w:t>
      </w:r>
      <w:r>
        <w:rPr>
          <w:rFonts w:ascii="仿宋" w:hAnsi="仿宋" w:eastAsia="仿宋" w:cs="仿宋"/>
          <w:kern w:val="0"/>
          <w:sz w:val="32"/>
          <w:szCs w:val="32"/>
        </w:rPr>
        <w:t>62.3%</w:t>
      </w:r>
      <w:r>
        <w:rPr>
          <w:rFonts w:hint="eastAsia" w:ascii="仿宋" w:hAnsi="仿宋" w:eastAsia="仿宋" w:cs="仿宋"/>
          <w:kern w:val="0"/>
          <w:sz w:val="32"/>
          <w:szCs w:val="32"/>
        </w:rPr>
        <w:t>；正在解决的</w:t>
      </w:r>
      <w:r>
        <w:rPr>
          <w:rFonts w:ascii="仿宋" w:hAnsi="仿宋" w:eastAsia="仿宋" w:cs="仿宋"/>
          <w:kern w:val="0"/>
          <w:sz w:val="32"/>
          <w:szCs w:val="32"/>
        </w:rPr>
        <w:t>36</w:t>
      </w:r>
      <w:r>
        <w:rPr>
          <w:rFonts w:hint="eastAsia" w:ascii="仿宋" w:hAnsi="仿宋" w:eastAsia="仿宋" w:cs="仿宋"/>
          <w:kern w:val="0"/>
          <w:sz w:val="32"/>
          <w:szCs w:val="32"/>
        </w:rPr>
        <w:t>件，占总数的</w:t>
      </w:r>
      <w:r>
        <w:rPr>
          <w:rFonts w:ascii="仿宋" w:hAnsi="仿宋" w:eastAsia="仿宋" w:cs="仿宋"/>
          <w:kern w:val="0"/>
          <w:sz w:val="32"/>
          <w:szCs w:val="32"/>
        </w:rPr>
        <w:t>28.3%</w:t>
      </w:r>
      <w:r>
        <w:rPr>
          <w:rFonts w:hint="eastAsia" w:ascii="仿宋" w:hAnsi="仿宋" w:eastAsia="仿宋" w:cs="仿宋"/>
          <w:kern w:val="0"/>
          <w:sz w:val="32"/>
          <w:szCs w:val="32"/>
        </w:rPr>
        <w:t>；受法律、法规、政策或客观条件限制，暂时不能解决的</w:t>
      </w:r>
      <w:r>
        <w:rPr>
          <w:rFonts w:ascii="仿宋" w:hAnsi="仿宋" w:eastAsia="仿宋" w:cs="仿宋"/>
          <w:kern w:val="0"/>
          <w:sz w:val="32"/>
          <w:szCs w:val="32"/>
        </w:rPr>
        <w:t>12</w:t>
      </w:r>
      <w:r>
        <w:rPr>
          <w:rFonts w:hint="eastAsia" w:ascii="仿宋" w:hAnsi="仿宋" w:eastAsia="仿宋" w:cs="仿宋"/>
          <w:kern w:val="0"/>
          <w:sz w:val="32"/>
          <w:szCs w:val="32"/>
        </w:rPr>
        <w:t>件，占总数的</w:t>
      </w:r>
      <w:r>
        <w:rPr>
          <w:rFonts w:ascii="仿宋" w:hAnsi="仿宋" w:eastAsia="仿宋" w:cs="仿宋"/>
          <w:kern w:val="0"/>
          <w:sz w:val="32"/>
          <w:szCs w:val="32"/>
        </w:rPr>
        <w:t>9.4%</w:t>
      </w:r>
      <w:r>
        <w:rPr>
          <w:rFonts w:hint="eastAsia" w:ascii="仿宋" w:hAnsi="仿宋" w:eastAsia="仿宋" w:cs="仿宋"/>
          <w:kern w:val="0"/>
          <w:sz w:val="32"/>
          <w:szCs w:val="32"/>
        </w:rPr>
        <w:t>。对因政策或条件限制，暂时不能解决或确实难以解决的，向代表们实事求是地说明了原因，认真细致地作了解释</w:t>
      </w:r>
      <w:r>
        <w:rPr>
          <w:rFonts w:hint="eastAsia" w:ascii="仿宋" w:hAnsi="仿宋" w:eastAsia="仿宋" w:cs="仿宋"/>
          <w:color w:val="FF0000"/>
          <w:kern w:val="0"/>
          <w:sz w:val="32"/>
          <w:szCs w:val="32"/>
        </w:rPr>
        <w:t>；</w:t>
      </w:r>
      <w:r>
        <w:rPr>
          <w:rFonts w:hint="eastAsia" w:ascii="仿宋" w:hAnsi="仿宋" w:eastAsia="仿宋" w:cs="仿宋"/>
          <w:kern w:val="0"/>
          <w:sz w:val="32"/>
          <w:szCs w:val="32"/>
        </w:rPr>
        <w:t>在区政协十二届三次会议期间，共收到区政协提案</w:t>
      </w:r>
      <w:r>
        <w:rPr>
          <w:rFonts w:ascii="仿宋" w:hAnsi="仿宋" w:eastAsia="仿宋" w:cs="仿宋"/>
          <w:kern w:val="0"/>
          <w:sz w:val="32"/>
          <w:szCs w:val="32"/>
        </w:rPr>
        <w:t>207</w:t>
      </w:r>
      <w:r>
        <w:rPr>
          <w:rFonts w:hint="eastAsia" w:ascii="仿宋" w:hAnsi="仿宋" w:eastAsia="仿宋" w:cs="仿宋"/>
          <w:kern w:val="0"/>
          <w:sz w:val="32"/>
          <w:szCs w:val="32"/>
        </w:rPr>
        <w:t>件，由</w:t>
      </w:r>
      <w:r>
        <w:rPr>
          <w:rFonts w:ascii="仿宋" w:hAnsi="仿宋" w:eastAsia="仿宋" w:cs="仿宋"/>
          <w:kern w:val="0"/>
          <w:sz w:val="32"/>
          <w:szCs w:val="32"/>
        </w:rPr>
        <w:t>50</w:t>
      </w:r>
      <w:r>
        <w:rPr>
          <w:rFonts w:hint="eastAsia" w:ascii="仿宋" w:hAnsi="仿宋" w:eastAsia="仿宋" w:cs="仿宋"/>
          <w:kern w:val="0"/>
          <w:sz w:val="32"/>
          <w:szCs w:val="32"/>
        </w:rPr>
        <w:t>个区直部门及相关镇政府、街道办事处承办</w:t>
      </w:r>
      <w:r>
        <w:rPr>
          <w:rFonts w:ascii="仿宋" w:hAnsi="仿宋" w:eastAsia="仿宋" w:cs="仿宋"/>
          <w:kern w:val="0"/>
          <w:sz w:val="32"/>
          <w:szCs w:val="32"/>
        </w:rPr>
        <w:t>,</w:t>
      </w:r>
      <w:r>
        <w:rPr>
          <w:rFonts w:hint="eastAsia" w:ascii="仿宋" w:hAnsi="仿宋" w:eastAsia="仿宋" w:cs="仿宋"/>
          <w:kern w:val="0"/>
          <w:sz w:val="32"/>
          <w:szCs w:val="32"/>
        </w:rPr>
        <w:t>其中：</w:t>
      </w:r>
      <w:r>
        <w:rPr>
          <w:rFonts w:hint="eastAsia" w:ascii="仿宋" w:hAnsi="仿宋" w:eastAsia="仿宋" w:cs="仿宋"/>
          <w:color w:val="000000"/>
          <w:sz w:val="32"/>
          <w:szCs w:val="32"/>
        </w:rPr>
        <w:t>经济类提案共</w:t>
      </w:r>
      <w:r>
        <w:rPr>
          <w:rFonts w:ascii="仿宋" w:hAnsi="仿宋" w:eastAsia="仿宋" w:cs="仿宋"/>
          <w:color w:val="000000"/>
          <w:sz w:val="32"/>
          <w:szCs w:val="32"/>
        </w:rPr>
        <w:t>49</w:t>
      </w:r>
      <w:r>
        <w:rPr>
          <w:rFonts w:hint="eastAsia" w:ascii="仿宋" w:hAnsi="仿宋" w:eastAsia="仿宋" w:cs="仿宋"/>
          <w:color w:val="000000"/>
          <w:sz w:val="32"/>
          <w:szCs w:val="32"/>
        </w:rPr>
        <w:t>件，占承办总数的</w:t>
      </w:r>
      <w:r>
        <w:rPr>
          <w:rFonts w:ascii="仿宋" w:hAnsi="仿宋" w:eastAsia="仿宋" w:cs="仿宋"/>
          <w:color w:val="000000"/>
          <w:sz w:val="32"/>
          <w:szCs w:val="32"/>
        </w:rPr>
        <w:t>24%</w:t>
      </w:r>
      <w:r>
        <w:rPr>
          <w:rFonts w:hint="eastAsia" w:ascii="仿宋" w:hAnsi="仿宋" w:eastAsia="仿宋" w:cs="仿宋"/>
          <w:color w:val="000000"/>
          <w:sz w:val="32"/>
          <w:szCs w:val="32"/>
        </w:rPr>
        <w:t>，内容涉及新旧动能转换、服务业发展等方面；城市管理类</w:t>
      </w:r>
      <w:r>
        <w:rPr>
          <w:rFonts w:hint="eastAsia" w:ascii="仿宋" w:hAnsi="仿宋" w:eastAsia="仿宋" w:cs="仿宋"/>
          <w:kern w:val="0"/>
          <w:sz w:val="32"/>
          <w:szCs w:val="32"/>
        </w:rPr>
        <w:t>提案</w:t>
      </w:r>
      <w:r>
        <w:pict>
          <v:shape id="_x0000_s1034" o:spid="_x0000_s1034" o:spt="75" type="#_x0000_t75" style="position:absolute;left:0pt;margin-left:135pt;margin-top:358.8pt;height:218.4pt;width:288pt;mso-wrap-distance-bottom:0pt;mso-wrap-distance-left:9pt;mso-wrap-distance-right:9pt;mso-wrap-distance-top:0pt;z-index:1024;mso-width-relative:page;mso-height-relative:page;" filled="f" o:preferrelative="t" stroked="f" coordsize="21600,21600">
            <v:path/>
            <v:fill on="f" focussize="0,0"/>
            <v:stroke on="f" joinstyle="miter"/>
            <v:imagedata r:id="rId14" o:title=""/>
            <o:lock v:ext="edit" aspectratio="t"/>
            <w10:wrap type="square"/>
          </v:shape>
        </w:pict>
      </w:r>
      <w:r>
        <w:rPr>
          <w:rFonts w:hint="eastAsia" w:ascii="仿宋" w:hAnsi="仿宋" w:eastAsia="仿宋" w:cs="仿宋"/>
          <w:kern w:val="0"/>
          <w:sz w:val="32"/>
          <w:szCs w:val="32"/>
        </w:rPr>
        <w:t>共</w:t>
      </w:r>
      <w:r>
        <w:rPr>
          <w:rFonts w:ascii="仿宋" w:hAnsi="仿宋" w:eastAsia="仿宋" w:cs="仿宋"/>
          <w:color w:val="000000"/>
          <w:sz w:val="32"/>
          <w:szCs w:val="32"/>
        </w:rPr>
        <w:t>61</w:t>
      </w:r>
      <w:r>
        <w:rPr>
          <w:rFonts w:hint="eastAsia" w:ascii="仿宋" w:hAnsi="仿宋" w:eastAsia="仿宋" w:cs="仿宋"/>
          <w:color w:val="000000"/>
          <w:sz w:val="32"/>
          <w:szCs w:val="32"/>
        </w:rPr>
        <w:t>件，</w:t>
      </w:r>
      <w:r>
        <w:rPr>
          <w:rFonts w:hint="eastAsia" w:ascii="仿宋" w:hAnsi="仿宋" w:eastAsia="仿宋" w:cs="仿宋"/>
          <w:kern w:val="0"/>
          <w:sz w:val="32"/>
          <w:szCs w:val="32"/>
        </w:rPr>
        <w:t>占承办总数的</w:t>
      </w:r>
      <w:r>
        <w:rPr>
          <w:rFonts w:ascii="仿宋" w:hAnsi="仿宋" w:eastAsia="仿宋" w:cs="仿宋"/>
          <w:sz w:val="32"/>
          <w:szCs w:val="32"/>
        </w:rPr>
        <w:t>29%</w:t>
      </w:r>
      <w:r>
        <w:rPr>
          <w:rFonts w:hint="eastAsia" w:ascii="仿宋" w:hAnsi="仿宋" w:eastAsia="仿宋" w:cs="仿宋"/>
          <w:color w:val="000000"/>
          <w:sz w:val="32"/>
          <w:szCs w:val="32"/>
        </w:rPr>
        <w:t>，内容包括城市精细化管理、道路基础建设、环境保护等方面；社会民生类</w:t>
      </w:r>
      <w:r>
        <w:rPr>
          <w:rFonts w:hint="eastAsia" w:ascii="仿宋" w:hAnsi="仿宋" w:eastAsia="仿宋" w:cs="仿宋"/>
          <w:kern w:val="0"/>
          <w:sz w:val="32"/>
          <w:szCs w:val="32"/>
        </w:rPr>
        <w:t>提案共</w:t>
      </w:r>
      <w:r>
        <w:rPr>
          <w:rFonts w:ascii="仿宋" w:hAnsi="仿宋" w:eastAsia="仿宋" w:cs="仿宋"/>
          <w:color w:val="000000"/>
          <w:sz w:val="32"/>
          <w:szCs w:val="32"/>
        </w:rPr>
        <w:t>97</w:t>
      </w:r>
      <w:r>
        <w:rPr>
          <w:rFonts w:hint="eastAsia" w:ascii="仿宋" w:hAnsi="仿宋" w:eastAsia="仿宋" w:cs="仿宋"/>
          <w:color w:val="000000"/>
          <w:sz w:val="32"/>
          <w:szCs w:val="32"/>
        </w:rPr>
        <w:t>件，</w:t>
      </w:r>
      <w:r>
        <w:rPr>
          <w:rFonts w:hint="eastAsia" w:ascii="仿宋" w:hAnsi="仿宋" w:eastAsia="仿宋" w:cs="仿宋"/>
          <w:kern w:val="0"/>
          <w:sz w:val="32"/>
          <w:szCs w:val="32"/>
        </w:rPr>
        <w:t>占承办总数的</w:t>
      </w:r>
      <w:r>
        <w:rPr>
          <w:rFonts w:ascii="仿宋" w:hAnsi="仿宋" w:eastAsia="仿宋" w:cs="仿宋"/>
          <w:sz w:val="32"/>
          <w:szCs w:val="32"/>
        </w:rPr>
        <w:t>47%</w:t>
      </w:r>
      <w:r>
        <w:rPr>
          <w:rFonts w:hint="eastAsia" w:ascii="仿宋" w:hAnsi="仿宋" w:eastAsia="仿宋" w:cs="仿宋"/>
          <w:color w:val="000000"/>
          <w:sz w:val="32"/>
          <w:szCs w:val="32"/>
        </w:rPr>
        <w:t>，涉及文化、教育、卫生等方面</w:t>
      </w:r>
      <w:r>
        <w:rPr>
          <w:rFonts w:hint="eastAsia" w:ascii="仿宋" w:hAnsi="仿宋" w:eastAsia="仿宋" w:cs="仿宋"/>
          <w:color w:val="FF0000"/>
          <w:sz w:val="32"/>
          <w:szCs w:val="32"/>
        </w:rPr>
        <w:t>。</w:t>
      </w:r>
      <w:r>
        <w:rPr>
          <w:rFonts w:hint="eastAsia" w:ascii="仿宋" w:hAnsi="仿宋" w:eastAsia="仿宋" w:cs="仿宋"/>
          <w:color w:val="000000"/>
          <w:sz w:val="32"/>
          <w:szCs w:val="32"/>
        </w:rPr>
        <w:t>通过办理</w:t>
      </w:r>
      <w:r>
        <w:rPr>
          <w:rFonts w:hint="eastAsia" w:ascii="仿宋" w:hAnsi="仿宋" w:eastAsia="仿宋" w:cs="仿宋"/>
          <w:kern w:val="0"/>
          <w:sz w:val="32"/>
          <w:szCs w:val="32"/>
        </w:rPr>
        <w:t>这些提案</w:t>
      </w:r>
      <w:r>
        <w:rPr>
          <w:rFonts w:hint="eastAsia" w:ascii="仿宋" w:hAnsi="仿宋" w:eastAsia="仿宋" w:cs="仿宋"/>
          <w:color w:val="000000"/>
          <w:sz w:val="32"/>
          <w:szCs w:val="32"/>
        </w:rPr>
        <w:t>，一批人民群众关注的热点、焦点、难点问题得到了有效解决，既增强了政府各项工作的针对性，又密切了政府与人民群众的联系</w:t>
      </w:r>
      <w:r>
        <w:rPr>
          <w:rFonts w:ascii="仿宋" w:hAnsi="仿宋" w:eastAsia="仿宋" w:cs="仿宋"/>
          <w:color w:val="000000"/>
          <w:sz w:val="32"/>
          <w:szCs w:val="32"/>
        </w:rPr>
        <w:t>,</w:t>
      </w:r>
      <w:r>
        <w:rPr>
          <w:rFonts w:hint="eastAsia" w:ascii="仿宋" w:hAnsi="仿宋" w:eastAsia="仿宋" w:cs="仿宋"/>
          <w:color w:val="000000"/>
          <w:sz w:val="32"/>
          <w:szCs w:val="32"/>
        </w:rPr>
        <w:t>推动了全区经济社会事业的健康发展。</w:t>
      </w:r>
      <w:r>
        <w:rPr>
          <w:rFonts w:hint="eastAsia" w:ascii="仿宋" w:hAnsi="仿宋" w:eastAsia="仿宋" w:cs="仿宋"/>
          <w:sz w:val="32"/>
          <w:szCs w:val="32"/>
        </w:rPr>
        <w:t>人大代表建议和政协委员提案办理情况均在张店区人民政府门户网站公开发布。</w:t>
      </w:r>
    </w:p>
    <w:p>
      <w:pPr>
        <w:pStyle w:val="5"/>
        <w:widowControl/>
        <w:shd w:val="clear" w:color="auto" w:fill="FFFFFF"/>
        <w:spacing w:beforeAutospacing="0" w:after="240" w:afterAutospacing="0"/>
        <w:ind w:firstLine="640"/>
        <w:jc w:val="both"/>
        <w:rPr>
          <w:rFonts w:ascii="黑体" w:hAnsi="黑体" w:eastAsia="黑体" w:cs="Times New Roman"/>
          <w:color w:val="333333"/>
          <w:sz w:val="32"/>
          <w:szCs w:val="32"/>
        </w:rPr>
      </w:pPr>
      <w:r>
        <w:rPr>
          <w:rFonts w:hint="eastAsia" w:ascii="黑体" w:hAnsi="黑体" w:eastAsia="黑体" w:cs="黑体"/>
          <w:color w:val="333333"/>
          <w:sz w:val="32"/>
          <w:szCs w:val="32"/>
          <w:shd w:val="clear" w:color="auto" w:fill="FFFFFF"/>
        </w:rPr>
        <w:t>二、主动公开政府信息情况</w:t>
      </w:r>
    </w:p>
    <w:tbl>
      <w:tblPr>
        <w:tblStyle w:val="6"/>
        <w:tblW w:w="8708" w:type="dxa"/>
        <w:jc w:val="center"/>
        <w:tblLayout w:type="fixed"/>
        <w:tblCellMar>
          <w:top w:w="0" w:type="dxa"/>
          <w:left w:w="0" w:type="dxa"/>
          <w:bottom w:w="0" w:type="dxa"/>
          <w:right w:w="0" w:type="dxa"/>
        </w:tblCellMar>
      </w:tblPr>
      <w:tblGrid>
        <w:gridCol w:w="3073"/>
        <w:gridCol w:w="17"/>
        <w:gridCol w:w="2095"/>
        <w:gridCol w:w="1505"/>
        <w:gridCol w:w="2018"/>
      </w:tblGrid>
      <w:tr>
        <w:tblPrEx>
          <w:tblCellMar>
            <w:top w:w="0" w:type="dxa"/>
            <w:left w:w="0" w:type="dxa"/>
            <w:bottom w:w="0" w:type="dxa"/>
            <w:right w:w="0" w:type="dxa"/>
          </w:tblCellMar>
        </w:tblPrEx>
        <w:trPr>
          <w:trHeight w:val="594" w:hRule="atLeast"/>
          <w:jc w:val="center"/>
        </w:trPr>
        <w:tc>
          <w:tcPr>
            <w:tcW w:w="8708" w:type="dxa"/>
            <w:gridSpan w:val="5"/>
            <w:tcBorders>
              <w:top w:val="single" w:color="auto" w:sz="12" w:space="0"/>
              <w:left w:val="single" w:color="auto" w:sz="12" w:space="0"/>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sz w:val="24"/>
                <w:szCs w:val="24"/>
              </w:rPr>
            </w:pPr>
            <w:r>
              <w:rPr>
                <w:rFonts w:hint="eastAsia" w:ascii="宋体" w:hAnsi="宋体" w:cs="宋体"/>
                <w:color w:val="000000"/>
                <w:kern w:val="0"/>
                <w:sz w:val="24"/>
                <w:szCs w:val="24"/>
              </w:rPr>
              <w:t>第二十条第（一）项</w:t>
            </w:r>
          </w:p>
        </w:tc>
      </w:tr>
      <w:tr>
        <w:tblPrEx>
          <w:tblCellMar>
            <w:top w:w="0" w:type="dxa"/>
            <w:left w:w="0" w:type="dxa"/>
            <w:bottom w:w="0" w:type="dxa"/>
            <w:right w:w="0" w:type="dxa"/>
          </w:tblCellMar>
        </w:tblPrEx>
        <w:trPr>
          <w:trHeight w:val="866"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本年新制作数量</w:t>
            </w:r>
          </w:p>
        </w:tc>
        <w:tc>
          <w:tcPr>
            <w:tcW w:w="1505"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本年新</w:t>
            </w:r>
            <w:r>
              <w:rPr>
                <w:rFonts w:ascii="宋体" w:cs="Times New Roman"/>
                <w:color w:val="000000"/>
                <w:kern w:val="0"/>
                <w:sz w:val="24"/>
                <w:szCs w:val="24"/>
              </w:rPr>
              <w:br w:type="textWrapping"/>
            </w:r>
            <w:r>
              <w:rPr>
                <w:rFonts w:hint="eastAsia" w:ascii="宋体" w:hAnsi="宋体" w:cs="宋体"/>
                <w:color w:val="000000"/>
                <w:kern w:val="0"/>
                <w:sz w:val="24"/>
                <w:szCs w:val="24"/>
              </w:rPr>
              <w:t>公开数量</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对外公开</w:t>
            </w:r>
          </w:p>
          <w:p>
            <w:pPr>
              <w:widowControl/>
              <w:jc w:val="center"/>
              <w:rPr>
                <w:rFonts w:ascii="宋体" w:cs="Times New Roman"/>
                <w:color w:val="000000"/>
                <w:kern w:val="0"/>
                <w:sz w:val="24"/>
                <w:szCs w:val="24"/>
              </w:rPr>
            </w:pPr>
            <w:r>
              <w:rPr>
                <w:rFonts w:hint="eastAsia" w:ascii="宋体" w:hAnsi="宋体" w:cs="宋体"/>
                <w:color w:val="000000"/>
                <w:kern w:val="0"/>
                <w:sz w:val="24"/>
                <w:szCs w:val="24"/>
              </w:rPr>
              <w:t>总数量</w:t>
            </w:r>
          </w:p>
        </w:tc>
      </w:tr>
      <w:tr>
        <w:tblPrEx>
          <w:tblCellMar>
            <w:top w:w="0" w:type="dxa"/>
            <w:left w:w="0" w:type="dxa"/>
            <w:bottom w:w="0" w:type="dxa"/>
            <w:right w:w="0" w:type="dxa"/>
          </w:tblCellMar>
        </w:tblPrEx>
        <w:trPr>
          <w:trHeight w:val="399"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left"/>
              <w:rPr>
                <w:rFonts w:ascii="宋体" w:cs="Times New Roman"/>
                <w:color w:val="000000"/>
                <w:kern w:val="0"/>
                <w:sz w:val="24"/>
                <w:szCs w:val="24"/>
              </w:rPr>
            </w:pPr>
            <w:r>
              <w:rPr>
                <w:rFonts w:hint="eastAsia" w:ascii="宋体" w:hAnsi="宋体" w:cs="宋体"/>
                <w:color w:val="000000"/>
                <w:kern w:val="0"/>
                <w:sz w:val="24"/>
                <w:szCs w:val="24"/>
              </w:rPr>
              <w:t>规章</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　　</w:t>
            </w:r>
            <w:r>
              <w:rPr>
                <w:rFonts w:ascii="宋体" w:cs="宋体"/>
                <w:color w:val="000000"/>
                <w:kern w:val="0"/>
                <w:sz w:val="24"/>
                <w:szCs w:val="24"/>
              </w:rPr>
              <w:t>0</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ascii="宋体" w:cs="Times New Roman"/>
                <w:color w:val="000000"/>
                <w:kern w:val="0"/>
                <w:sz w:val="24"/>
                <w:szCs w:val="24"/>
              </w:rPr>
              <w:t> </w:t>
            </w:r>
            <w:r>
              <w:rPr>
                <w:rFonts w:ascii="宋体" w:cs="宋体"/>
                <w:color w:val="000000"/>
                <w:kern w:val="0"/>
                <w:sz w:val="24"/>
                <w:szCs w:val="24"/>
              </w:rPr>
              <w:t>0</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　</w:t>
            </w:r>
            <w:r>
              <w:rPr>
                <w:rFonts w:ascii="宋体" w:cs="宋体"/>
                <w:color w:val="000000"/>
                <w:kern w:val="0"/>
                <w:sz w:val="24"/>
                <w:szCs w:val="24"/>
              </w:rPr>
              <w:t>0</w:t>
            </w:r>
          </w:p>
        </w:tc>
      </w:tr>
      <w:tr>
        <w:tblPrEx>
          <w:tblCellMar>
            <w:top w:w="0" w:type="dxa"/>
            <w:left w:w="0" w:type="dxa"/>
            <w:bottom w:w="0" w:type="dxa"/>
            <w:right w:w="0" w:type="dxa"/>
          </w:tblCellMar>
        </w:tblPrEx>
        <w:trPr>
          <w:trHeight w:val="404"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left"/>
              <w:rPr>
                <w:rFonts w:ascii="宋体" w:cs="Times New Roman"/>
                <w:color w:val="000000"/>
                <w:kern w:val="0"/>
                <w:sz w:val="24"/>
                <w:szCs w:val="24"/>
              </w:rPr>
            </w:pPr>
            <w:r>
              <w:rPr>
                <w:rFonts w:hint="eastAsia" w:ascii="宋体" w:hAnsi="宋体" w:cs="宋体"/>
                <w:color w:val="000000"/>
                <w:kern w:val="0"/>
                <w:sz w:val="24"/>
                <w:szCs w:val="24"/>
              </w:rPr>
              <w:t>规范性文件</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1</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ascii="宋体" w:cs="Times New Roman"/>
                <w:color w:val="000000"/>
                <w:kern w:val="0"/>
                <w:sz w:val="24"/>
                <w:szCs w:val="24"/>
              </w:rPr>
              <w:t> </w:t>
            </w:r>
            <w:r>
              <w:rPr>
                <w:rFonts w:ascii="宋体" w:hAnsi="宋体" w:cs="宋体"/>
                <w:color w:val="000000"/>
                <w:kern w:val="0"/>
                <w:sz w:val="24"/>
                <w:szCs w:val="24"/>
              </w:rPr>
              <w:t>1</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1</w:t>
            </w:r>
          </w:p>
        </w:tc>
      </w:tr>
      <w:tr>
        <w:tblPrEx>
          <w:tblCellMar>
            <w:top w:w="0" w:type="dxa"/>
            <w:left w:w="0" w:type="dxa"/>
            <w:bottom w:w="0" w:type="dxa"/>
            <w:right w:w="0" w:type="dxa"/>
          </w:tblCellMar>
        </w:tblPrEx>
        <w:trPr>
          <w:trHeight w:val="480" w:hRule="atLeast"/>
          <w:jc w:val="center"/>
        </w:trPr>
        <w:tc>
          <w:tcPr>
            <w:tcW w:w="8708" w:type="dxa"/>
            <w:gridSpan w:val="5"/>
            <w:tcBorders>
              <w:top w:val="nil"/>
              <w:left w:val="single" w:color="auto" w:sz="12" w:space="0"/>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第二十条第（五）项</w:t>
            </w:r>
          </w:p>
        </w:tc>
      </w:tr>
      <w:tr>
        <w:tblPrEx>
          <w:tblCellMar>
            <w:top w:w="0" w:type="dxa"/>
            <w:left w:w="0" w:type="dxa"/>
            <w:bottom w:w="0" w:type="dxa"/>
            <w:right w:w="0" w:type="dxa"/>
          </w:tblCellMar>
        </w:tblPrEx>
        <w:trPr>
          <w:trHeight w:val="516"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上一年项目数量</w:t>
            </w:r>
          </w:p>
        </w:tc>
        <w:tc>
          <w:tcPr>
            <w:tcW w:w="1505"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本年增</w:t>
            </w:r>
            <w:r>
              <w:rPr>
                <w:rFonts w:ascii="宋体" w:hAnsi="宋体" w:cs="宋体"/>
                <w:color w:val="000000"/>
                <w:kern w:val="0"/>
                <w:sz w:val="24"/>
                <w:szCs w:val="24"/>
              </w:rPr>
              <w:t>/</w:t>
            </w:r>
            <w:r>
              <w:rPr>
                <w:rFonts w:hint="eastAsia" w:ascii="宋体" w:hAnsi="宋体" w:cs="宋体"/>
                <w:color w:val="000000"/>
                <w:kern w:val="0"/>
                <w:sz w:val="24"/>
                <w:szCs w:val="24"/>
              </w:rPr>
              <w:t>减</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处理决定数量</w:t>
            </w:r>
          </w:p>
        </w:tc>
      </w:tr>
      <w:tr>
        <w:tblPrEx>
          <w:tblCellMar>
            <w:top w:w="0" w:type="dxa"/>
            <w:left w:w="0" w:type="dxa"/>
            <w:bottom w:w="0" w:type="dxa"/>
            <w:right w:w="0" w:type="dxa"/>
          </w:tblCellMar>
        </w:tblPrEx>
        <w:trPr>
          <w:trHeight w:val="455"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left"/>
              <w:rPr>
                <w:rFonts w:ascii="宋体" w:cs="Times New Roman"/>
                <w:color w:val="000000"/>
                <w:kern w:val="0"/>
                <w:sz w:val="24"/>
                <w:szCs w:val="24"/>
              </w:rPr>
            </w:pPr>
            <w:r>
              <w:rPr>
                <w:rFonts w:hint="eastAsia" w:ascii="宋体" w:hAnsi="宋体" w:cs="宋体"/>
                <w:color w:val="000000"/>
                <w:kern w:val="0"/>
                <w:sz w:val="24"/>
                <w:szCs w:val="24"/>
              </w:rPr>
              <w:t>行政许可</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ascii="宋体" w:hAnsi="宋体" w:cs="宋体"/>
                <w:color w:val="000000"/>
                <w:kern w:val="0"/>
                <w:sz w:val="24"/>
                <w:szCs w:val="24"/>
              </w:rPr>
              <w:t>640</w:t>
            </w:r>
            <w:r>
              <w:rPr>
                <w:rFonts w:hint="eastAsia" w:ascii="宋体" w:hAnsi="宋体" w:cs="宋体"/>
                <w:color w:val="000000"/>
                <w:kern w:val="0"/>
                <w:sz w:val="24"/>
                <w:szCs w:val="24"/>
              </w:rPr>
              <w:t>　</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-7</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ascii="宋体" w:hAnsi="宋体" w:cs="宋体"/>
                <w:color w:val="000000"/>
                <w:kern w:val="0"/>
                <w:sz w:val="24"/>
                <w:szCs w:val="24"/>
              </w:rPr>
              <w:t>129062</w:t>
            </w:r>
            <w:r>
              <w:rPr>
                <w:rFonts w:hint="eastAsia" w:ascii="宋体" w:hAnsi="宋体" w:cs="宋体"/>
                <w:color w:val="000000"/>
                <w:kern w:val="0"/>
                <w:sz w:val="24"/>
                <w:szCs w:val="24"/>
              </w:rPr>
              <w:t>　</w:t>
            </w:r>
          </w:p>
        </w:tc>
      </w:tr>
      <w:tr>
        <w:tblPrEx>
          <w:tblCellMar>
            <w:top w:w="0" w:type="dxa"/>
            <w:left w:w="0" w:type="dxa"/>
            <w:bottom w:w="0" w:type="dxa"/>
            <w:right w:w="0" w:type="dxa"/>
          </w:tblCellMar>
        </w:tblPrEx>
        <w:trPr>
          <w:trHeight w:val="550"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left"/>
              <w:rPr>
                <w:rFonts w:ascii="宋体" w:cs="Times New Roman"/>
                <w:color w:val="000000"/>
                <w:kern w:val="0"/>
                <w:sz w:val="24"/>
                <w:szCs w:val="24"/>
              </w:rPr>
            </w:pPr>
            <w:r>
              <w:rPr>
                <w:rFonts w:hint="eastAsia" w:ascii="宋体" w:hAnsi="宋体" w:cs="宋体"/>
                <w:color w:val="000000"/>
                <w:kern w:val="0"/>
                <w:sz w:val="24"/>
                <w:szCs w:val="24"/>
              </w:rPr>
              <w:t>其他对外管理服务事项</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374</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lang w:val="en-US" w:eastAsia="zh-CN"/>
              </w:rPr>
              <w:t>-149</w:t>
            </w:r>
            <w:r>
              <w:rPr>
                <w:rFonts w:hint="eastAsia" w:ascii="宋体" w:hAnsi="宋体" w:cs="宋体"/>
                <w:color w:val="000000"/>
                <w:kern w:val="0"/>
                <w:sz w:val="24"/>
                <w:szCs w:val="24"/>
              </w:rPr>
              <w:t>　</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ascii="宋体" w:hAnsi="宋体" w:cs="宋体"/>
                <w:color w:val="000000"/>
                <w:kern w:val="0"/>
                <w:sz w:val="24"/>
                <w:szCs w:val="24"/>
              </w:rPr>
              <w:t>384416</w:t>
            </w:r>
            <w:r>
              <w:rPr>
                <w:rFonts w:hint="eastAsia" w:ascii="宋体" w:hAnsi="宋体" w:cs="宋体"/>
                <w:color w:val="000000"/>
                <w:kern w:val="0"/>
                <w:sz w:val="24"/>
                <w:szCs w:val="24"/>
              </w:rPr>
              <w:t>　</w:t>
            </w:r>
          </w:p>
        </w:tc>
      </w:tr>
      <w:tr>
        <w:tblPrEx>
          <w:tblCellMar>
            <w:top w:w="0" w:type="dxa"/>
            <w:left w:w="0" w:type="dxa"/>
            <w:bottom w:w="0" w:type="dxa"/>
            <w:right w:w="0" w:type="dxa"/>
          </w:tblCellMar>
        </w:tblPrEx>
        <w:trPr>
          <w:trHeight w:val="497" w:hRule="atLeast"/>
          <w:jc w:val="center"/>
        </w:trPr>
        <w:tc>
          <w:tcPr>
            <w:tcW w:w="8708" w:type="dxa"/>
            <w:gridSpan w:val="5"/>
            <w:tcBorders>
              <w:top w:val="nil"/>
              <w:left w:val="single" w:color="auto" w:sz="12" w:space="0"/>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第二十条第（六）项</w:t>
            </w:r>
          </w:p>
        </w:tc>
      </w:tr>
      <w:tr>
        <w:tblPrEx>
          <w:tblCellMar>
            <w:top w:w="0" w:type="dxa"/>
            <w:left w:w="0" w:type="dxa"/>
            <w:bottom w:w="0" w:type="dxa"/>
            <w:right w:w="0" w:type="dxa"/>
          </w:tblCellMar>
        </w:tblPrEx>
        <w:trPr>
          <w:trHeight w:val="547"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信息内容</w:t>
            </w:r>
          </w:p>
        </w:tc>
        <w:tc>
          <w:tcPr>
            <w:tcW w:w="2112" w:type="dxa"/>
            <w:gridSpan w:val="2"/>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上一年项目数量</w:t>
            </w:r>
          </w:p>
        </w:tc>
        <w:tc>
          <w:tcPr>
            <w:tcW w:w="1505" w:type="dxa"/>
            <w:tcBorders>
              <w:top w:val="single" w:color="auto" w:sz="8" w:space="0"/>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本年增</w:t>
            </w:r>
            <w:r>
              <w:rPr>
                <w:rFonts w:ascii="宋体" w:hAnsi="宋体" w:cs="宋体"/>
                <w:color w:val="000000"/>
                <w:kern w:val="0"/>
                <w:sz w:val="24"/>
                <w:szCs w:val="24"/>
              </w:rPr>
              <w:t>/</w:t>
            </w:r>
            <w:r>
              <w:rPr>
                <w:rFonts w:hint="eastAsia" w:ascii="宋体" w:hAnsi="宋体" w:cs="宋体"/>
                <w:color w:val="000000"/>
                <w:kern w:val="0"/>
                <w:sz w:val="24"/>
                <w:szCs w:val="24"/>
              </w:rPr>
              <w:t>减</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处理决定数量</w:t>
            </w:r>
          </w:p>
        </w:tc>
      </w:tr>
      <w:tr>
        <w:tblPrEx>
          <w:tblCellMar>
            <w:top w:w="0" w:type="dxa"/>
            <w:left w:w="0" w:type="dxa"/>
            <w:bottom w:w="0" w:type="dxa"/>
            <w:right w:w="0" w:type="dxa"/>
          </w:tblCellMar>
        </w:tblPrEx>
        <w:trPr>
          <w:trHeight w:val="430"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left"/>
              <w:rPr>
                <w:rFonts w:ascii="宋体" w:cs="Times New Roman"/>
                <w:color w:val="000000"/>
                <w:kern w:val="0"/>
                <w:sz w:val="24"/>
                <w:szCs w:val="24"/>
              </w:rPr>
            </w:pPr>
            <w:r>
              <w:rPr>
                <w:rFonts w:hint="eastAsia" w:ascii="宋体" w:hAnsi="宋体" w:cs="宋体"/>
                <w:color w:val="000000"/>
                <w:kern w:val="0"/>
                <w:sz w:val="24"/>
                <w:szCs w:val="24"/>
              </w:rPr>
              <w:t>行政处罚</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ascii="宋体" w:hAnsi="宋体" w:cs="宋体"/>
                <w:color w:val="000000"/>
                <w:kern w:val="0"/>
                <w:sz w:val="24"/>
                <w:szCs w:val="24"/>
              </w:rPr>
              <w:t>4020</w:t>
            </w:r>
            <w:r>
              <w:rPr>
                <w:rFonts w:hint="eastAsia" w:ascii="宋体" w:hAnsi="宋体" w:cs="宋体"/>
                <w:color w:val="000000"/>
                <w:kern w:val="0"/>
                <w:sz w:val="24"/>
                <w:szCs w:val="24"/>
              </w:rPr>
              <w:t>　</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　</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lang w:val="en-US" w:eastAsia="zh-CN"/>
              </w:rPr>
              <w:t>86345</w:t>
            </w:r>
            <w:r>
              <w:rPr>
                <w:rFonts w:hint="eastAsia" w:ascii="宋体" w:hAnsi="宋体" w:cs="宋体"/>
                <w:color w:val="000000"/>
                <w:kern w:val="0"/>
                <w:sz w:val="24"/>
                <w:szCs w:val="24"/>
              </w:rPr>
              <w:t>　</w:t>
            </w:r>
          </w:p>
        </w:tc>
      </w:tr>
      <w:tr>
        <w:tblPrEx>
          <w:tblCellMar>
            <w:top w:w="0" w:type="dxa"/>
            <w:left w:w="0" w:type="dxa"/>
            <w:bottom w:w="0" w:type="dxa"/>
            <w:right w:w="0" w:type="dxa"/>
          </w:tblCellMar>
        </w:tblPrEx>
        <w:trPr>
          <w:trHeight w:val="409"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left"/>
              <w:rPr>
                <w:rFonts w:ascii="宋体" w:cs="Times New Roman"/>
                <w:color w:val="000000"/>
                <w:kern w:val="0"/>
                <w:sz w:val="24"/>
                <w:szCs w:val="24"/>
              </w:rPr>
            </w:pPr>
            <w:r>
              <w:rPr>
                <w:rFonts w:hint="eastAsia" w:ascii="宋体" w:hAnsi="宋体" w:cs="宋体"/>
                <w:color w:val="000000"/>
                <w:kern w:val="0"/>
                <w:sz w:val="24"/>
                <w:szCs w:val="24"/>
              </w:rPr>
              <w:t>行政强制</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　</w:t>
            </w:r>
            <w:r>
              <w:rPr>
                <w:rFonts w:ascii="宋体" w:hAnsi="宋体" w:cs="宋体"/>
                <w:color w:val="000000"/>
                <w:kern w:val="0"/>
                <w:sz w:val="24"/>
                <w:szCs w:val="24"/>
              </w:rPr>
              <w:t>139</w:t>
            </w:r>
          </w:p>
        </w:tc>
        <w:tc>
          <w:tcPr>
            <w:tcW w:w="150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　</w:t>
            </w:r>
          </w:p>
        </w:tc>
        <w:tc>
          <w:tcPr>
            <w:tcW w:w="2018" w:type="dxa"/>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hint="default" w:ascii="宋体" w:eastAsia="宋体" w:cs="Times New Roman"/>
                <w:color w:val="000000"/>
                <w:kern w:val="0"/>
                <w:sz w:val="24"/>
                <w:szCs w:val="24"/>
                <w:lang w:val="en-US" w:eastAsia="zh-CN"/>
              </w:rPr>
            </w:pPr>
            <w:r>
              <w:rPr>
                <w:rFonts w:hint="eastAsia" w:ascii="宋体" w:hAnsi="宋体" w:cs="宋体"/>
                <w:color w:val="000000"/>
                <w:kern w:val="0"/>
                <w:sz w:val="24"/>
                <w:szCs w:val="24"/>
                <w:lang w:val="en-US" w:eastAsia="zh-CN"/>
              </w:rPr>
              <w:t>3118</w:t>
            </w:r>
            <w:bookmarkStart w:id="0" w:name="_GoBack"/>
            <w:bookmarkEnd w:id="0"/>
          </w:p>
        </w:tc>
      </w:tr>
      <w:tr>
        <w:tblPrEx>
          <w:tblCellMar>
            <w:top w:w="0" w:type="dxa"/>
            <w:left w:w="0" w:type="dxa"/>
            <w:bottom w:w="0" w:type="dxa"/>
            <w:right w:w="0" w:type="dxa"/>
          </w:tblCellMar>
        </w:tblPrEx>
        <w:trPr>
          <w:trHeight w:val="474" w:hRule="atLeast"/>
          <w:jc w:val="center"/>
        </w:trPr>
        <w:tc>
          <w:tcPr>
            <w:tcW w:w="8708" w:type="dxa"/>
            <w:gridSpan w:val="5"/>
            <w:tcBorders>
              <w:top w:val="nil"/>
              <w:left w:val="single" w:color="auto" w:sz="12" w:space="0"/>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第二十条第（八）项</w:t>
            </w:r>
          </w:p>
        </w:tc>
      </w:tr>
      <w:tr>
        <w:tblPrEx>
          <w:tblCellMar>
            <w:top w:w="0" w:type="dxa"/>
            <w:left w:w="0" w:type="dxa"/>
            <w:bottom w:w="0" w:type="dxa"/>
            <w:right w:w="0" w:type="dxa"/>
          </w:tblCellMar>
        </w:tblPrEx>
        <w:trPr>
          <w:trHeight w:val="447"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信息内容</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left"/>
              <w:rPr>
                <w:rFonts w:ascii="宋体" w:cs="Times New Roman"/>
                <w:color w:val="000000"/>
                <w:kern w:val="0"/>
                <w:sz w:val="24"/>
                <w:szCs w:val="24"/>
              </w:rPr>
            </w:pPr>
            <w:r>
              <w:rPr>
                <w:rFonts w:hint="eastAsia" w:ascii="宋体" w:hAnsi="宋体" w:cs="宋体"/>
                <w:color w:val="000000"/>
                <w:kern w:val="0"/>
                <w:sz w:val="24"/>
                <w:szCs w:val="24"/>
              </w:rPr>
              <w:t>上一年项目数量</w:t>
            </w:r>
          </w:p>
        </w:tc>
        <w:tc>
          <w:tcPr>
            <w:tcW w:w="3523" w:type="dxa"/>
            <w:gridSpan w:val="2"/>
            <w:tcBorders>
              <w:top w:val="single" w:color="auto" w:sz="8" w:space="0"/>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本年增</w:t>
            </w:r>
            <w:r>
              <w:rPr>
                <w:rFonts w:ascii="宋体" w:hAnsi="宋体" w:cs="宋体"/>
                <w:color w:val="000000"/>
                <w:kern w:val="0"/>
                <w:sz w:val="24"/>
                <w:szCs w:val="24"/>
              </w:rPr>
              <w:t>/</w:t>
            </w:r>
            <w:r>
              <w:rPr>
                <w:rFonts w:hint="eastAsia" w:ascii="宋体" w:hAnsi="宋体" w:cs="宋体"/>
                <w:color w:val="000000"/>
                <w:kern w:val="0"/>
                <w:sz w:val="24"/>
                <w:szCs w:val="24"/>
              </w:rPr>
              <w:t>减</w:t>
            </w:r>
          </w:p>
        </w:tc>
      </w:tr>
      <w:tr>
        <w:tblPrEx>
          <w:tblCellMar>
            <w:top w:w="0" w:type="dxa"/>
            <w:left w:w="0" w:type="dxa"/>
            <w:bottom w:w="0" w:type="dxa"/>
            <w:right w:w="0" w:type="dxa"/>
          </w:tblCellMar>
        </w:tblPrEx>
        <w:trPr>
          <w:trHeight w:val="440" w:hRule="atLeast"/>
          <w:jc w:val="center"/>
        </w:trPr>
        <w:tc>
          <w:tcPr>
            <w:tcW w:w="3073" w:type="dxa"/>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left"/>
              <w:rPr>
                <w:rFonts w:ascii="宋体" w:cs="Times New Roman"/>
                <w:color w:val="000000"/>
                <w:kern w:val="0"/>
                <w:sz w:val="24"/>
                <w:szCs w:val="24"/>
              </w:rPr>
            </w:pPr>
            <w:r>
              <w:rPr>
                <w:rFonts w:hint="eastAsia" w:ascii="宋体" w:hAnsi="宋体" w:cs="宋体"/>
                <w:color w:val="000000"/>
                <w:kern w:val="0"/>
                <w:sz w:val="24"/>
                <w:szCs w:val="24"/>
              </w:rPr>
              <w:t>行政事业性收费</w:t>
            </w:r>
          </w:p>
        </w:tc>
        <w:tc>
          <w:tcPr>
            <w:tcW w:w="2112" w:type="dxa"/>
            <w:gridSpan w:val="2"/>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hint="default" w:ascii="宋体" w:eastAsia="宋体" w:cs="Times New Roman"/>
                <w:color w:val="000000"/>
                <w:kern w:val="0"/>
                <w:sz w:val="24"/>
                <w:szCs w:val="24"/>
                <w:lang w:val="en-US" w:eastAsia="zh-CN"/>
              </w:rPr>
            </w:pPr>
            <w:r>
              <w:rPr>
                <w:rFonts w:hint="eastAsia" w:ascii="宋体" w:hAnsi="宋体" w:cs="宋体"/>
                <w:color w:val="000000"/>
                <w:kern w:val="0"/>
                <w:sz w:val="24"/>
                <w:szCs w:val="24"/>
              </w:rPr>
              <w:t>　</w:t>
            </w:r>
            <w:r>
              <w:rPr>
                <w:rFonts w:hint="eastAsia" w:ascii="宋体" w:hAnsi="宋体" w:cs="宋体"/>
                <w:color w:val="000000"/>
                <w:kern w:val="0"/>
                <w:sz w:val="24"/>
                <w:szCs w:val="24"/>
                <w:lang w:val="en-US" w:eastAsia="zh-CN"/>
              </w:rPr>
              <w:t>27</w:t>
            </w:r>
          </w:p>
        </w:tc>
        <w:tc>
          <w:tcPr>
            <w:tcW w:w="3523" w:type="dxa"/>
            <w:gridSpan w:val="2"/>
            <w:tcBorders>
              <w:top w:val="nil"/>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hint="default" w:ascii="宋体" w:eastAsia="宋体" w:cs="Times New Roman"/>
                <w:color w:val="000000"/>
                <w:kern w:val="0"/>
                <w:sz w:val="24"/>
                <w:szCs w:val="24"/>
                <w:lang w:val="en-US" w:eastAsia="zh-CN"/>
              </w:rPr>
            </w:pPr>
            <w:r>
              <w:rPr>
                <w:rFonts w:hint="eastAsia" w:ascii="宋体" w:hAnsi="宋体" w:cs="宋体"/>
                <w:color w:val="000000"/>
                <w:kern w:val="0"/>
                <w:sz w:val="24"/>
                <w:szCs w:val="24"/>
                <w:lang w:val="en-US" w:eastAsia="zh-CN"/>
              </w:rPr>
              <w:t>+26</w:t>
            </w:r>
          </w:p>
        </w:tc>
      </w:tr>
      <w:tr>
        <w:tblPrEx>
          <w:tblCellMar>
            <w:top w:w="0" w:type="dxa"/>
            <w:left w:w="0" w:type="dxa"/>
            <w:bottom w:w="0" w:type="dxa"/>
            <w:right w:w="0" w:type="dxa"/>
          </w:tblCellMar>
        </w:tblPrEx>
        <w:trPr>
          <w:trHeight w:val="476" w:hRule="atLeast"/>
          <w:jc w:val="center"/>
        </w:trPr>
        <w:tc>
          <w:tcPr>
            <w:tcW w:w="8708" w:type="dxa"/>
            <w:gridSpan w:val="5"/>
            <w:tcBorders>
              <w:top w:val="nil"/>
              <w:left w:val="single" w:color="auto" w:sz="12" w:space="0"/>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第二十条第（九）项</w:t>
            </w:r>
          </w:p>
        </w:tc>
      </w:tr>
      <w:tr>
        <w:tblPrEx>
          <w:tblCellMar>
            <w:top w:w="0" w:type="dxa"/>
            <w:left w:w="0" w:type="dxa"/>
            <w:bottom w:w="0" w:type="dxa"/>
            <w:right w:w="0" w:type="dxa"/>
          </w:tblCellMar>
        </w:tblPrEx>
        <w:trPr>
          <w:trHeight w:val="427" w:hRule="atLeast"/>
          <w:jc w:val="center"/>
        </w:trPr>
        <w:tc>
          <w:tcPr>
            <w:tcW w:w="3090" w:type="dxa"/>
            <w:gridSpan w:val="2"/>
            <w:tcBorders>
              <w:top w:val="nil"/>
              <w:left w:val="single" w:color="auto" w:sz="12" w:space="0"/>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信息内容</w:t>
            </w:r>
          </w:p>
        </w:tc>
        <w:tc>
          <w:tcPr>
            <w:tcW w:w="2095" w:type="dxa"/>
            <w:tcBorders>
              <w:top w:val="nil"/>
              <w:left w:val="nil"/>
              <w:bottom w:val="single" w:color="auto" w:sz="8"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采购项目数量</w:t>
            </w:r>
          </w:p>
        </w:tc>
        <w:tc>
          <w:tcPr>
            <w:tcW w:w="3523" w:type="dxa"/>
            <w:gridSpan w:val="2"/>
            <w:tcBorders>
              <w:top w:val="single" w:color="auto" w:sz="8" w:space="0"/>
              <w:left w:val="nil"/>
              <w:bottom w:val="single" w:color="auto" w:sz="8" w:space="0"/>
              <w:right w:val="single" w:color="auto" w:sz="12"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采购总金额</w:t>
            </w:r>
          </w:p>
        </w:tc>
      </w:tr>
      <w:tr>
        <w:tblPrEx>
          <w:tblCellMar>
            <w:top w:w="0" w:type="dxa"/>
            <w:left w:w="0" w:type="dxa"/>
            <w:bottom w:w="0" w:type="dxa"/>
            <w:right w:w="0" w:type="dxa"/>
          </w:tblCellMar>
        </w:tblPrEx>
        <w:trPr>
          <w:trHeight w:val="469" w:hRule="atLeast"/>
          <w:jc w:val="center"/>
        </w:trPr>
        <w:tc>
          <w:tcPr>
            <w:tcW w:w="3090" w:type="dxa"/>
            <w:gridSpan w:val="2"/>
            <w:tcBorders>
              <w:top w:val="nil"/>
              <w:left w:val="single" w:color="auto" w:sz="12" w:space="0"/>
              <w:bottom w:val="single" w:color="auto" w:sz="12" w:space="0"/>
              <w:right w:val="single" w:color="auto" w:sz="8" w:space="0"/>
            </w:tcBorders>
            <w:shd w:val="clear" w:color="auto" w:fill="FFFFFF"/>
            <w:tcMar>
              <w:left w:w="108" w:type="dxa"/>
              <w:right w:w="108" w:type="dxa"/>
            </w:tcMar>
            <w:vAlign w:val="center"/>
          </w:tcPr>
          <w:p>
            <w:pPr>
              <w:widowControl/>
              <w:jc w:val="left"/>
              <w:rPr>
                <w:rFonts w:ascii="宋体" w:cs="Times New Roman"/>
                <w:color w:val="000000"/>
                <w:kern w:val="0"/>
                <w:sz w:val="24"/>
                <w:szCs w:val="24"/>
              </w:rPr>
            </w:pPr>
            <w:r>
              <w:rPr>
                <w:rFonts w:hint="eastAsia" w:ascii="宋体" w:hAnsi="宋体" w:cs="宋体"/>
                <w:color w:val="000000"/>
                <w:kern w:val="0"/>
                <w:sz w:val="24"/>
                <w:szCs w:val="24"/>
              </w:rPr>
              <w:t>政府集中采购</w:t>
            </w:r>
          </w:p>
        </w:tc>
        <w:tc>
          <w:tcPr>
            <w:tcW w:w="2095" w:type="dxa"/>
            <w:tcBorders>
              <w:top w:val="nil"/>
              <w:left w:val="nil"/>
              <w:bottom w:val="single" w:color="auto" w:sz="12" w:space="0"/>
              <w:right w:val="single" w:color="auto" w:sz="8" w:space="0"/>
            </w:tcBorders>
            <w:shd w:val="clear" w:color="auto" w:fill="FFFFFF"/>
            <w:tcMar>
              <w:left w:w="108" w:type="dxa"/>
              <w:right w:w="108" w:type="dxa"/>
            </w:tcMar>
            <w:vAlign w:val="center"/>
          </w:tcPr>
          <w:p>
            <w:pPr>
              <w:widowControl/>
              <w:jc w:val="center"/>
              <w:rPr>
                <w:rFonts w:ascii="宋体" w:cs="Times New Roman"/>
                <w:color w:val="000000"/>
                <w:kern w:val="0"/>
                <w:sz w:val="24"/>
                <w:szCs w:val="24"/>
              </w:rPr>
            </w:pPr>
            <w:r>
              <w:rPr>
                <w:rFonts w:hint="eastAsia" w:ascii="宋体" w:hAnsi="宋体" w:cs="宋体"/>
                <w:color w:val="000000"/>
                <w:kern w:val="0"/>
                <w:sz w:val="24"/>
                <w:szCs w:val="24"/>
              </w:rPr>
              <w:t>　</w:t>
            </w:r>
            <w:r>
              <w:rPr>
                <w:rFonts w:ascii="宋体" w:cs="宋体"/>
                <w:color w:val="000000"/>
                <w:kern w:val="0"/>
                <w:sz w:val="24"/>
                <w:szCs w:val="24"/>
              </w:rPr>
              <w:t>0</w:t>
            </w:r>
          </w:p>
        </w:tc>
        <w:tc>
          <w:tcPr>
            <w:tcW w:w="3523" w:type="dxa"/>
            <w:gridSpan w:val="2"/>
            <w:tcBorders>
              <w:top w:val="nil"/>
              <w:left w:val="nil"/>
              <w:bottom w:val="single" w:color="auto" w:sz="12" w:space="0"/>
              <w:right w:val="single" w:color="auto" w:sz="12" w:space="0"/>
            </w:tcBorders>
            <w:shd w:val="clear" w:color="auto" w:fill="FFFFFF"/>
            <w:tcMar>
              <w:left w:w="108" w:type="dxa"/>
              <w:right w:w="108" w:type="dxa"/>
            </w:tcMar>
            <w:vAlign w:val="center"/>
          </w:tcPr>
          <w:p>
            <w:pPr>
              <w:jc w:val="center"/>
              <w:rPr>
                <w:rFonts w:ascii="宋体" w:cs="Times New Roman"/>
                <w:color w:val="000000"/>
                <w:kern w:val="0"/>
                <w:sz w:val="24"/>
                <w:szCs w:val="24"/>
              </w:rPr>
            </w:pPr>
            <w:r>
              <w:rPr>
                <w:rFonts w:ascii="宋体" w:cs="宋体"/>
                <w:color w:val="000000"/>
                <w:kern w:val="0"/>
                <w:sz w:val="24"/>
                <w:szCs w:val="24"/>
              </w:rPr>
              <w:t>0</w:t>
            </w:r>
          </w:p>
        </w:tc>
      </w:tr>
    </w:tbl>
    <w:p>
      <w:pPr>
        <w:pStyle w:val="5"/>
        <w:widowControl/>
        <w:shd w:val="clear" w:color="auto" w:fill="FFFFFF"/>
        <w:spacing w:beforeAutospacing="0" w:afterAutospacing="0"/>
        <w:ind w:firstLine="420"/>
        <w:jc w:val="both"/>
        <w:rPr>
          <w:rFonts w:ascii="宋体" w:cs="Times New Roman"/>
          <w:color w:val="333333"/>
        </w:rPr>
      </w:pPr>
    </w:p>
    <w:p>
      <w:pPr>
        <w:pStyle w:val="5"/>
        <w:widowControl/>
        <w:shd w:val="clear" w:color="auto" w:fill="FFFFFF"/>
        <w:spacing w:beforeAutospacing="0" w:after="240" w:afterAutospacing="0"/>
        <w:ind w:left="-199" w:leftChars="-95" w:firstLine="620"/>
        <w:jc w:val="both"/>
        <w:rPr>
          <w:rFonts w:ascii="黑体" w:hAnsi="黑体" w:eastAsia="黑体" w:cs="Times New Roman"/>
          <w:color w:val="333333"/>
          <w:sz w:val="32"/>
          <w:szCs w:val="32"/>
        </w:rPr>
      </w:pPr>
      <w:r>
        <w:rPr>
          <w:rFonts w:hint="eastAsia" w:ascii="黑体" w:hAnsi="黑体" w:eastAsia="黑体" w:cs="黑体"/>
          <w:b/>
          <w:bCs/>
          <w:color w:val="333333"/>
          <w:sz w:val="32"/>
          <w:szCs w:val="32"/>
          <w:shd w:val="clear" w:color="auto" w:fill="FFFFFF"/>
        </w:rPr>
        <w:t>三、收到和处理政府信息公开申请情况</w:t>
      </w:r>
    </w:p>
    <w:tbl>
      <w:tblPr>
        <w:tblStyle w:val="6"/>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525"/>
        <w:gridCol w:w="1418"/>
        <w:gridCol w:w="2835"/>
        <w:gridCol w:w="850"/>
        <w:gridCol w:w="567"/>
        <w:gridCol w:w="567"/>
        <w:gridCol w:w="567"/>
        <w:gridCol w:w="567"/>
        <w:gridCol w:w="540"/>
        <w:gridCol w:w="635"/>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13" w:hRule="atLeast"/>
          <w:jc w:val="center"/>
        </w:trPr>
        <w:tc>
          <w:tcPr>
            <w:tcW w:w="4778" w:type="dxa"/>
            <w:gridSpan w:val="3"/>
            <w:vMerge w:val="restart"/>
            <w:tcBorders>
              <w:top w:val="single" w:color="auto" w:sz="12" w:space="0"/>
              <w:left w:val="single" w:color="auto" w:sz="12" w:space="0"/>
              <w:bottom w:val="single" w:color="auto" w:sz="8" w:space="0"/>
              <w:right w:val="single" w:color="auto" w:sz="8" w:space="0"/>
            </w:tcBorders>
            <w:tcMar>
              <w:left w:w="108" w:type="dxa"/>
              <w:right w:w="108" w:type="dxa"/>
            </w:tcMar>
            <w:vAlign w:val="center"/>
          </w:tcPr>
          <w:p>
            <w:pPr>
              <w:widowControl/>
              <w:jc w:val="center"/>
              <w:rPr>
                <w:rFonts w:ascii="宋体" w:cs="Times New Roman"/>
                <w:kern w:val="0"/>
                <w:sz w:val="20"/>
                <w:szCs w:val="20"/>
              </w:rPr>
            </w:pPr>
            <w:r>
              <w:rPr>
                <w:rFonts w:hint="eastAsia" w:ascii="宋体" w:hAnsi="宋体" w:cs="宋体"/>
                <w:kern w:val="0"/>
                <w:sz w:val="20"/>
                <w:szCs w:val="20"/>
              </w:rPr>
              <w:t>（本列数据的勾稽关系为：第一项加第二项之和，</w:t>
            </w:r>
          </w:p>
          <w:p>
            <w:pPr>
              <w:widowControl/>
              <w:jc w:val="center"/>
              <w:rPr>
                <w:rFonts w:cs="Times New Roman"/>
              </w:rPr>
            </w:pPr>
            <w:r>
              <w:rPr>
                <w:rFonts w:hint="eastAsia" w:ascii="宋体" w:hAnsi="宋体" w:cs="宋体"/>
                <w:kern w:val="0"/>
                <w:sz w:val="20"/>
                <w:szCs w:val="20"/>
              </w:rPr>
              <w:t>等于第三项加第四项之和）</w:t>
            </w:r>
          </w:p>
        </w:tc>
        <w:tc>
          <w:tcPr>
            <w:tcW w:w="4293" w:type="dxa"/>
            <w:gridSpan w:val="7"/>
            <w:tcBorders>
              <w:top w:val="single" w:color="auto" w:sz="12" w:space="0"/>
              <w:left w:val="nil"/>
              <w:bottom w:val="single" w:color="auto" w:sz="8" w:space="0"/>
              <w:right w:val="single" w:color="auto" w:sz="12" w:space="0"/>
            </w:tcBorders>
            <w:tcMar>
              <w:left w:w="108" w:type="dxa"/>
              <w:right w:w="108" w:type="dxa"/>
            </w:tcMar>
            <w:vAlign w:val="center"/>
          </w:tcPr>
          <w:p>
            <w:pPr>
              <w:widowControl/>
              <w:spacing w:line="320" w:lineRule="exact"/>
              <w:jc w:val="center"/>
              <w:rPr>
                <w:rFonts w:cs="Times New Roman"/>
              </w:rPr>
            </w:pPr>
            <w:r>
              <w:rPr>
                <w:rFonts w:hint="eastAsia" w:ascii="宋体" w:hAnsi="宋体" w:cs="宋体"/>
                <w:kern w:val="0"/>
                <w:sz w:val="20"/>
                <w:szCs w:val="20"/>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25" w:hRule="atLeast"/>
          <w:jc w:val="center"/>
        </w:trPr>
        <w:tc>
          <w:tcPr>
            <w:tcW w:w="4778" w:type="dxa"/>
            <w:gridSpan w:val="3"/>
            <w:vMerge w:val="continue"/>
            <w:tcBorders>
              <w:top w:val="single" w:color="auto" w:sz="8" w:space="0"/>
              <w:left w:val="single" w:color="auto" w:sz="12" w:space="0"/>
              <w:bottom w:val="single" w:color="auto" w:sz="8" w:space="0"/>
              <w:right w:val="single" w:color="auto" w:sz="8" w:space="0"/>
            </w:tcBorders>
            <w:tcMar>
              <w:left w:w="108" w:type="dxa"/>
              <w:right w:w="108" w:type="dxa"/>
            </w:tcMar>
            <w:vAlign w:val="center"/>
          </w:tcPr>
          <w:p>
            <w:pPr>
              <w:jc w:val="center"/>
              <w:rPr>
                <w:rFonts w:ascii="宋体" w:cs="Times New Roman"/>
                <w:sz w:val="24"/>
                <w:szCs w:val="24"/>
              </w:rPr>
            </w:pPr>
          </w:p>
        </w:tc>
        <w:tc>
          <w:tcPr>
            <w:tcW w:w="850" w:type="dxa"/>
            <w:vMerge w:val="restart"/>
            <w:tcBorders>
              <w:top w:val="nil"/>
              <w:left w:val="nil"/>
              <w:bottom w:val="single" w:color="auto" w:sz="8" w:space="0"/>
              <w:right w:val="single" w:color="auto" w:sz="8" w:space="0"/>
            </w:tcBorders>
            <w:tcMar>
              <w:left w:w="108" w:type="dxa"/>
              <w:right w:w="108" w:type="dxa"/>
            </w:tcMar>
            <w:vAlign w:val="center"/>
          </w:tcPr>
          <w:p>
            <w:pPr>
              <w:widowControl/>
              <w:jc w:val="center"/>
              <w:rPr>
                <w:rFonts w:cs="Times New Roman"/>
              </w:rPr>
            </w:pPr>
            <w:r>
              <w:rPr>
                <w:rFonts w:hint="eastAsia" w:ascii="宋体" w:hAnsi="宋体" w:cs="宋体"/>
                <w:kern w:val="0"/>
                <w:sz w:val="20"/>
                <w:szCs w:val="20"/>
              </w:rPr>
              <w:t>自然人</w:t>
            </w:r>
          </w:p>
        </w:tc>
        <w:tc>
          <w:tcPr>
            <w:tcW w:w="2808" w:type="dxa"/>
            <w:gridSpan w:val="5"/>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20" w:lineRule="exact"/>
              <w:jc w:val="center"/>
              <w:rPr>
                <w:rFonts w:cs="Times New Roman"/>
              </w:rPr>
            </w:pPr>
            <w:r>
              <w:rPr>
                <w:rFonts w:hint="eastAsia" w:ascii="宋体" w:hAnsi="宋体" w:cs="宋体"/>
                <w:kern w:val="0"/>
                <w:sz w:val="20"/>
                <w:szCs w:val="20"/>
              </w:rPr>
              <w:t>法人或其他组织</w:t>
            </w:r>
          </w:p>
        </w:tc>
        <w:tc>
          <w:tcPr>
            <w:tcW w:w="635" w:type="dxa"/>
            <w:vMerge w:val="restart"/>
            <w:tcBorders>
              <w:top w:val="single" w:color="auto" w:sz="8" w:space="0"/>
              <w:left w:val="nil"/>
              <w:bottom w:val="single" w:color="auto" w:sz="8" w:space="0"/>
              <w:right w:val="single" w:color="auto" w:sz="12" w:space="0"/>
            </w:tcBorders>
            <w:tcMar>
              <w:left w:w="108" w:type="dxa"/>
              <w:right w:w="108" w:type="dxa"/>
            </w:tcMar>
            <w:vAlign w:val="center"/>
          </w:tcPr>
          <w:p>
            <w:pPr>
              <w:widowControl/>
              <w:jc w:val="center"/>
              <w:rPr>
                <w:rFonts w:cs="Times New Roman"/>
              </w:rPr>
            </w:pPr>
            <w:r>
              <w:rPr>
                <w:rFonts w:hint="eastAsia" w:ascii="宋体" w:hAnsi="宋体" w:cs="宋体"/>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127" w:hRule="atLeast"/>
          <w:jc w:val="center"/>
        </w:trPr>
        <w:tc>
          <w:tcPr>
            <w:tcW w:w="4778" w:type="dxa"/>
            <w:gridSpan w:val="3"/>
            <w:vMerge w:val="continue"/>
            <w:tcBorders>
              <w:top w:val="single" w:color="auto" w:sz="8" w:space="0"/>
              <w:left w:val="single" w:color="auto" w:sz="12" w:space="0"/>
              <w:bottom w:val="single" w:color="auto" w:sz="8" w:space="0"/>
              <w:right w:val="single" w:color="auto" w:sz="8" w:space="0"/>
            </w:tcBorders>
            <w:tcMar>
              <w:left w:w="108" w:type="dxa"/>
              <w:right w:w="108" w:type="dxa"/>
            </w:tcMar>
            <w:vAlign w:val="center"/>
          </w:tcPr>
          <w:p>
            <w:pPr>
              <w:jc w:val="center"/>
              <w:rPr>
                <w:rFonts w:ascii="宋体" w:cs="Times New Roman"/>
                <w:sz w:val="24"/>
                <w:szCs w:val="24"/>
              </w:rPr>
            </w:pPr>
          </w:p>
        </w:tc>
        <w:tc>
          <w:tcPr>
            <w:tcW w:w="850" w:type="dxa"/>
            <w:vMerge w:val="continue"/>
            <w:tcBorders>
              <w:top w:val="nil"/>
              <w:left w:val="nil"/>
              <w:bottom w:val="single" w:color="auto" w:sz="8" w:space="0"/>
              <w:right w:val="single" w:color="auto" w:sz="8" w:space="0"/>
            </w:tcBorders>
            <w:tcMar>
              <w:left w:w="108" w:type="dxa"/>
              <w:right w:w="108" w:type="dxa"/>
            </w:tcMar>
            <w:vAlign w:val="center"/>
          </w:tcPr>
          <w:p>
            <w:pPr>
              <w:jc w:val="center"/>
              <w:rPr>
                <w:rFonts w:ascii="宋体" w:cs="Times New Roman"/>
                <w:sz w:val="24"/>
                <w:szCs w:val="24"/>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line="320" w:lineRule="exact"/>
              <w:ind w:left="-106" w:leftChars="-51" w:right="-107" w:rightChars="-51" w:hanging="1"/>
              <w:jc w:val="center"/>
              <w:rPr>
                <w:rFonts w:cs="Times New Roman"/>
              </w:rPr>
            </w:pPr>
            <w:r>
              <w:rPr>
                <w:rFonts w:hint="eastAsia" w:ascii="宋体" w:hAnsi="宋体" w:cs="宋体"/>
                <w:kern w:val="0"/>
                <w:sz w:val="20"/>
                <w:szCs w:val="20"/>
              </w:rPr>
              <w:t>商业企业</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line="320" w:lineRule="exact"/>
              <w:ind w:left="-107" w:leftChars="-51" w:right="-107" w:rightChars="-51"/>
              <w:jc w:val="center"/>
              <w:rPr>
                <w:rFonts w:cs="Times New Roman"/>
              </w:rPr>
            </w:pPr>
            <w:r>
              <w:rPr>
                <w:rFonts w:hint="eastAsia" w:ascii="宋体" w:hAnsi="宋体" w:cs="宋体"/>
                <w:kern w:val="0"/>
                <w:sz w:val="20"/>
                <w:szCs w:val="20"/>
              </w:rPr>
              <w:t>科研机构</w:t>
            </w:r>
          </w:p>
        </w:tc>
        <w:tc>
          <w:tcPr>
            <w:tcW w:w="567"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20" w:lineRule="exact"/>
              <w:ind w:left="-107" w:leftChars="-51" w:right="-107" w:rightChars="-51"/>
              <w:jc w:val="center"/>
              <w:rPr>
                <w:rFonts w:cs="Times New Roman"/>
              </w:rPr>
            </w:pPr>
            <w:r>
              <w:rPr>
                <w:rFonts w:hint="eastAsia" w:ascii="宋体" w:hAnsi="宋体" w:cs="宋体"/>
                <w:kern w:val="0"/>
                <w:sz w:val="20"/>
                <w:szCs w:val="20"/>
              </w:rPr>
              <w:t>社会公益组织</w:t>
            </w:r>
          </w:p>
        </w:tc>
        <w:tc>
          <w:tcPr>
            <w:tcW w:w="567"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20" w:lineRule="exact"/>
              <w:ind w:left="-106" w:leftChars="-51" w:right="-107" w:rightChars="-51" w:hanging="1"/>
              <w:jc w:val="center"/>
              <w:rPr>
                <w:rFonts w:cs="Times New Roman"/>
              </w:rPr>
            </w:pPr>
            <w:r>
              <w:rPr>
                <w:rFonts w:hint="eastAsia" w:ascii="宋体" w:hAnsi="宋体" w:cs="宋体"/>
                <w:kern w:val="0"/>
                <w:sz w:val="20"/>
                <w:szCs w:val="20"/>
              </w:rPr>
              <w:t>法律服务机构</w:t>
            </w:r>
          </w:p>
        </w:tc>
        <w:tc>
          <w:tcPr>
            <w:tcW w:w="540" w:type="dxa"/>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60" w:lineRule="exact"/>
              <w:ind w:left="-63" w:leftChars="-30" w:right="-134" w:rightChars="-64"/>
              <w:jc w:val="center"/>
              <w:rPr>
                <w:rFonts w:cs="Times New Roman"/>
              </w:rPr>
            </w:pPr>
            <w:r>
              <w:rPr>
                <w:rFonts w:hint="eastAsia" w:ascii="宋体" w:hAnsi="宋体" w:cs="宋体"/>
                <w:kern w:val="0"/>
                <w:sz w:val="20"/>
                <w:szCs w:val="20"/>
              </w:rPr>
              <w:t>其他</w:t>
            </w:r>
          </w:p>
        </w:tc>
        <w:tc>
          <w:tcPr>
            <w:tcW w:w="635" w:type="dxa"/>
            <w:vMerge w:val="continue"/>
            <w:tcBorders>
              <w:top w:val="single" w:color="auto" w:sz="8" w:space="0"/>
              <w:left w:val="nil"/>
              <w:bottom w:val="single" w:color="auto" w:sz="8" w:space="0"/>
              <w:right w:val="single" w:color="auto" w:sz="12" w:space="0"/>
            </w:tcBorders>
            <w:tcMar>
              <w:left w:w="108" w:type="dxa"/>
              <w:right w:w="108" w:type="dxa"/>
            </w:tcMar>
            <w:vAlign w:val="center"/>
          </w:tcPr>
          <w:p>
            <w:pPr>
              <w:jc w:val="center"/>
              <w:rPr>
                <w:rFonts w:ascii="宋体" w:cs="Times New Roman"/>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12" w:space="0"/>
              <w:bottom w:val="single" w:color="auto" w:sz="8" w:space="0"/>
              <w:right w:val="single" w:color="auto" w:sz="8" w:space="0"/>
            </w:tcBorders>
            <w:tcMar>
              <w:left w:w="108" w:type="dxa"/>
              <w:right w:w="108" w:type="dxa"/>
            </w:tcMar>
            <w:vAlign w:val="center"/>
          </w:tcPr>
          <w:p>
            <w:pPr>
              <w:widowControl/>
              <w:rPr>
                <w:rFonts w:cs="Times New Roman"/>
              </w:rPr>
            </w:pPr>
            <w:r>
              <w:rPr>
                <w:rFonts w:hint="eastAsia" w:ascii="宋体" w:hAnsi="宋体" w:cs="宋体"/>
                <w:kern w:val="0"/>
                <w:sz w:val="20"/>
                <w:szCs w:val="20"/>
              </w:rPr>
              <w:t>一、本年新收政府信息公开申请数量</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r>
              <w:t>161</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r>
              <w:t>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r>
              <w:t>8</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r>
              <w:t>172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12" w:space="0"/>
              <w:bottom w:val="single" w:color="auto" w:sz="8" w:space="0"/>
              <w:right w:val="single" w:color="auto" w:sz="8" w:space="0"/>
            </w:tcBorders>
            <w:tcMar>
              <w:left w:w="108" w:type="dxa"/>
              <w:right w:w="108" w:type="dxa"/>
            </w:tcMar>
            <w:vAlign w:val="center"/>
          </w:tcPr>
          <w:p>
            <w:pPr>
              <w:widowControl/>
              <w:rPr>
                <w:rFonts w:cs="Times New Roman"/>
              </w:rPr>
            </w:pPr>
            <w:r>
              <w:rPr>
                <w:rFonts w:hint="eastAsia" w:ascii="宋体" w:hAnsi="宋体" w:cs="宋体"/>
                <w:kern w:val="0"/>
                <w:sz w:val="20"/>
                <w:szCs w:val="20"/>
              </w:rPr>
              <w:t>二、上年结转政府信息公开申请数量</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restart"/>
            <w:tcBorders>
              <w:top w:val="nil"/>
              <w:left w:val="single" w:color="auto" w:sz="12" w:space="0"/>
              <w:bottom w:val="single" w:color="auto" w:sz="8" w:space="0"/>
              <w:right w:val="single" w:color="auto" w:sz="8" w:space="0"/>
            </w:tcBorders>
            <w:tcMar>
              <w:left w:w="108" w:type="dxa"/>
              <w:right w:w="108" w:type="dxa"/>
            </w:tcMar>
            <w:vAlign w:val="center"/>
          </w:tcPr>
          <w:p>
            <w:pPr>
              <w:widowControl/>
              <w:spacing w:after="180"/>
              <w:rPr>
                <w:rFonts w:cs="Times New Roman"/>
              </w:rPr>
            </w:pPr>
            <w:r>
              <w:rPr>
                <w:rFonts w:hint="eastAsia" w:ascii="宋体" w:hAnsi="宋体" w:cs="宋体"/>
                <w:kern w:val="0"/>
                <w:sz w:val="20"/>
                <w:szCs w:val="20"/>
              </w:rPr>
              <w:t>三、本年度办理结果</w:t>
            </w:r>
          </w:p>
        </w:tc>
        <w:tc>
          <w:tcPr>
            <w:tcW w:w="4253" w:type="dxa"/>
            <w:gridSpan w:val="2"/>
            <w:tcBorders>
              <w:top w:val="nil"/>
              <w:left w:val="nil"/>
              <w:bottom w:val="single" w:color="auto" w:sz="8" w:space="0"/>
              <w:right w:val="single" w:color="auto" w:sz="8" w:space="0"/>
            </w:tcBorders>
            <w:tcMar>
              <w:left w:w="108" w:type="dxa"/>
              <w:right w:w="108" w:type="dxa"/>
            </w:tcMar>
            <w:vAlign w:val="center"/>
          </w:tcPr>
          <w:p>
            <w:pPr>
              <w:widowControl/>
              <w:rPr>
                <w:rFonts w:cs="Times New Roman"/>
              </w:rPr>
            </w:pPr>
            <w:r>
              <w:rPr>
                <w:rFonts w:hint="eastAsia" w:ascii="楷体" w:hAnsi="楷体" w:eastAsia="楷体" w:cs="楷体"/>
                <w:kern w:val="0"/>
                <w:sz w:val="20"/>
                <w:szCs w:val="20"/>
              </w:rPr>
              <w:t>（一）予以公开</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r>
              <w:t>62</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r>
              <w:t>4</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single" w:color="auto" w:sz="8" w:space="0"/>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r>
              <w:t>66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4253" w:type="dxa"/>
            <w:gridSpan w:val="2"/>
            <w:tcBorders>
              <w:top w:val="nil"/>
              <w:left w:val="nil"/>
              <w:bottom w:val="single" w:color="auto" w:sz="8" w:space="0"/>
              <w:right w:val="single" w:color="auto" w:sz="8" w:space="0"/>
            </w:tcBorders>
            <w:tcMar>
              <w:left w:w="108" w:type="dxa"/>
              <w:right w:w="108" w:type="dxa"/>
            </w:tcMar>
            <w:vAlign w:val="center"/>
          </w:tcPr>
          <w:p>
            <w:pPr>
              <w:widowControl/>
              <w:rPr>
                <w:rFonts w:cs="Times New Roman"/>
              </w:rPr>
            </w:pPr>
            <w:r>
              <w:rPr>
                <w:rFonts w:hint="eastAsia" w:ascii="楷体" w:hAnsi="楷体" w:eastAsia="楷体" w:cs="楷体"/>
                <w:kern w:val="0"/>
                <w:sz w:val="20"/>
                <w:szCs w:val="20"/>
              </w:rPr>
              <w:t>（二）部分公开（区分处理的，只计这一情形，不计其他情形）</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rPr>
                <w:rFonts w:cs="Times New Roman"/>
              </w:rPr>
            </w:pPr>
            <w:r>
              <w:t>2</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restart"/>
            <w:tcBorders>
              <w:top w:val="nil"/>
              <w:left w:val="nil"/>
              <w:bottom w:val="single" w:color="auto" w:sz="8" w:space="0"/>
              <w:right w:val="single" w:color="auto" w:sz="8" w:space="0"/>
            </w:tcBorders>
            <w:tcMar>
              <w:left w:w="108" w:type="dxa"/>
              <w:right w:w="108" w:type="dxa"/>
            </w:tcMar>
            <w:vAlign w:val="center"/>
          </w:tcPr>
          <w:p>
            <w:pPr>
              <w:widowControl/>
              <w:spacing w:line="200" w:lineRule="exact"/>
              <w:ind w:left="-107" w:leftChars="-51"/>
              <w:rPr>
                <w:rFonts w:cs="Times New Roman"/>
              </w:rPr>
            </w:pPr>
            <w:r>
              <w:rPr>
                <w:rFonts w:hint="eastAsia" w:ascii="楷体" w:hAnsi="楷体" w:eastAsia="楷体" w:cs="楷体"/>
                <w:kern w:val="0"/>
                <w:sz w:val="20"/>
                <w:szCs w:val="20"/>
              </w:rPr>
              <w:t>（三）不予公开</w:t>
            </w: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1.</w:t>
            </w:r>
            <w:r>
              <w:rPr>
                <w:rFonts w:hint="eastAsia" w:ascii="楷体" w:hAnsi="楷体" w:eastAsia="楷体" w:cs="楷体"/>
                <w:kern w:val="0"/>
                <w:sz w:val="20"/>
                <w:szCs w:val="20"/>
              </w:rPr>
              <w:t>属于国家秘密</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r>
              <w:t>1</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single" w:color="auto" w:sz="8" w:space="0"/>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2.</w:t>
            </w:r>
            <w:r>
              <w:rPr>
                <w:rFonts w:hint="eastAsia" w:ascii="楷体" w:hAnsi="楷体" w:eastAsia="楷体" w:cs="楷体"/>
                <w:kern w:val="0"/>
                <w:sz w:val="20"/>
                <w:szCs w:val="20"/>
              </w:rPr>
              <w:t>其他法律行政法规禁止公开</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3.</w:t>
            </w:r>
            <w:r>
              <w:rPr>
                <w:rFonts w:hint="eastAsia" w:ascii="楷体" w:hAnsi="楷体" w:eastAsia="楷体" w:cs="楷体"/>
                <w:kern w:val="0"/>
                <w:sz w:val="20"/>
                <w:szCs w:val="20"/>
              </w:rPr>
              <w:t>危及“三安全一稳定”</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4.</w:t>
            </w:r>
            <w:r>
              <w:rPr>
                <w:rFonts w:hint="eastAsia" w:ascii="楷体" w:hAnsi="楷体" w:eastAsia="楷体" w:cs="楷体"/>
                <w:kern w:val="0"/>
                <w:sz w:val="20"/>
                <w:szCs w:val="20"/>
              </w:rPr>
              <w:t>保护第三方合法权益</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5.</w:t>
            </w:r>
            <w:r>
              <w:rPr>
                <w:rFonts w:hint="eastAsia" w:ascii="楷体" w:hAnsi="楷体" w:eastAsia="楷体" w:cs="楷体"/>
                <w:kern w:val="0"/>
                <w:sz w:val="20"/>
                <w:szCs w:val="20"/>
              </w:rPr>
              <w:t>属于三类内部事务信息</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r>
              <w:t>12</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r>
              <w:t>12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6.</w:t>
            </w:r>
            <w:r>
              <w:rPr>
                <w:rFonts w:hint="eastAsia" w:ascii="楷体" w:hAnsi="楷体" w:eastAsia="楷体" w:cs="楷体"/>
                <w:kern w:val="0"/>
                <w:sz w:val="20"/>
                <w:szCs w:val="20"/>
              </w:rPr>
              <w:t>属于四类过程性信息</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7.</w:t>
            </w:r>
            <w:r>
              <w:rPr>
                <w:rFonts w:hint="eastAsia" w:ascii="楷体" w:hAnsi="楷体" w:eastAsia="楷体" w:cs="楷体"/>
                <w:kern w:val="0"/>
                <w:sz w:val="20"/>
                <w:szCs w:val="20"/>
              </w:rPr>
              <w:t>属于行政执法案卷</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8.</w:t>
            </w:r>
            <w:r>
              <w:rPr>
                <w:rFonts w:hint="eastAsia" w:ascii="楷体" w:hAnsi="楷体" w:eastAsia="楷体" w:cs="楷体"/>
                <w:kern w:val="0"/>
                <w:sz w:val="20"/>
                <w:szCs w:val="20"/>
              </w:rPr>
              <w:t>属于行政查询事项</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restart"/>
            <w:tcBorders>
              <w:top w:val="nil"/>
              <w:left w:val="nil"/>
              <w:bottom w:val="single" w:color="auto" w:sz="8" w:space="0"/>
              <w:right w:val="single" w:color="auto" w:sz="8" w:space="0"/>
            </w:tcBorders>
            <w:tcMar>
              <w:left w:w="108" w:type="dxa"/>
              <w:right w:w="108" w:type="dxa"/>
            </w:tcMar>
            <w:vAlign w:val="center"/>
          </w:tcPr>
          <w:p>
            <w:pPr>
              <w:widowControl/>
              <w:spacing w:line="200" w:lineRule="exact"/>
              <w:ind w:left="-107" w:leftChars="-51"/>
              <w:rPr>
                <w:rFonts w:cs="Times New Roman"/>
              </w:rPr>
            </w:pPr>
            <w:r>
              <w:rPr>
                <w:rFonts w:hint="eastAsia" w:ascii="楷体" w:hAnsi="楷体" w:eastAsia="楷体" w:cs="楷体"/>
                <w:kern w:val="0"/>
                <w:sz w:val="20"/>
                <w:szCs w:val="20"/>
              </w:rPr>
              <w:t>（四）无法提供</w:t>
            </w: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1.</w:t>
            </w:r>
            <w:r>
              <w:rPr>
                <w:rFonts w:hint="eastAsia" w:ascii="楷体" w:hAnsi="楷体" w:eastAsia="楷体" w:cs="楷体"/>
                <w:kern w:val="0"/>
                <w:sz w:val="20"/>
                <w:szCs w:val="20"/>
              </w:rPr>
              <w:t>本机关不掌握相关政府信息</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r>
              <w:t>36</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r>
              <w:t>4</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r>
              <w:t>40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ind w:left="-107" w:leftChars="-51"/>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2.</w:t>
            </w:r>
            <w:r>
              <w:rPr>
                <w:rFonts w:hint="eastAsia" w:ascii="楷体" w:hAnsi="楷体" w:eastAsia="楷体" w:cs="楷体"/>
                <w:kern w:val="0"/>
                <w:sz w:val="20"/>
                <w:szCs w:val="20"/>
              </w:rPr>
              <w:t>没有现成信息需要另行制作</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r>
              <w:t>25</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r>
              <w:t>2</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r>
              <w:t>27</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ind w:left="-107" w:leftChars="-51"/>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3.</w:t>
            </w:r>
            <w:r>
              <w:rPr>
                <w:rFonts w:hint="eastAsia" w:ascii="楷体" w:hAnsi="楷体" w:eastAsia="楷体" w:cs="楷体"/>
                <w:kern w:val="0"/>
                <w:sz w:val="20"/>
                <w:szCs w:val="20"/>
              </w:rPr>
              <w:t>补正后申请内容仍不明确</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restart"/>
            <w:tcBorders>
              <w:top w:val="nil"/>
              <w:left w:val="nil"/>
              <w:bottom w:val="single" w:color="auto" w:sz="8" w:space="0"/>
              <w:right w:val="single" w:color="auto" w:sz="8" w:space="0"/>
            </w:tcBorders>
            <w:tcMar>
              <w:left w:w="108" w:type="dxa"/>
              <w:right w:w="108" w:type="dxa"/>
            </w:tcMar>
            <w:vAlign w:val="center"/>
          </w:tcPr>
          <w:p>
            <w:pPr>
              <w:widowControl/>
              <w:spacing w:line="200" w:lineRule="exact"/>
              <w:ind w:left="-107" w:leftChars="-51"/>
              <w:rPr>
                <w:rFonts w:cs="Times New Roman"/>
              </w:rPr>
            </w:pPr>
            <w:r>
              <w:rPr>
                <w:rFonts w:hint="eastAsia" w:ascii="楷体" w:hAnsi="楷体" w:eastAsia="楷体" w:cs="楷体"/>
                <w:kern w:val="0"/>
                <w:sz w:val="20"/>
                <w:szCs w:val="20"/>
              </w:rPr>
              <w:t>（五）不予处理</w:t>
            </w: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1.</w:t>
            </w:r>
            <w:r>
              <w:rPr>
                <w:rFonts w:hint="eastAsia" w:ascii="楷体" w:hAnsi="楷体" w:eastAsia="楷体" w:cs="楷体"/>
                <w:kern w:val="0"/>
                <w:sz w:val="20"/>
                <w:szCs w:val="20"/>
              </w:rPr>
              <w:t>信访举报投诉类申请</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ascii="楷体" w:hAnsi="楷体" w:eastAsia="楷体" w:cs="Times New Roman"/>
                <w:kern w:val="0"/>
                <w:sz w:val="20"/>
                <w:szCs w:val="20"/>
              </w:rPr>
            </w:pPr>
            <w:r>
              <w:rPr>
                <w:rFonts w:ascii="楷体" w:hAnsi="楷体" w:eastAsia="楷体" w:cs="楷体"/>
                <w:kern w:val="0"/>
                <w:sz w:val="20"/>
                <w:szCs w:val="20"/>
              </w:rPr>
              <w:t>2.</w:t>
            </w:r>
            <w:r>
              <w:rPr>
                <w:rFonts w:hint="eastAsia" w:ascii="楷体" w:hAnsi="楷体" w:eastAsia="楷体" w:cs="楷体"/>
                <w:kern w:val="0"/>
                <w:sz w:val="20"/>
                <w:szCs w:val="20"/>
              </w:rPr>
              <w:t>重复申请</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54"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cs="Times New Roman"/>
              </w:rPr>
            </w:pPr>
            <w:r>
              <w:rPr>
                <w:rFonts w:ascii="楷体" w:hAnsi="楷体" w:eastAsia="楷体" w:cs="楷体"/>
                <w:kern w:val="0"/>
                <w:sz w:val="20"/>
                <w:szCs w:val="20"/>
              </w:rPr>
              <w:t>3.</w:t>
            </w:r>
            <w:r>
              <w:rPr>
                <w:rFonts w:hint="eastAsia" w:ascii="楷体" w:hAnsi="楷体" w:eastAsia="楷体" w:cs="楷体"/>
                <w:kern w:val="0"/>
                <w:sz w:val="20"/>
                <w:szCs w:val="20"/>
              </w:rPr>
              <w:t>要求提供公开出版物</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cs="Times New Roman"/>
              </w:rPr>
            </w:pPr>
            <w:r>
              <w:rPr>
                <w:rFonts w:ascii="楷体" w:hAnsi="楷体" w:eastAsia="楷体" w:cs="楷体"/>
                <w:kern w:val="0"/>
                <w:sz w:val="20"/>
                <w:szCs w:val="20"/>
              </w:rPr>
              <w:t>4.</w:t>
            </w:r>
            <w:r>
              <w:rPr>
                <w:rFonts w:hint="eastAsia" w:ascii="楷体" w:hAnsi="楷体" w:eastAsia="楷体" w:cs="楷体"/>
                <w:kern w:val="0"/>
                <w:sz w:val="20"/>
                <w:szCs w:val="20"/>
              </w:rPr>
              <w:t>无正当理由大量反复申请</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1418" w:type="dxa"/>
            <w:vMerge w:val="continue"/>
            <w:tcBorders>
              <w:top w:val="nil"/>
              <w:left w:val="nil"/>
              <w:bottom w:val="single" w:color="auto" w:sz="8" w:space="0"/>
              <w:right w:val="single" w:color="auto" w:sz="8" w:space="0"/>
            </w:tcBorders>
            <w:tcMar>
              <w:left w:w="108" w:type="dxa"/>
              <w:right w:w="108" w:type="dxa"/>
            </w:tcMar>
            <w:vAlign w:val="center"/>
          </w:tcPr>
          <w:p>
            <w:pPr>
              <w:spacing w:line="200" w:lineRule="exact"/>
              <w:rPr>
                <w:rFonts w:ascii="宋体" w:cs="Times New Roman"/>
                <w:sz w:val="24"/>
                <w:szCs w:val="24"/>
              </w:rPr>
            </w:pPr>
          </w:p>
        </w:tc>
        <w:tc>
          <w:tcPr>
            <w:tcW w:w="2835" w:type="dxa"/>
            <w:tcBorders>
              <w:top w:val="nil"/>
              <w:left w:val="nil"/>
              <w:bottom w:val="single" w:color="auto" w:sz="8" w:space="0"/>
              <w:right w:val="single" w:color="auto" w:sz="8" w:space="0"/>
            </w:tcBorders>
            <w:tcMar>
              <w:left w:w="108" w:type="dxa"/>
              <w:right w:w="108" w:type="dxa"/>
            </w:tcMar>
            <w:vAlign w:val="center"/>
          </w:tcPr>
          <w:p>
            <w:pPr>
              <w:widowControl/>
              <w:spacing w:line="300" w:lineRule="exact"/>
              <w:rPr>
                <w:rFonts w:ascii="楷体" w:hAnsi="楷体" w:eastAsia="楷体" w:cs="Times New Roman"/>
                <w:kern w:val="0"/>
                <w:sz w:val="20"/>
                <w:szCs w:val="20"/>
              </w:rPr>
            </w:pPr>
            <w:r>
              <w:rPr>
                <w:rFonts w:ascii="楷体" w:hAnsi="楷体" w:eastAsia="楷体" w:cs="楷体"/>
                <w:kern w:val="0"/>
                <w:sz w:val="20"/>
                <w:szCs w:val="20"/>
              </w:rPr>
              <w:t>5.</w:t>
            </w:r>
            <w:r>
              <w:rPr>
                <w:rFonts w:hint="eastAsia" w:ascii="楷体" w:hAnsi="楷体" w:eastAsia="楷体" w:cs="楷体"/>
                <w:kern w:val="0"/>
                <w:sz w:val="20"/>
                <w:szCs w:val="20"/>
              </w:rPr>
              <w:t>要求行政机关确认或重新</w:t>
            </w:r>
          </w:p>
          <w:p>
            <w:pPr>
              <w:widowControl/>
              <w:spacing w:line="300" w:lineRule="exact"/>
              <w:ind w:firstLine="200" w:firstLineChars="100"/>
              <w:rPr>
                <w:rFonts w:cs="Times New Roman"/>
              </w:rPr>
            </w:pPr>
            <w:r>
              <w:rPr>
                <w:rFonts w:hint="eastAsia" w:ascii="楷体" w:hAnsi="楷体" w:eastAsia="楷体" w:cs="楷体"/>
                <w:kern w:val="0"/>
                <w:sz w:val="20"/>
                <w:szCs w:val="20"/>
              </w:rPr>
              <w:t>出具已获取信息</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4253" w:type="dxa"/>
            <w:gridSpan w:val="2"/>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cs="Times New Roman"/>
              </w:rPr>
            </w:pPr>
            <w:r>
              <w:rPr>
                <w:rFonts w:hint="eastAsia" w:ascii="楷体" w:hAnsi="楷体" w:eastAsia="楷体" w:cs="楷体"/>
                <w:kern w:val="0"/>
                <w:sz w:val="20"/>
                <w:szCs w:val="20"/>
              </w:rPr>
              <w:t>（六）其他处理</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r>
              <w:t>23</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r>
              <w:t>1</w:t>
            </w: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r>
              <w:t>24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97" w:hRule="exact"/>
          <w:jc w:val="center"/>
        </w:trPr>
        <w:tc>
          <w:tcPr>
            <w:tcW w:w="525"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4253" w:type="dxa"/>
            <w:gridSpan w:val="2"/>
            <w:tcBorders>
              <w:top w:val="nil"/>
              <w:left w:val="nil"/>
              <w:bottom w:val="single" w:color="auto" w:sz="8" w:space="0"/>
              <w:right w:val="single" w:color="auto" w:sz="8" w:space="0"/>
            </w:tcBorders>
            <w:tcMar>
              <w:left w:w="108" w:type="dxa"/>
              <w:right w:w="108" w:type="dxa"/>
            </w:tcMar>
            <w:vAlign w:val="center"/>
          </w:tcPr>
          <w:p>
            <w:pPr>
              <w:widowControl/>
              <w:spacing w:line="200" w:lineRule="exact"/>
              <w:rPr>
                <w:rFonts w:cs="Times New Roman"/>
              </w:rPr>
            </w:pPr>
            <w:r>
              <w:rPr>
                <w:rFonts w:hint="eastAsia" w:ascii="楷体" w:hAnsi="楷体" w:eastAsia="楷体" w:cs="楷体"/>
                <w:kern w:val="0"/>
                <w:sz w:val="20"/>
                <w:szCs w:val="20"/>
              </w:rPr>
              <w:t>（七）总计</w:t>
            </w:r>
          </w:p>
        </w:tc>
        <w:tc>
          <w:tcPr>
            <w:tcW w:w="850"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line="200" w:lineRule="exact"/>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8"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8" w:space="0"/>
              <w:right w:val="single" w:color="auto" w:sz="12" w:space="0"/>
            </w:tcBorders>
            <w:tcMar>
              <w:left w:w="108" w:type="dxa"/>
              <w:right w:w="108" w:type="dxa"/>
            </w:tcMar>
            <w:vAlign w:val="center"/>
          </w:tcPr>
          <w:p>
            <w:pPr>
              <w:widowControl/>
              <w:spacing w:after="180"/>
              <w:jc w:val="center"/>
              <w:rPr>
                <w:rFonts w:cs="Times New Roma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4778" w:type="dxa"/>
            <w:gridSpan w:val="3"/>
            <w:tcBorders>
              <w:top w:val="nil"/>
              <w:left w:val="single" w:color="auto" w:sz="12" w:space="0"/>
              <w:bottom w:val="single" w:color="auto" w:sz="12" w:space="0"/>
              <w:right w:val="single" w:color="auto" w:sz="8" w:space="0"/>
            </w:tcBorders>
            <w:tcMar>
              <w:left w:w="108" w:type="dxa"/>
              <w:right w:w="108" w:type="dxa"/>
            </w:tcMar>
            <w:vAlign w:val="center"/>
          </w:tcPr>
          <w:p>
            <w:pPr>
              <w:widowControl/>
              <w:rPr>
                <w:rFonts w:cs="Times New Roman"/>
              </w:rPr>
            </w:pPr>
            <w:r>
              <w:rPr>
                <w:rFonts w:hint="eastAsia" w:ascii="宋体" w:hAnsi="宋体" w:cs="宋体"/>
                <w:kern w:val="0"/>
                <w:sz w:val="20"/>
                <w:szCs w:val="20"/>
              </w:rPr>
              <w:t>四、结转下年度继续办理</w:t>
            </w:r>
          </w:p>
        </w:tc>
        <w:tc>
          <w:tcPr>
            <w:tcW w:w="850" w:type="dxa"/>
            <w:tcBorders>
              <w:top w:val="nil"/>
              <w:left w:val="nil"/>
              <w:bottom w:val="single" w:color="auto" w:sz="12" w:space="0"/>
              <w:right w:val="single" w:color="auto" w:sz="8" w:space="0"/>
            </w:tcBorders>
            <w:tcMar>
              <w:left w:w="108" w:type="dxa"/>
              <w:right w:w="108" w:type="dxa"/>
            </w:tcMar>
            <w:vAlign w:val="center"/>
          </w:tcPr>
          <w:p>
            <w:pPr>
              <w:widowControl/>
              <w:spacing w:after="180"/>
              <w:rPr>
                <w:rFonts w:cs="Times New Roman"/>
              </w:rPr>
            </w:pPr>
          </w:p>
        </w:tc>
        <w:tc>
          <w:tcPr>
            <w:tcW w:w="567"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p>
        </w:tc>
        <w:tc>
          <w:tcPr>
            <w:tcW w:w="567"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p>
        </w:tc>
        <w:tc>
          <w:tcPr>
            <w:tcW w:w="540"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p>
        </w:tc>
        <w:tc>
          <w:tcPr>
            <w:tcW w:w="635" w:type="dxa"/>
            <w:tcBorders>
              <w:top w:val="nil"/>
              <w:left w:val="nil"/>
              <w:bottom w:val="single" w:color="auto" w:sz="12" w:space="0"/>
              <w:right w:val="single" w:color="auto" w:sz="12" w:space="0"/>
            </w:tcBorders>
            <w:tcMar>
              <w:left w:w="108" w:type="dxa"/>
              <w:right w:w="108" w:type="dxa"/>
            </w:tcMar>
            <w:vAlign w:val="center"/>
          </w:tcPr>
          <w:p>
            <w:pPr>
              <w:jc w:val="center"/>
              <w:rPr>
                <w:rFonts w:ascii="宋体" w:cs="Times New Roman"/>
                <w:sz w:val="24"/>
                <w:szCs w:val="24"/>
              </w:rPr>
            </w:pPr>
          </w:p>
        </w:tc>
      </w:tr>
    </w:tbl>
    <w:p>
      <w:pPr>
        <w:pStyle w:val="5"/>
        <w:widowControl/>
        <w:shd w:val="clear" w:color="auto" w:fill="FFFFFF"/>
        <w:spacing w:beforeAutospacing="0" w:afterAutospacing="0"/>
        <w:ind w:firstLine="420"/>
        <w:jc w:val="both"/>
        <w:rPr>
          <w:rFonts w:ascii="宋体" w:cs="Times New Roman"/>
          <w:color w:val="333333"/>
        </w:rPr>
      </w:pPr>
    </w:p>
    <w:p>
      <w:pPr>
        <w:pStyle w:val="5"/>
        <w:widowControl/>
        <w:shd w:val="clear" w:color="auto" w:fill="FFFFFF"/>
        <w:spacing w:beforeAutospacing="0" w:afterAutospacing="0"/>
        <w:ind w:firstLine="420"/>
        <w:jc w:val="both"/>
        <w:rPr>
          <w:rFonts w:ascii="黑体" w:hAnsi="黑体" w:eastAsia="黑体" w:cs="Times New Roman"/>
          <w:color w:val="333333"/>
          <w:sz w:val="32"/>
          <w:szCs w:val="32"/>
        </w:rPr>
      </w:pPr>
      <w:r>
        <w:rPr>
          <w:rFonts w:hint="eastAsia" w:ascii="黑体" w:hAnsi="黑体" w:eastAsia="黑体" w:cs="黑体"/>
          <w:color w:val="333333"/>
          <w:sz w:val="32"/>
          <w:szCs w:val="32"/>
          <w:shd w:val="clear" w:color="auto" w:fill="FFFFFF"/>
        </w:rPr>
        <w:t>四、政府信息公开行政复议、行政诉讼情况</w:t>
      </w:r>
    </w:p>
    <w:p>
      <w:pPr>
        <w:pStyle w:val="5"/>
        <w:widowControl/>
        <w:shd w:val="clear" w:color="auto" w:fill="FFFFFF"/>
        <w:spacing w:beforeAutospacing="0" w:afterAutospacing="0"/>
        <w:ind w:firstLine="420"/>
        <w:jc w:val="both"/>
        <w:rPr>
          <w:rFonts w:ascii="宋体" w:cs="Times New Roman"/>
          <w:color w:val="333333"/>
        </w:rPr>
      </w:pPr>
    </w:p>
    <w:tbl>
      <w:tblPr>
        <w:tblStyle w:val="6"/>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12" w:space="0"/>
              <w:left w:val="single" w:color="auto" w:sz="12" w:space="0"/>
              <w:bottom w:val="single" w:color="auto" w:sz="8" w:space="0"/>
              <w:right w:val="single" w:color="auto" w:sz="8" w:space="0"/>
            </w:tcBorders>
            <w:tcMar>
              <w:left w:w="108" w:type="dxa"/>
              <w:right w:w="108" w:type="dxa"/>
            </w:tcMar>
            <w:vAlign w:val="center"/>
          </w:tcPr>
          <w:p>
            <w:pPr>
              <w:widowControl/>
              <w:jc w:val="center"/>
              <w:rPr>
                <w:rFonts w:cs="Times New Roman"/>
              </w:rPr>
            </w:pPr>
            <w:r>
              <w:rPr>
                <w:rFonts w:hint="eastAsia" w:ascii="宋体" w:hAnsi="宋体" w:cs="宋体"/>
                <w:kern w:val="0"/>
                <w:sz w:val="20"/>
                <w:szCs w:val="20"/>
              </w:rPr>
              <w:t>行政复议</w:t>
            </w:r>
          </w:p>
        </w:tc>
        <w:tc>
          <w:tcPr>
            <w:tcW w:w="5997" w:type="dxa"/>
            <w:gridSpan w:val="10"/>
            <w:tcBorders>
              <w:top w:val="single" w:color="auto" w:sz="12" w:space="0"/>
              <w:left w:val="nil"/>
              <w:bottom w:val="single" w:color="auto" w:sz="8" w:space="0"/>
              <w:right w:val="single" w:color="auto" w:sz="12" w:space="0"/>
            </w:tcBorders>
            <w:tcMar>
              <w:left w:w="108" w:type="dxa"/>
              <w:right w:w="108" w:type="dxa"/>
            </w:tcMar>
            <w:vAlign w:val="center"/>
          </w:tcPr>
          <w:p>
            <w:pPr>
              <w:widowControl/>
              <w:jc w:val="center"/>
              <w:rPr>
                <w:rFonts w:cs="Times New Roman"/>
              </w:rPr>
            </w:pPr>
            <w:r>
              <w:rPr>
                <w:rFonts w:hint="eastAsia" w:ascii="宋体" w:hAnsi="宋体" w:cs="宋体"/>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12" w:space="0"/>
              <w:bottom w:val="single" w:color="auto" w:sz="8" w:space="0"/>
              <w:right w:val="single" w:color="auto" w:sz="8" w:space="0"/>
            </w:tcBorders>
            <w:tcMar>
              <w:left w:w="108" w:type="dxa"/>
              <w:right w:w="108" w:type="dxa"/>
            </w:tcMar>
            <w:vAlign w:val="center"/>
          </w:tcPr>
          <w:p>
            <w:pPr>
              <w:widowControl/>
              <w:ind w:left="-149" w:leftChars="-71" w:right="-170" w:rightChars="-81"/>
              <w:jc w:val="center"/>
              <w:rPr>
                <w:rFonts w:ascii="宋体" w:cs="Times New Roman"/>
                <w:kern w:val="0"/>
                <w:sz w:val="20"/>
                <w:szCs w:val="20"/>
              </w:rPr>
            </w:pPr>
            <w:r>
              <w:rPr>
                <w:rFonts w:hint="eastAsia" w:ascii="宋体" w:hAnsi="宋体" w:cs="宋体"/>
                <w:kern w:val="0"/>
                <w:sz w:val="20"/>
                <w:szCs w:val="20"/>
              </w:rPr>
              <w:t>结果</w:t>
            </w:r>
          </w:p>
          <w:p>
            <w:pPr>
              <w:widowControl/>
              <w:ind w:left="-149" w:leftChars="-71" w:right="-170" w:rightChars="-81"/>
              <w:jc w:val="center"/>
              <w:rPr>
                <w:rFonts w:cs="Times New Roman"/>
              </w:rPr>
            </w:pPr>
            <w:r>
              <w:rPr>
                <w:rFonts w:hint="eastAsia" w:ascii="宋体" w:hAnsi="宋体" w:cs="宋体"/>
                <w:kern w:val="0"/>
                <w:sz w:val="20"/>
                <w:szCs w:val="20"/>
              </w:rPr>
              <w:t>维持</w:t>
            </w:r>
          </w:p>
        </w:tc>
        <w:tc>
          <w:tcPr>
            <w:tcW w:w="604" w:type="dxa"/>
            <w:vMerge w:val="restart"/>
            <w:tcBorders>
              <w:top w:val="nil"/>
              <w:left w:val="nil"/>
              <w:bottom w:val="single" w:color="auto" w:sz="8" w:space="0"/>
              <w:right w:val="single" w:color="auto" w:sz="8" w:space="0"/>
            </w:tcBorders>
            <w:tcMar>
              <w:left w:w="108" w:type="dxa"/>
              <w:right w:w="108" w:type="dxa"/>
            </w:tcMar>
            <w:vAlign w:val="center"/>
          </w:tcPr>
          <w:p>
            <w:pPr>
              <w:widowControl/>
              <w:ind w:left="-43" w:leftChars="-21" w:right="-132" w:rightChars="-63" w:hanging="1"/>
              <w:jc w:val="center"/>
              <w:rPr>
                <w:rFonts w:cs="Times New Roman"/>
              </w:rPr>
            </w:pPr>
            <w:r>
              <w:rPr>
                <w:rFonts w:hint="eastAsia" w:ascii="宋体" w:hAnsi="宋体" w:cs="宋体"/>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ind w:left="-82" w:leftChars="-39" w:right="-97" w:rightChars="-46"/>
              <w:jc w:val="center"/>
              <w:rPr>
                <w:rFonts w:cs="Times New Roman"/>
              </w:rPr>
            </w:pPr>
            <w:r>
              <w:rPr>
                <w:rFonts w:hint="eastAsia" w:ascii="宋体" w:hAnsi="宋体" w:cs="宋体"/>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ind w:left="-118" w:leftChars="-56" w:right="-118" w:rightChars="-56"/>
              <w:jc w:val="center"/>
              <w:rPr>
                <w:rFonts w:ascii="宋体" w:cs="Times New Roman"/>
                <w:kern w:val="0"/>
                <w:sz w:val="20"/>
                <w:szCs w:val="20"/>
              </w:rPr>
            </w:pPr>
            <w:r>
              <w:rPr>
                <w:rFonts w:hint="eastAsia" w:ascii="宋体" w:hAnsi="宋体" w:cs="宋体"/>
                <w:kern w:val="0"/>
                <w:sz w:val="20"/>
                <w:szCs w:val="20"/>
              </w:rPr>
              <w:t>尚未</w:t>
            </w:r>
          </w:p>
          <w:p>
            <w:pPr>
              <w:widowControl/>
              <w:ind w:left="-118" w:leftChars="-56" w:right="-118" w:rightChars="-56"/>
              <w:jc w:val="center"/>
              <w:rPr>
                <w:rFonts w:cs="Times New Roman"/>
              </w:rPr>
            </w:pPr>
            <w:r>
              <w:rPr>
                <w:rFonts w:hint="eastAsia" w:ascii="宋体" w:hAnsi="宋体" w:cs="宋体"/>
                <w:kern w:val="0"/>
                <w:sz w:val="20"/>
                <w:szCs w:val="20"/>
              </w:rPr>
              <w:t>审结</w:t>
            </w:r>
          </w:p>
        </w:tc>
        <w:tc>
          <w:tcPr>
            <w:tcW w:w="658" w:type="dxa"/>
            <w:vMerge w:val="restart"/>
            <w:tcBorders>
              <w:top w:val="single" w:color="auto" w:sz="8" w:space="0"/>
              <w:left w:val="nil"/>
              <w:bottom w:val="single" w:color="auto" w:sz="8" w:space="0"/>
              <w:right w:val="single" w:color="auto" w:sz="8" w:space="0"/>
            </w:tcBorders>
            <w:tcMar>
              <w:left w:w="108" w:type="dxa"/>
              <w:right w:w="108" w:type="dxa"/>
            </w:tcMar>
            <w:vAlign w:val="center"/>
          </w:tcPr>
          <w:p>
            <w:pPr>
              <w:widowControl/>
              <w:spacing w:line="320" w:lineRule="exact"/>
              <w:jc w:val="center"/>
              <w:rPr>
                <w:rFonts w:ascii="宋体" w:cs="Times New Roman"/>
                <w:kern w:val="0"/>
                <w:sz w:val="20"/>
                <w:szCs w:val="20"/>
              </w:rPr>
            </w:pPr>
            <w:r>
              <w:rPr>
                <w:rFonts w:hint="eastAsia" w:ascii="宋体" w:hAnsi="宋体" w:cs="宋体"/>
                <w:kern w:val="0"/>
                <w:sz w:val="20"/>
                <w:szCs w:val="20"/>
              </w:rPr>
              <w:t>总</w:t>
            </w:r>
          </w:p>
          <w:p>
            <w:pPr>
              <w:widowControl/>
              <w:spacing w:line="320" w:lineRule="exact"/>
              <w:jc w:val="center"/>
              <w:rPr>
                <w:rFonts w:cs="Times New Roman"/>
              </w:rPr>
            </w:pPr>
            <w:r>
              <w:rPr>
                <w:rFonts w:hint="eastAsia" w:ascii="宋体" w:hAnsi="宋体" w:cs="宋体"/>
                <w:kern w:val="0"/>
                <w:sz w:val="20"/>
                <w:szCs w:val="20"/>
              </w:rPr>
              <w:t>计</w:t>
            </w:r>
          </w:p>
        </w:tc>
        <w:tc>
          <w:tcPr>
            <w:tcW w:w="2970" w:type="dxa"/>
            <w:gridSpan w:val="5"/>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cs="Times New Roman"/>
              </w:rPr>
            </w:pPr>
            <w:r>
              <w:rPr>
                <w:rFonts w:hint="eastAsia" w:ascii="宋体" w:hAnsi="宋体" w:cs="宋体"/>
                <w:kern w:val="0"/>
                <w:sz w:val="20"/>
                <w:szCs w:val="20"/>
              </w:rPr>
              <w:t>未经复议直接起诉</w:t>
            </w:r>
          </w:p>
        </w:tc>
        <w:tc>
          <w:tcPr>
            <w:tcW w:w="3027" w:type="dxa"/>
            <w:gridSpan w:val="5"/>
            <w:tcBorders>
              <w:top w:val="single" w:color="auto" w:sz="8" w:space="0"/>
              <w:left w:val="nil"/>
              <w:bottom w:val="single" w:color="auto" w:sz="8" w:space="0"/>
              <w:right w:val="single" w:color="auto" w:sz="12" w:space="0"/>
            </w:tcBorders>
            <w:tcMar>
              <w:left w:w="108" w:type="dxa"/>
              <w:right w:w="108" w:type="dxa"/>
            </w:tcMar>
            <w:vAlign w:val="center"/>
          </w:tcPr>
          <w:p>
            <w:pPr>
              <w:widowControl/>
              <w:jc w:val="center"/>
              <w:rPr>
                <w:rFonts w:cs="Times New Roman"/>
              </w:rPr>
            </w:pPr>
            <w:r>
              <w:rPr>
                <w:rFonts w:hint="eastAsia" w:ascii="宋体" w:hAnsi="宋体" w:cs="宋体"/>
                <w:kern w:val="0"/>
                <w:sz w:val="20"/>
                <w:szCs w:val="20"/>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12" w:space="0"/>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604" w:type="dxa"/>
            <w:vMerge w:val="continue"/>
            <w:tcBorders>
              <w:top w:val="nil"/>
              <w:left w:val="nil"/>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604"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604"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658" w:type="dxa"/>
            <w:vMerge w:val="continue"/>
            <w:tcBorders>
              <w:top w:val="single" w:color="auto" w:sz="8" w:space="0"/>
              <w:left w:val="nil"/>
              <w:bottom w:val="single" w:color="auto" w:sz="8" w:space="0"/>
              <w:right w:val="single" w:color="auto" w:sz="8" w:space="0"/>
            </w:tcBorders>
            <w:tcMar>
              <w:left w:w="108" w:type="dxa"/>
              <w:right w:w="108" w:type="dxa"/>
            </w:tcMar>
            <w:vAlign w:val="center"/>
          </w:tcPr>
          <w:p>
            <w:pPr>
              <w:rPr>
                <w:rFonts w:ascii="宋体" w:cs="Times New Roman"/>
                <w:sz w:val="24"/>
                <w:szCs w:val="24"/>
              </w:rPr>
            </w:pPr>
          </w:p>
        </w:tc>
        <w:tc>
          <w:tcPr>
            <w:tcW w:w="550" w:type="dxa"/>
            <w:tcBorders>
              <w:top w:val="nil"/>
              <w:left w:val="nil"/>
              <w:bottom w:val="single" w:color="auto" w:sz="8" w:space="0"/>
              <w:right w:val="single" w:color="auto" w:sz="8" w:space="0"/>
            </w:tcBorders>
            <w:tcMar>
              <w:left w:w="108" w:type="dxa"/>
              <w:right w:w="108" w:type="dxa"/>
            </w:tcMar>
            <w:vAlign w:val="center"/>
          </w:tcPr>
          <w:p>
            <w:pPr>
              <w:widowControl/>
              <w:ind w:left="-105" w:leftChars="-50" w:right="-126" w:rightChars="-60"/>
              <w:jc w:val="center"/>
              <w:rPr>
                <w:rFonts w:cs="Times New Roman"/>
              </w:rPr>
            </w:pPr>
            <w:r>
              <w:rPr>
                <w:rFonts w:hint="eastAsia" w:ascii="宋体" w:hAnsi="宋体" w:cs="宋体"/>
                <w:kern w:val="0"/>
                <w:sz w:val="20"/>
                <w:szCs w:val="20"/>
              </w:rPr>
              <w:t>结果维持</w:t>
            </w:r>
          </w:p>
        </w:tc>
        <w:tc>
          <w:tcPr>
            <w:tcW w:w="605" w:type="dxa"/>
            <w:tcBorders>
              <w:top w:val="nil"/>
              <w:left w:val="nil"/>
              <w:bottom w:val="single" w:color="auto" w:sz="8" w:space="0"/>
              <w:right w:val="single" w:color="auto" w:sz="8" w:space="0"/>
            </w:tcBorders>
            <w:tcMar>
              <w:left w:w="108" w:type="dxa"/>
              <w:right w:w="108" w:type="dxa"/>
            </w:tcMar>
            <w:vAlign w:val="center"/>
          </w:tcPr>
          <w:p>
            <w:pPr>
              <w:widowControl/>
              <w:ind w:left="-86" w:leftChars="-41" w:right="-88" w:rightChars="-42"/>
              <w:jc w:val="center"/>
              <w:rPr>
                <w:rFonts w:cs="Times New Roman"/>
              </w:rPr>
            </w:pPr>
            <w:r>
              <w:rPr>
                <w:rFonts w:hint="eastAsia" w:ascii="宋体" w:hAnsi="宋体" w:cs="宋体"/>
                <w:kern w:val="0"/>
                <w:sz w:val="20"/>
                <w:szCs w:val="20"/>
              </w:rPr>
              <w:t>结果纠正</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126" w:leftChars="-60" w:right="-136" w:rightChars="-65"/>
              <w:jc w:val="center"/>
              <w:rPr>
                <w:rFonts w:ascii="宋体" w:cs="Times New Roman"/>
                <w:kern w:val="0"/>
                <w:sz w:val="20"/>
                <w:szCs w:val="20"/>
              </w:rPr>
            </w:pPr>
            <w:r>
              <w:rPr>
                <w:rFonts w:hint="eastAsia" w:ascii="宋体" w:hAnsi="宋体" w:cs="宋体"/>
                <w:kern w:val="0"/>
                <w:sz w:val="20"/>
                <w:szCs w:val="20"/>
              </w:rPr>
              <w:t>其他</w:t>
            </w:r>
          </w:p>
          <w:p>
            <w:pPr>
              <w:widowControl/>
              <w:ind w:left="-126" w:leftChars="-60" w:right="-136" w:rightChars="-65"/>
              <w:jc w:val="center"/>
              <w:rPr>
                <w:rFonts w:cs="Times New Roman"/>
              </w:rPr>
            </w:pPr>
            <w:r>
              <w:rPr>
                <w:rFonts w:hint="eastAsia" w:ascii="宋体" w:hAnsi="宋体" w:cs="宋体"/>
                <w:kern w:val="0"/>
                <w:sz w:val="20"/>
                <w:szCs w:val="20"/>
              </w:rPr>
              <w:t>结果</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164" w:leftChars="-78" w:right="-153" w:rightChars="-73"/>
              <w:jc w:val="center"/>
              <w:rPr>
                <w:rFonts w:ascii="宋体" w:cs="Times New Roman"/>
                <w:kern w:val="0"/>
                <w:sz w:val="20"/>
                <w:szCs w:val="20"/>
              </w:rPr>
            </w:pPr>
            <w:r>
              <w:rPr>
                <w:rFonts w:hint="eastAsia" w:ascii="宋体" w:hAnsi="宋体" w:cs="宋体"/>
                <w:kern w:val="0"/>
                <w:sz w:val="20"/>
                <w:szCs w:val="20"/>
              </w:rPr>
              <w:t>尚未</w:t>
            </w:r>
          </w:p>
          <w:p>
            <w:pPr>
              <w:widowControl/>
              <w:ind w:left="-164" w:leftChars="-78" w:right="-153" w:rightChars="-73"/>
              <w:jc w:val="center"/>
              <w:rPr>
                <w:rFonts w:cs="Times New Roman"/>
              </w:rPr>
            </w:pPr>
            <w:r>
              <w:rPr>
                <w:rFonts w:hint="eastAsia" w:ascii="宋体" w:hAnsi="宋体" w:cs="宋体"/>
                <w:kern w:val="0"/>
                <w:sz w:val="20"/>
                <w:szCs w:val="20"/>
              </w:rPr>
              <w:t>审结</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jc w:val="center"/>
              <w:rPr>
                <w:rFonts w:cs="Times New Roman"/>
              </w:rPr>
            </w:pPr>
            <w:r>
              <w:rPr>
                <w:rFonts w:hint="eastAsia" w:ascii="宋体" w:hAnsi="宋体" w:cs="宋体"/>
                <w:color w:val="000000"/>
                <w:kern w:val="0"/>
                <w:sz w:val="20"/>
                <w:szCs w:val="20"/>
              </w:rPr>
              <w:t>总计</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99" w:leftChars="-47" w:right="-78" w:rightChars="-37"/>
              <w:jc w:val="center"/>
              <w:rPr>
                <w:rFonts w:cs="Times New Roman"/>
              </w:rPr>
            </w:pPr>
            <w:r>
              <w:rPr>
                <w:rFonts w:hint="eastAsia" w:ascii="宋体" w:hAnsi="宋体" w:cs="宋体"/>
                <w:kern w:val="0"/>
                <w:sz w:val="20"/>
                <w:szCs w:val="20"/>
              </w:rPr>
              <w:t>结果维持</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136" w:leftChars="-65" w:right="-124" w:rightChars="-59"/>
              <w:jc w:val="center"/>
              <w:rPr>
                <w:rFonts w:ascii="宋体" w:cs="Times New Roman"/>
                <w:kern w:val="0"/>
                <w:sz w:val="20"/>
                <w:szCs w:val="20"/>
              </w:rPr>
            </w:pPr>
            <w:r>
              <w:rPr>
                <w:rFonts w:hint="eastAsia" w:ascii="宋体" w:hAnsi="宋体" w:cs="宋体"/>
                <w:kern w:val="0"/>
                <w:sz w:val="20"/>
                <w:szCs w:val="20"/>
              </w:rPr>
              <w:t>结果</w:t>
            </w:r>
          </w:p>
          <w:p>
            <w:pPr>
              <w:widowControl/>
              <w:ind w:left="-136" w:leftChars="-65" w:right="-124" w:rightChars="-59"/>
              <w:jc w:val="center"/>
              <w:rPr>
                <w:rFonts w:cs="Times New Roman"/>
              </w:rPr>
            </w:pPr>
            <w:r>
              <w:rPr>
                <w:rFonts w:hint="eastAsia" w:ascii="宋体" w:hAnsi="宋体" w:cs="宋体"/>
                <w:kern w:val="0"/>
                <w:sz w:val="20"/>
                <w:szCs w:val="20"/>
              </w:rPr>
              <w:t>纠正</w:t>
            </w:r>
          </w:p>
        </w:tc>
        <w:tc>
          <w:tcPr>
            <w:tcW w:w="605"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173" w:leftChars="-83" w:right="-134" w:rightChars="-64" w:hanging="1"/>
              <w:jc w:val="center"/>
              <w:rPr>
                <w:rFonts w:ascii="宋体" w:cs="Times New Roman"/>
                <w:color w:val="000000"/>
                <w:kern w:val="0"/>
                <w:sz w:val="20"/>
                <w:szCs w:val="20"/>
              </w:rPr>
            </w:pPr>
            <w:r>
              <w:rPr>
                <w:rFonts w:hint="eastAsia" w:ascii="宋体" w:hAnsi="宋体" w:cs="宋体"/>
                <w:color w:val="000000"/>
                <w:kern w:val="0"/>
                <w:sz w:val="20"/>
                <w:szCs w:val="20"/>
              </w:rPr>
              <w:t>其他</w:t>
            </w:r>
          </w:p>
          <w:p>
            <w:pPr>
              <w:widowControl/>
              <w:ind w:left="-173" w:leftChars="-83" w:right="-134" w:rightChars="-64" w:hanging="1"/>
              <w:jc w:val="center"/>
              <w:rPr>
                <w:rFonts w:cs="Times New Roman"/>
              </w:rPr>
            </w:pPr>
            <w:r>
              <w:rPr>
                <w:rFonts w:hint="eastAsia" w:ascii="宋体" w:hAnsi="宋体" w:cs="宋体"/>
                <w:color w:val="000000"/>
                <w:kern w:val="0"/>
                <w:sz w:val="20"/>
                <w:szCs w:val="20"/>
              </w:rPr>
              <w:t>结果</w:t>
            </w:r>
          </w:p>
        </w:tc>
        <w:tc>
          <w:tcPr>
            <w:tcW w:w="606" w:type="dxa"/>
            <w:tcBorders>
              <w:top w:val="single" w:color="auto" w:sz="8" w:space="0"/>
              <w:left w:val="nil"/>
              <w:bottom w:val="single" w:color="auto" w:sz="8" w:space="0"/>
              <w:right w:val="single" w:color="auto" w:sz="8" w:space="0"/>
            </w:tcBorders>
            <w:tcMar>
              <w:left w:w="108" w:type="dxa"/>
              <w:right w:w="108" w:type="dxa"/>
            </w:tcMar>
            <w:vAlign w:val="center"/>
          </w:tcPr>
          <w:p>
            <w:pPr>
              <w:widowControl/>
              <w:ind w:left="-67" w:leftChars="-33" w:right="-105" w:rightChars="-50" w:hanging="2" w:hangingChars="1"/>
              <w:jc w:val="center"/>
              <w:rPr>
                <w:rFonts w:cs="Times New Roman"/>
              </w:rPr>
            </w:pPr>
            <w:r>
              <w:rPr>
                <w:rFonts w:hint="eastAsia" w:ascii="宋体" w:hAnsi="宋体" w:cs="宋体"/>
                <w:kern w:val="0"/>
                <w:sz w:val="20"/>
                <w:szCs w:val="20"/>
              </w:rPr>
              <w:t>尚未审结</w:t>
            </w:r>
          </w:p>
        </w:tc>
        <w:tc>
          <w:tcPr>
            <w:tcW w:w="606" w:type="dxa"/>
            <w:tcBorders>
              <w:top w:val="single" w:color="auto" w:sz="8" w:space="0"/>
              <w:left w:val="nil"/>
              <w:bottom w:val="single" w:color="auto" w:sz="8" w:space="0"/>
              <w:right w:val="single" w:color="auto" w:sz="12" w:space="0"/>
            </w:tcBorders>
            <w:tcMar>
              <w:left w:w="108" w:type="dxa"/>
              <w:right w:w="108" w:type="dxa"/>
            </w:tcMar>
            <w:vAlign w:val="center"/>
          </w:tcPr>
          <w:p>
            <w:pPr>
              <w:widowControl/>
              <w:jc w:val="center"/>
              <w:rPr>
                <w:rFonts w:cs="Times New Roman"/>
              </w:rPr>
            </w:pPr>
            <w:r>
              <w:rPr>
                <w:rFonts w:hint="eastAsia" w:ascii="宋体" w:hAnsi="宋体" w:cs="宋体"/>
                <w:color w:val="000000"/>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12" w:space="0"/>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cs="Times New Roman"/>
                <w:kern w:val="0"/>
                <w:sz w:val="20"/>
                <w:szCs w:val="20"/>
              </w:rPr>
              <w:t> </w:t>
            </w:r>
            <w:r>
              <w:rPr>
                <w:kern w:val="0"/>
                <w:sz w:val="20"/>
                <w:szCs w:val="20"/>
              </w:rPr>
              <w:t>4</w:t>
            </w:r>
          </w:p>
        </w:tc>
        <w:tc>
          <w:tcPr>
            <w:tcW w:w="604"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cs="Times New Roman"/>
                <w:kern w:val="0"/>
                <w:sz w:val="20"/>
                <w:szCs w:val="20"/>
              </w:rPr>
              <w:t> </w:t>
            </w:r>
          </w:p>
        </w:tc>
        <w:tc>
          <w:tcPr>
            <w:tcW w:w="604"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kern w:val="0"/>
                <w:sz w:val="20"/>
                <w:szCs w:val="20"/>
              </w:rPr>
              <w:t>1</w:t>
            </w:r>
            <w:r>
              <w:rPr>
                <w:rFonts w:cs="Times New Roman"/>
                <w:kern w:val="0"/>
                <w:sz w:val="20"/>
                <w:szCs w:val="20"/>
              </w:rPr>
              <w:t> </w:t>
            </w:r>
          </w:p>
        </w:tc>
        <w:tc>
          <w:tcPr>
            <w:tcW w:w="604"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cs="Times New Roman"/>
                <w:kern w:val="0"/>
                <w:sz w:val="20"/>
                <w:szCs w:val="20"/>
              </w:rPr>
              <w:t> </w:t>
            </w:r>
          </w:p>
        </w:tc>
        <w:tc>
          <w:tcPr>
            <w:tcW w:w="658"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kern w:val="0"/>
                <w:sz w:val="20"/>
                <w:szCs w:val="20"/>
              </w:rPr>
              <w:t>5</w:t>
            </w:r>
            <w:r>
              <w:rPr>
                <w:rFonts w:cs="Times New Roman"/>
                <w:kern w:val="0"/>
                <w:sz w:val="20"/>
                <w:szCs w:val="20"/>
              </w:rPr>
              <w:t> </w:t>
            </w:r>
          </w:p>
        </w:tc>
        <w:tc>
          <w:tcPr>
            <w:tcW w:w="550"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ascii="宋体" w:cs="宋体"/>
                <w:kern w:val="0"/>
                <w:sz w:val="20"/>
                <w:szCs w:val="20"/>
              </w:rPr>
              <w:t>1</w:t>
            </w:r>
            <w:r>
              <w:rPr>
                <w:rFonts w:ascii="宋体" w:cs="Times New Roman"/>
                <w:kern w:val="0"/>
                <w:sz w:val="20"/>
                <w:szCs w:val="20"/>
              </w:rPr>
              <w:t> </w:t>
            </w:r>
          </w:p>
        </w:tc>
        <w:tc>
          <w:tcPr>
            <w:tcW w:w="605"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ascii="宋体" w:cs="宋体"/>
                <w:kern w:val="0"/>
                <w:sz w:val="20"/>
                <w:szCs w:val="20"/>
              </w:rPr>
              <w:t>4</w:t>
            </w:r>
            <w:r>
              <w:rPr>
                <w:rFonts w:ascii="宋体" w:cs="Times New Roman"/>
                <w:kern w:val="0"/>
                <w:sz w:val="20"/>
                <w:szCs w:val="20"/>
              </w:rPr>
              <w:t> </w:t>
            </w:r>
          </w:p>
        </w:tc>
        <w:tc>
          <w:tcPr>
            <w:tcW w:w="605"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ascii="宋体" w:cs="宋体"/>
                <w:kern w:val="0"/>
                <w:sz w:val="20"/>
                <w:szCs w:val="20"/>
              </w:rPr>
              <w:t>0</w:t>
            </w:r>
            <w:r>
              <w:rPr>
                <w:rFonts w:ascii="宋体" w:cs="Times New Roman"/>
                <w:kern w:val="0"/>
                <w:sz w:val="20"/>
                <w:szCs w:val="20"/>
              </w:rPr>
              <w:t> </w:t>
            </w:r>
          </w:p>
        </w:tc>
        <w:tc>
          <w:tcPr>
            <w:tcW w:w="605"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ascii="宋体" w:cs="宋体"/>
                <w:kern w:val="0"/>
                <w:sz w:val="20"/>
                <w:szCs w:val="20"/>
              </w:rPr>
              <w:t>0</w:t>
            </w:r>
            <w:r>
              <w:rPr>
                <w:rFonts w:ascii="宋体" w:cs="Times New Roman"/>
                <w:kern w:val="0"/>
                <w:sz w:val="20"/>
                <w:szCs w:val="20"/>
              </w:rPr>
              <w:t> </w:t>
            </w:r>
          </w:p>
        </w:tc>
        <w:tc>
          <w:tcPr>
            <w:tcW w:w="605"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ascii="宋体" w:cs="宋体"/>
                <w:color w:val="000000"/>
                <w:kern w:val="0"/>
                <w:sz w:val="20"/>
                <w:szCs w:val="20"/>
              </w:rPr>
              <w:t>5</w:t>
            </w:r>
            <w:r>
              <w:rPr>
                <w:rFonts w:ascii="宋体" w:cs="Times New Roman"/>
                <w:color w:val="000000"/>
                <w:kern w:val="0"/>
                <w:sz w:val="20"/>
                <w:szCs w:val="20"/>
              </w:rPr>
              <w:t> </w:t>
            </w:r>
          </w:p>
        </w:tc>
        <w:tc>
          <w:tcPr>
            <w:tcW w:w="605"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ascii="宋体" w:cs="宋体"/>
                <w:kern w:val="0"/>
                <w:sz w:val="20"/>
                <w:szCs w:val="20"/>
              </w:rPr>
              <w:t>4</w:t>
            </w:r>
            <w:r>
              <w:rPr>
                <w:rFonts w:ascii="宋体" w:cs="Times New Roman"/>
                <w:kern w:val="0"/>
                <w:sz w:val="20"/>
                <w:szCs w:val="20"/>
              </w:rPr>
              <w:t> </w:t>
            </w:r>
          </w:p>
        </w:tc>
        <w:tc>
          <w:tcPr>
            <w:tcW w:w="605"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ascii="宋体" w:cs="Times New Roman"/>
                <w:kern w:val="0"/>
                <w:sz w:val="20"/>
                <w:szCs w:val="20"/>
              </w:rPr>
              <w:t> </w:t>
            </w:r>
            <w:r>
              <w:rPr>
                <w:rFonts w:ascii="宋体" w:cs="宋体"/>
                <w:kern w:val="0"/>
                <w:sz w:val="20"/>
                <w:szCs w:val="20"/>
              </w:rPr>
              <w:t>0</w:t>
            </w:r>
          </w:p>
        </w:tc>
        <w:tc>
          <w:tcPr>
            <w:tcW w:w="605"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ascii="宋体" w:cs="宋体"/>
                <w:color w:val="000000"/>
                <w:kern w:val="0"/>
                <w:sz w:val="20"/>
                <w:szCs w:val="20"/>
              </w:rPr>
              <w:t>0</w:t>
            </w:r>
            <w:r>
              <w:rPr>
                <w:rFonts w:ascii="宋体" w:cs="Times New Roman"/>
                <w:color w:val="000000"/>
                <w:kern w:val="0"/>
                <w:sz w:val="20"/>
                <w:szCs w:val="20"/>
              </w:rPr>
              <w:t> </w:t>
            </w:r>
          </w:p>
        </w:tc>
        <w:tc>
          <w:tcPr>
            <w:tcW w:w="606" w:type="dxa"/>
            <w:tcBorders>
              <w:top w:val="nil"/>
              <w:left w:val="nil"/>
              <w:bottom w:val="single" w:color="auto" w:sz="12" w:space="0"/>
              <w:right w:val="single" w:color="auto" w:sz="8" w:space="0"/>
            </w:tcBorders>
            <w:tcMar>
              <w:left w:w="108" w:type="dxa"/>
              <w:right w:w="108" w:type="dxa"/>
            </w:tcMar>
            <w:vAlign w:val="center"/>
          </w:tcPr>
          <w:p>
            <w:pPr>
              <w:widowControl/>
              <w:spacing w:after="180"/>
              <w:jc w:val="center"/>
              <w:rPr>
                <w:rFonts w:cs="Times New Roman"/>
              </w:rPr>
            </w:pPr>
            <w:r>
              <w:rPr>
                <w:rFonts w:ascii="宋体" w:cs="宋体"/>
                <w:kern w:val="0"/>
                <w:sz w:val="20"/>
                <w:szCs w:val="20"/>
              </w:rPr>
              <w:t>0</w:t>
            </w:r>
            <w:r>
              <w:rPr>
                <w:rFonts w:ascii="宋体" w:cs="Times New Roman"/>
                <w:kern w:val="0"/>
                <w:sz w:val="20"/>
                <w:szCs w:val="20"/>
              </w:rPr>
              <w:t> </w:t>
            </w:r>
          </w:p>
        </w:tc>
        <w:tc>
          <w:tcPr>
            <w:tcW w:w="606" w:type="dxa"/>
            <w:tcBorders>
              <w:top w:val="nil"/>
              <w:left w:val="nil"/>
              <w:bottom w:val="single" w:color="auto" w:sz="12" w:space="0"/>
              <w:right w:val="single" w:color="auto" w:sz="12" w:space="0"/>
            </w:tcBorders>
            <w:tcMar>
              <w:left w:w="108" w:type="dxa"/>
              <w:right w:w="108" w:type="dxa"/>
            </w:tcMar>
            <w:vAlign w:val="center"/>
          </w:tcPr>
          <w:p>
            <w:pPr>
              <w:rPr>
                <w:rFonts w:ascii="宋体" w:cs="Times New Roman"/>
                <w:sz w:val="24"/>
                <w:szCs w:val="24"/>
              </w:rPr>
            </w:pPr>
            <w:r>
              <w:rPr>
                <w:rFonts w:ascii="宋体" w:cs="宋体"/>
                <w:sz w:val="24"/>
                <w:szCs w:val="24"/>
              </w:rPr>
              <w:t>4</w:t>
            </w:r>
          </w:p>
        </w:tc>
      </w:tr>
    </w:tbl>
    <w:p>
      <w:pPr>
        <w:widowControl/>
        <w:shd w:val="clear" w:color="auto" w:fill="FFFFFF"/>
        <w:jc w:val="center"/>
        <w:rPr>
          <w:rFonts w:ascii="宋体" w:cs="Times New Roman"/>
          <w:color w:val="333333"/>
          <w:sz w:val="24"/>
          <w:szCs w:val="24"/>
        </w:rPr>
      </w:pPr>
    </w:p>
    <w:p>
      <w:pPr>
        <w:pStyle w:val="5"/>
        <w:widowControl/>
        <w:shd w:val="clear" w:color="auto" w:fill="FFFFFF"/>
        <w:spacing w:beforeAutospacing="0" w:afterAutospacing="0"/>
        <w:ind w:firstLine="420"/>
        <w:jc w:val="both"/>
        <w:rPr>
          <w:rFonts w:ascii="黑体" w:hAnsi="黑体" w:eastAsia="黑体" w:cs="Times New Roman"/>
          <w:color w:val="333333"/>
          <w:sz w:val="32"/>
          <w:szCs w:val="32"/>
        </w:rPr>
      </w:pPr>
      <w:r>
        <w:rPr>
          <w:rFonts w:hint="eastAsia" w:ascii="黑体" w:hAnsi="黑体" w:eastAsia="黑体" w:cs="黑体"/>
          <w:color w:val="333333"/>
          <w:sz w:val="32"/>
          <w:szCs w:val="32"/>
          <w:shd w:val="clear" w:color="auto" w:fill="FFFFFF"/>
        </w:rPr>
        <w:t>五、存在的主要问题及改进情况</w:t>
      </w:r>
    </w:p>
    <w:p>
      <w:pPr>
        <w:spacing w:line="600" w:lineRule="exact"/>
        <w:ind w:firstLine="640" w:firstLineChars="200"/>
        <w:rPr>
          <w:rFonts w:ascii="仿宋" w:hAnsi="仿宋" w:eastAsia="仿宋" w:cs="Times New Roman"/>
          <w:sz w:val="32"/>
          <w:szCs w:val="32"/>
        </w:rPr>
      </w:pPr>
      <w:r>
        <w:rPr>
          <w:rFonts w:ascii="仿宋" w:hAnsi="仿宋" w:eastAsia="仿宋" w:cs="仿宋"/>
          <w:sz w:val="32"/>
          <w:szCs w:val="32"/>
        </w:rPr>
        <w:t>2019</w:t>
      </w:r>
      <w:r>
        <w:rPr>
          <w:rFonts w:hint="eastAsia" w:ascii="仿宋" w:hAnsi="仿宋" w:eastAsia="仿宋" w:cs="仿宋"/>
          <w:sz w:val="32"/>
          <w:szCs w:val="32"/>
        </w:rPr>
        <w:t>年政府信息公开工作取得了新的进展，但同时也存在部门和人员对政府信息公开工作重要的性和必要性认识不足，依法主动公开的意识不强，信息公开更新内容不够及时、全面，政策解读与热点回应效果不够好，与广大群众的要求还有一定差距，针对工作中存在的问题和不足，我们将主要采取以下措施进行改进：</w:t>
      </w:r>
    </w:p>
    <w:p>
      <w:pPr>
        <w:ind w:firstLine="707" w:firstLineChars="221"/>
        <w:rPr>
          <w:rFonts w:ascii="仿宋" w:hAnsi="仿宋" w:eastAsia="仿宋" w:cs="Times New Roman"/>
          <w:sz w:val="32"/>
          <w:szCs w:val="32"/>
        </w:rPr>
      </w:pPr>
      <w:r>
        <w:rPr>
          <w:rFonts w:ascii="楷体" w:hAnsi="楷体" w:eastAsia="楷体" w:cs="楷体"/>
          <w:sz w:val="32"/>
          <w:szCs w:val="32"/>
        </w:rPr>
        <w:t>1</w:t>
      </w:r>
      <w:r>
        <w:rPr>
          <w:rFonts w:hint="eastAsia" w:ascii="楷体" w:hAnsi="楷体" w:eastAsia="楷体" w:cs="楷体"/>
          <w:sz w:val="32"/>
          <w:szCs w:val="32"/>
        </w:rPr>
        <w:t>、进一步强化公开意识，夯实工作责任。</w:t>
      </w:r>
      <w:r>
        <w:rPr>
          <w:rFonts w:hint="eastAsia" w:ascii="仿宋" w:hAnsi="仿宋" w:eastAsia="仿宋" w:cs="仿宋"/>
          <w:sz w:val="32"/>
          <w:szCs w:val="32"/>
        </w:rPr>
        <w:t>全面学习宣传和贯彻落实《条例》和省、市政务公开工作部署要求，通过明确责任分工、加强日常督促指导、科学用好考核杠杆、打造提升队伍素质等措施，进一步健全完善政务公开工作体制机制，夯实各项基层基础保障工作，协同推进各级各部门单位增强公开意识，落实公开任务，提升政务公开整体水平。</w:t>
      </w:r>
    </w:p>
    <w:p>
      <w:pPr>
        <w:ind w:firstLine="707" w:firstLineChars="221"/>
        <w:rPr>
          <w:rFonts w:ascii="仿宋" w:hAnsi="仿宋" w:eastAsia="仿宋" w:cs="Times New Roman"/>
          <w:sz w:val="32"/>
          <w:szCs w:val="32"/>
        </w:rPr>
      </w:pPr>
      <w:r>
        <w:rPr>
          <w:rFonts w:ascii="楷体" w:hAnsi="楷体" w:eastAsia="楷体" w:cs="楷体"/>
          <w:sz w:val="32"/>
          <w:szCs w:val="32"/>
        </w:rPr>
        <w:t>2</w:t>
      </w:r>
      <w:r>
        <w:rPr>
          <w:rFonts w:hint="eastAsia" w:ascii="楷体" w:hAnsi="楷体" w:eastAsia="楷体" w:cs="楷体"/>
          <w:sz w:val="32"/>
          <w:szCs w:val="32"/>
        </w:rPr>
        <w:t>、进一步加强政务公开平台建设。</w:t>
      </w:r>
      <w:r>
        <w:rPr>
          <w:rFonts w:hint="eastAsia" w:ascii="仿宋" w:hAnsi="仿宋" w:eastAsia="仿宋" w:cs="仿宋"/>
          <w:sz w:val="32"/>
          <w:szCs w:val="32"/>
        </w:rPr>
        <w:t>不断加强和拓展政务公开平台建设，创新公开形式载体，完善、优化现有的网站、广播电视、政务新媒体等政务公开平台功能，提高信息公开的时效性和准确性，同时，适应互联网、大数据、人工智能等技术发展趋势，积极探索利用各类先进科技手段，不断拓展提升政务公开的方式方法，使广大群众更加便利地获得所需信息。</w:t>
      </w:r>
    </w:p>
    <w:p>
      <w:pPr>
        <w:ind w:firstLine="707" w:firstLineChars="221"/>
        <w:rPr>
          <w:rFonts w:ascii="仿宋" w:hAnsi="仿宋" w:eastAsia="仿宋" w:cs="Times New Roman"/>
          <w:sz w:val="32"/>
          <w:szCs w:val="32"/>
        </w:rPr>
      </w:pPr>
      <w:r>
        <w:rPr>
          <w:rFonts w:ascii="楷体" w:hAnsi="楷体" w:eastAsia="楷体" w:cs="楷体"/>
          <w:sz w:val="32"/>
          <w:szCs w:val="32"/>
        </w:rPr>
        <w:t>3</w:t>
      </w:r>
      <w:r>
        <w:rPr>
          <w:rFonts w:hint="eastAsia" w:ascii="楷体" w:hAnsi="楷体" w:eastAsia="楷体" w:cs="楷体"/>
          <w:sz w:val="32"/>
          <w:szCs w:val="32"/>
        </w:rPr>
        <w:t>、加强政务公开标准化规范化建设。</w:t>
      </w:r>
      <w:r>
        <w:rPr>
          <w:rFonts w:hint="eastAsia" w:ascii="仿宋" w:hAnsi="仿宋" w:eastAsia="仿宋" w:cs="仿宋"/>
          <w:sz w:val="32"/>
          <w:szCs w:val="32"/>
        </w:rPr>
        <w:t>继续推进政务公开事项标准目录编制试点推广，完善公开流程、公开标准、公开平台，探索建立工作会商、业务培训、经验交流、第三方服务等制度机制，进一步激发内生动力和创新活力，促进政务公开更好开展。</w:t>
      </w:r>
    </w:p>
    <w:p>
      <w:pPr>
        <w:rPr>
          <w:rFonts w:ascii="仿宋" w:hAnsi="仿宋" w:eastAsia="仿宋" w:cs="Times New Roman"/>
          <w:sz w:val="32"/>
          <w:szCs w:val="32"/>
        </w:rPr>
      </w:pPr>
    </w:p>
    <w:p>
      <w:pPr>
        <w:rPr>
          <w:rFonts w:ascii="仿宋" w:hAnsi="仿宋" w:eastAsia="仿宋" w:cs="Times New Roman"/>
          <w:sz w:val="32"/>
          <w:szCs w:val="32"/>
        </w:rPr>
      </w:pPr>
    </w:p>
    <w:p>
      <w:pPr>
        <w:jc w:val="right"/>
        <w:rPr>
          <w:rFonts w:ascii="仿宋" w:hAnsi="仿宋" w:eastAsia="仿宋" w:cs="Times New Roman"/>
          <w:sz w:val="32"/>
          <w:szCs w:val="32"/>
        </w:rPr>
      </w:pPr>
      <w:r>
        <w:rPr>
          <w:rFonts w:ascii="仿宋" w:hAnsi="仿宋" w:eastAsia="仿宋" w:cs="仿宋"/>
          <w:sz w:val="32"/>
          <w:szCs w:val="32"/>
        </w:rPr>
        <w:t>2020</w:t>
      </w:r>
      <w:r>
        <w:rPr>
          <w:rFonts w:hint="eastAsia" w:ascii="仿宋" w:hAnsi="仿宋" w:eastAsia="仿宋" w:cs="仿宋"/>
          <w:sz w:val="32"/>
          <w:szCs w:val="32"/>
        </w:rPr>
        <w:t>年</w:t>
      </w:r>
      <w:r>
        <w:rPr>
          <w:rFonts w:ascii="仿宋" w:hAnsi="仿宋" w:eastAsia="仿宋" w:cs="仿宋"/>
          <w:sz w:val="32"/>
          <w:szCs w:val="32"/>
        </w:rPr>
        <w:t>2</w:t>
      </w:r>
      <w:r>
        <w:rPr>
          <w:rFonts w:hint="eastAsia" w:ascii="仿宋" w:hAnsi="仿宋" w:eastAsia="仿宋" w:cs="仿宋"/>
          <w:sz w:val="32"/>
          <w:szCs w:val="32"/>
        </w:rPr>
        <w:t>月</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outside" w:y="1"/>
      <w:rPr>
        <w:rStyle w:val="8"/>
        <w:rFonts w:ascii="仿宋" w:hAnsi="仿宋" w:eastAsia="仿宋" w:cs="Times New Roman"/>
        <w:sz w:val="24"/>
        <w:szCs w:val="24"/>
      </w:rPr>
    </w:pPr>
    <w:r>
      <w:rPr>
        <w:rStyle w:val="8"/>
        <w:rFonts w:ascii="仿宋" w:hAnsi="仿宋" w:eastAsia="仿宋" w:cs="仿宋"/>
        <w:sz w:val="24"/>
        <w:szCs w:val="24"/>
      </w:rPr>
      <w:fldChar w:fldCharType="begin"/>
    </w:r>
    <w:r>
      <w:rPr>
        <w:rStyle w:val="8"/>
        <w:rFonts w:ascii="仿宋" w:hAnsi="仿宋" w:eastAsia="仿宋" w:cs="仿宋"/>
        <w:sz w:val="24"/>
        <w:szCs w:val="24"/>
      </w:rPr>
      <w:instrText xml:space="preserve">PAGE  </w:instrText>
    </w:r>
    <w:r>
      <w:rPr>
        <w:rStyle w:val="8"/>
        <w:rFonts w:ascii="仿宋" w:hAnsi="仿宋" w:eastAsia="仿宋" w:cs="仿宋"/>
        <w:sz w:val="24"/>
        <w:szCs w:val="24"/>
      </w:rPr>
      <w:fldChar w:fldCharType="separate"/>
    </w:r>
    <w:r>
      <w:rPr>
        <w:rStyle w:val="8"/>
        <w:rFonts w:ascii="仿宋" w:hAnsi="仿宋" w:eastAsia="仿宋" w:cs="仿宋"/>
        <w:sz w:val="24"/>
        <w:szCs w:val="24"/>
      </w:rPr>
      <w:t>- 11 -</w:t>
    </w:r>
    <w:r>
      <w:rPr>
        <w:rStyle w:val="8"/>
        <w:rFonts w:ascii="仿宋" w:hAnsi="仿宋" w:eastAsia="仿宋" w:cs="仿宋"/>
        <w:sz w:val="24"/>
        <w:szCs w:val="24"/>
      </w:rPr>
      <w:fldChar w:fldCharType="end"/>
    </w:r>
  </w:p>
  <w:p>
    <w:pPr>
      <w:pStyle w:val="3"/>
      <w:ind w:right="360" w:firstLine="360"/>
      <w:rPr>
        <w:rFonts w:cs="Times New Roman"/>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NotTrackMoves/>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7B4105D4"/>
    <w:rsid w:val="00053E89"/>
    <w:rsid w:val="00066D8C"/>
    <w:rsid w:val="00081FDB"/>
    <w:rsid w:val="00085472"/>
    <w:rsid w:val="00094022"/>
    <w:rsid w:val="000D1159"/>
    <w:rsid w:val="000D725C"/>
    <w:rsid w:val="000E5CA8"/>
    <w:rsid w:val="000F0357"/>
    <w:rsid w:val="00113F73"/>
    <w:rsid w:val="001B53D2"/>
    <w:rsid w:val="001B7788"/>
    <w:rsid w:val="001C3A00"/>
    <w:rsid w:val="001D3B0A"/>
    <w:rsid w:val="001D468D"/>
    <w:rsid w:val="001D4CAB"/>
    <w:rsid w:val="002142DD"/>
    <w:rsid w:val="00274AD2"/>
    <w:rsid w:val="002C4224"/>
    <w:rsid w:val="002C5B52"/>
    <w:rsid w:val="002D7AE3"/>
    <w:rsid w:val="002E3A10"/>
    <w:rsid w:val="00361D6A"/>
    <w:rsid w:val="00377A0D"/>
    <w:rsid w:val="0038562A"/>
    <w:rsid w:val="003B3F3B"/>
    <w:rsid w:val="003B50F5"/>
    <w:rsid w:val="003B7AAA"/>
    <w:rsid w:val="003C77A6"/>
    <w:rsid w:val="003F475E"/>
    <w:rsid w:val="00427BB4"/>
    <w:rsid w:val="00474EF5"/>
    <w:rsid w:val="00476ACF"/>
    <w:rsid w:val="00496CFE"/>
    <w:rsid w:val="004A47BA"/>
    <w:rsid w:val="004C779F"/>
    <w:rsid w:val="004D36E1"/>
    <w:rsid w:val="004D7A1B"/>
    <w:rsid w:val="004F335E"/>
    <w:rsid w:val="005058C8"/>
    <w:rsid w:val="00507227"/>
    <w:rsid w:val="005169C2"/>
    <w:rsid w:val="00557B50"/>
    <w:rsid w:val="00582FFD"/>
    <w:rsid w:val="005A5701"/>
    <w:rsid w:val="005B6538"/>
    <w:rsid w:val="005D4505"/>
    <w:rsid w:val="00600634"/>
    <w:rsid w:val="0064079C"/>
    <w:rsid w:val="00644B25"/>
    <w:rsid w:val="006762C3"/>
    <w:rsid w:val="00683415"/>
    <w:rsid w:val="00690DB5"/>
    <w:rsid w:val="0069549A"/>
    <w:rsid w:val="006B771D"/>
    <w:rsid w:val="006D6CD2"/>
    <w:rsid w:val="006E7287"/>
    <w:rsid w:val="006F3F06"/>
    <w:rsid w:val="006F7645"/>
    <w:rsid w:val="00721763"/>
    <w:rsid w:val="007337CB"/>
    <w:rsid w:val="007449AB"/>
    <w:rsid w:val="0076053D"/>
    <w:rsid w:val="007E70B2"/>
    <w:rsid w:val="007F721A"/>
    <w:rsid w:val="00837BE0"/>
    <w:rsid w:val="008E72DE"/>
    <w:rsid w:val="008F5E04"/>
    <w:rsid w:val="00901FD7"/>
    <w:rsid w:val="00905E2C"/>
    <w:rsid w:val="00916B73"/>
    <w:rsid w:val="00926744"/>
    <w:rsid w:val="009543CB"/>
    <w:rsid w:val="00957748"/>
    <w:rsid w:val="009637EC"/>
    <w:rsid w:val="00981FAA"/>
    <w:rsid w:val="00983738"/>
    <w:rsid w:val="009844C0"/>
    <w:rsid w:val="00997377"/>
    <w:rsid w:val="009A3EEC"/>
    <w:rsid w:val="009B0015"/>
    <w:rsid w:val="009E0C58"/>
    <w:rsid w:val="009E2B0C"/>
    <w:rsid w:val="00A121FC"/>
    <w:rsid w:val="00A245F1"/>
    <w:rsid w:val="00A551CB"/>
    <w:rsid w:val="00A66142"/>
    <w:rsid w:val="00AC1D77"/>
    <w:rsid w:val="00AC2C22"/>
    <w:rsid w:val="00AD2A8A"/>
    <w:rsid w:val="00AD3CA8"/>
    <w:rsid w:val="00AD59BF"/>
    <w:rsid w:val="00B056D0"/>
    <w:rsid w:val="00B109FA"/>
    <w:rsid w:val="00B121CD"/>
    <w:rsid w:val="00B70969"/>
    <w:rsid w:val="00B9634A"/>
    <w:rsid w:val="00BB0E5D"/>
    <w:rsid w:val="00BD0768"/>
    <w:rsid w:val="00BD531F"/>
    <w:rsid w:val="00BE785D"/>
    <w:rsid w:val="00BF2654"/>
    <w:rsid w:val="00C01C92"/>
    <w:rsid w:val="00C24E51"/>
    <w:rsid w:val="00C26EFC"/>
    <w:rsid w:val="00C50734"/>
    <w:rsid w:val="00C52CE7"/>
    <w:rsid w:val="00C822EB"/>
    <w:rsid w:val="00C86E39"/>
    <w:rsid w:val="00CD6743"/>
    <w:rsid w:val="00D126E7"/>
    <w:rsid w:val="00D404BD"/>
    <w:rsid w:val="00DE0F70"/>
    <w:rsid w:val="00E12A62"/>
    <w:rsid w:val="00E34E21"/>
    <w:rsid w:val="00E43610"/>
    <w:rsid w:val="00E9795A"/>
    <w:rsid w:val="00EA4EA5"/>
    <w:rsid w:val="00EC7249"/>
    <w:rsid w:val="00F240A7"/>
    <w:rsid w:val="00F32850"/>
    <w:rsid w:val="00F334A0"/>
    <w:rsid w:val="00F37A76"/>
    <w:rsid w:val="00F626D0"/>
    <w:rsid w:val="00F919A8"/>
    <w:rsid w:val="00F92144"/>
    <w:rsid w:val="00F948C5"/>
    <w:rsid w:val="00FA3CBE"/>
    <w:rsid w:val="00FE2E62"/>
    <w:rsid w:val="00FE4532"/>
    <w:rsid w:val="00FF2DD1"/>
    <w:rsid w:val="04501423"/>
    <w:rsid w:val="2E223195"/>
    <w:rsid w:val="32706029"/>
    <w:rsid w:val="37464714"/>
    <w:rsid w:val="40066E40"/>
    <w:rsid w:val="4B24395B"/>
    <w:rsid w:val="56015F00"/>
    <w:rsid w:val="5F5C0CC9"/>
    <w:rsid w:val="66D41E6B"/>
    <w:rsid w:val="7B4105D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unhideWhenUsed="0" w:uiPriority="99" w:semiHidden="0" w:name="header"/>
    <w:lsdException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nhideWhenUsed="0" w:uiPriority="99" w:semiHidden="0"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nhideWhenUsed="0" w:uiPriority="99" w:name="Balloon Text" w:locked="1"/>
    <w:lsdException w:uiPriority="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locked/>
    <w:uiPriority w:val="99"/>
    <w:rPr>
      <w:sz w:val="18"/>
      <w:szCs w:val="18"/>
    </w:rPr>
  </w:style>
  <w:style w:type="paragraph" w:styleId="3">
    <w:name w:val="footer"/>
    <w:basedOn w:val="1"/>
    <w:link w:val="9"/>
    <w:uiPriority w:val="99"/>
    <w:pPr>
      <w:tabs>
        <w:tab w:val="center" w:pos="4153"/>
        <w:tab w:val="right" w:pos="8306"/>
      </w:tabs>
      <w:snapToGrid w:val="0"/>
      <w:jc w:val="left"/>
    </w:pPr>
    <w:rPr>
      <w:sz w:val="18"/>
      <w:szCs w:val="18"/>
    </w:rPr>
  </w:style>
  <w:style w:type="paragraph" w:styleId="4">
    <w:name w:val="header"/>
    <w:basedOn w:val="1"/>
    <w:link w:val="10"/>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szCs w:val="18"/>
    </w:rPr>
  </w:style>
  <w:style w:type="paragraph" w:styleId="5">
    <w:name w:val="Normal (Web)"/>
    <w:basedOn w:val="1"/>
    <w:uiPriority w:val="99"/>
    <w:pPr>
      <w:spacing w:beforeAutospacing="1" w:afterAutospacing="1"/>
      <w:jc w:val="left"/>
    </w:pPr>
    <w:rPr>
      <w:kern w:val="0"/>
      <w:sz w:val="24"/>
      <w:szCs w:val="24"/>
    </w:rPr>
  </w:style>
  <w:style w:type="character" w:styleId="8">
    <w:name w:val="page number"/>
    <w:basedOn w:val="7"/>
    <w:locked/>
    <w:uiPriority w:val="99"/>
  </w:style>
  <w:style w:type="character" w:customStyle="1" w:styleId="9">
    <w:name w:val="页脚 字符"/>
    <w:link w:val="3"/>
    <w:semiHidden/>
    <w:qFormat/>
    <w:locked/>
    <w:uiPriority w:val="99"/>
    <w:rPr>
      <w:sz w:val="18"/>
      <w:szCs w:val="18"/>
    </w:rPr>
  </w:style>
  <w:style w:type="character" w:customStyle="1" w:styleId="10">
    <w:name w:val="页眉 字符"/>
    <w:link w:val="4"/>
    <w:semiHidden/>
    <w:qFormat/>
    <w:locked/>
    <w:uiPriority w:val="99"/>
    <w:rPr>
      <w:sz w:val="18"/>
      <w:szCs w:val="18"/>
    </w:rPr>
  </w:style>
  <w:style w:type="paragraph" w:customStyle="1" w:styleId="11">
    <w:name w:val="Char Char Char Char1 Char Char Char Char Char Char Char Char Char Char Char Char Char Char Char Char Char"/>
    <w:basedOn w:val="1"/>
    <w:qFormat/>
    <w:uiPriority w:val="99"/>
    <w:pPr>
      <w:widowControl/>
      <w:spacing w:after="160" w:line="240" w:lineRule="exact"/>
      <w:ind w:firstLine="980" w:firstLineChars="350"/>
      <w:jc w:val="left"/>
    </w:pPr>
    <w:rPr>
      <w:rFonts w:ascii="Times New Roman" w:hAnsi="Times New Roman" w:cs="Times New Roman"/>
    </w:rPr>
  </w:style>
  <w:style w:type="character" w:customStyle="1" w:styleId="12">
    <w:name w:val="批注框文本 字符"/>
    <w:link w:val="2"/>
    <w:semiHidden/>
    <w:qFormat/>
    <w:locked/>
    <w:uiPriority w:val="99"/>
    <w:rPr>
      <w:sz w:val="2"/>
      <w:szCs w:val="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张店区人民政府办公室</Company>
  <Pages>13</Pages>
  <Words>863</Words>
  <Characters>4921</Characters>
  <Lines>41</Lines>
  <Paragraphs>11</Paragraphs>
  <TotalTime>10</TotalTime>
  <ScaleCrop>false</ScaleCrop>
  <LinksUpToDate>false</LinksUpToDate>
  <CharactersWithSpaces>5773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2020-03-17T06:06:00Z</dcterms:created>
  <dc:creator>January</dc:creator>
  <cp:lastModifiedBy>merry</cp:lastModifiedBy>
  <cp:lastPrinted>2020-03-17T00:43:00Z</cp:lastPrinted>
  <dcterms:modified xsi:type="dcterms:W3CDTF">2021-02-19T05:56:47Z</dcterms:modified>
  <dc:title>淄博市张店区人民政府</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