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淄博市张店区融媒体中心2022年政府信息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根据《中华人民共和国政府信息公开条例》要求，特向社会公布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淄博市张店区</w:t>
      </w:r>
      <w:r>
        <w:rPr>
          <w:rFonts w:hint="eastAsia" w:ascii="仿宋_GB2312" w:hAnsi="仿宋_GB2312" w:eastAsia="仿宋_GB2312" w:cs="仿宋_GB2312"/>
          <w:sz w:val="32"/>
          <w:szCs w:val="32"/>
        </w:rPr>
        <w:t>融媒体中心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年度报告。本报告包括本年度政府信息公开工作的总体情况，主动公开政府信息情况，收到和处理政府信息公开申请情况，政府信息公开行政复议、行政诉讼情况，存在的主要问题及改进措施，其他需要报告的事项等六大部分。本报告中所列数据的统计期限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年1月1日起，至202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年12月31日止。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如对报告内容有疑问，请与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</w:rPr>
        <w:t>张店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（地址：张店区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和平路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:2550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:0533-28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80386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，淄博市张店区融媒体中心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大精神，认真落实《中华人民共和国政府信息公开条例》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《张店区人民政府办公室关于印发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年张店区政务公开工作要点的通知》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要求，规范政务公开内容，创新政务公开形式，突出政务公开重点，运用全媒体平台做好政策解读与宣讲，政务信息公开工作取得了较好的成效。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共制作政府信息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条，其中主动公开信息数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条，依申请公开信息数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条。公开信息中，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区政府领导讲话和活动123条，财政资金类信息4条，疫情防控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类信息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新媒体类信息12条，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其他应主动公开的政府信息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（二）依申请公开情况。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年度我中心受理政府信息公开申请总数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（三）政府信息管理情况。一是调整中心政府信息公开工作领导小组。二是定期对政府信息公开工作进行分析梳理，明确职责、发布内容、发布期限等。三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制定了《张店区融媒体中心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政务公开工作培训方案》，召集相关工作人员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认真学习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张店区202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年政务公开工作要点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》等相关文件。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（四）监督保障情况。加强政务信息公开前审查力度，做好公开内容、公开时间、表述方式等研判，畅通信息发布渠道。 确保信息真实。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平台建设情况。依托张店区人民政府门户网作为政府信息公开主阵地，开设政府信息公开指南、政府信息公开制度、法定主动公开内容、政府信息公开年报、政府信息依申请公开等五大板块公开业务信息。充分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店”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“今日张店”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等平台，扩大政务公开范围，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及时向社会公布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我中心的业务工作开展。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0" w:firstLineChars="3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320" w:firstLineChars="10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1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1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2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3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4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5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6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7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325"/>
                <w:tab w:val="left" w:pos="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8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8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按照上级要求做到了信息的及时、有效公开，但仍存在个别信息公开不及时、政务公开信息质量有待提高、部门动态信息不强等问题。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区融媒体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为此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强化服务意识，细化公开事项，丰富公开内容，着力优化全媒的政务服务功能，进一步做好单位政务公开工作。一是强化公开意识。扎实落实政务公开信息制度，增强做好政务公开的自觉性和责任感，及时掌握信息公开的新政策新要求。二是加强主动公开。加强与党风廉政建设、机关效能建设等工作有机结合，加大人事管理、部门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算等工作公开力度，提高单位的公信力，透明度。三是优化公开服务。利用全媒体平台对重要会议、最新政策进行解读宣传，充分发挥新闻媒体的信息先行作用，服务基层服务群众。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（一）建议提案办理情况。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共收到代表建议0条，其中省级人大代表建议0条、市级人大代表建议0条、区级人大代表建议0条。202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年，我中心共收到政协提案2件，其中省级政协提案0条、市级政协提案0条、区级政协提案2条。办理结果为：已解决采纳2件。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（二）《2022年淄博市政务公开工作方案》落实情况。积极推动政务新媒体适老化和无障碍改造，完成“爱张店”APP升级，强化新媒体矩阵建设，及时让党委政府声音“飞入寻常百姓家”。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（三）2022年度，张店区融媒体中心在办理政府信息公开申请过程中，未收取任何信息处理费。  </w:t>
      </w:r>
      <w:bookmarkStart w:id="9" w:name="_GoBack"/>
      <w:bookmarkEnd w:id="9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张店区融媒体中心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right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2023年1月17日</w:t>
      </w: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NDM5OTRjOWNjMDViZjFlOWUzNGNkYmZkYjVmOTgifQ=="/>
  </w:docVars>
  <w:rsids>
    <w:rsidRoot w:val="00000000"/>
    <w:rsid w:val="00AE40FC"/>
    <w:rsid w:val="00E013E6"/>
    <w:rsid w:val="09456309"/>
    <w:rsid w:val="09BA4762"/>
    <w:rsid w:val="1E7026E8"/>
    <w:rsid w:val="20FD6406"/>
    <w:rsid w:val="27FE1768"/>
    <w:rsid w:val="288513DA"/>
    <w:rsid w:val="30344ADE"/>
    <w:rsid w:val="33F242E0"/>
    <w:rsid w:val="3D5D3CA5"/>
    <w:rsid w:val="40626FEA"/>
    <w:rsid w:val="428C05E2"/>
    <w:rsid w:val="45520969"/>
    <w:rsid w:val="48CC5D99"/>
    <w:rsid w:val="4A871B13"/>
    <w:rsid w:val="4DE35442"/>
    <w:rsid w:val="540F2D6C"/>
    <w:rsid w:val="55BE227E"/>
    <w:rsid w:val="55F520F0"/>
    <w:rsid w:val="578D6C06"/>
    <w:rsid w:val="5C6144A1"/>
    <w:rsid w:val="5EAA563B"/>
    <w:rsid w:val="6067211C"/>
    <w:rsid w:val="61456E97"/>
    <w:rsid w:val="63F13756"/>
    <w:rsid w:val="6BBE3946"/>
    <w:rsid w:val="6BE646E9"/>
    <w:rsid w:val="6E882E8D"/>
    <w:rsid w:val="723B3276"/>
    <w:rsid w:val="72D517B9"/>
    <w:rsid w:val="750C5889"/>
    <w:rsid w:val="75331934"/>
    <w:rsid w:val="77B0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2308</Words>
  <Characters>2407</Characters>
  <Lines>0</Lines>
  <Paragraphs>0</Paragraphs>
  <TotalTime>1</TotalTime>
  <ScaleCrop>false</ScaleCrop>
  <LinksUpToDate>false</LinksUpToDate>
  <CharactersWithSpaces>2412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Administrator.AB-201802261409</dc:creator>
  <cp:lastModifiedBy>马马狐狐</cp:lastModifiedBy>
  <cp:lastPrinted>2023-01-18T01:29:00Z</cp:lastPrinted>
  <dcterms:modified xsi:type="dcterms:W3CDTF">2023-01-31T09:20:30Z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4AA1301123C24FD0B41310F1CEED5E09</vt:lpwstr>
  </property>
</Properties>
</file>