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left"/>
        <w:textAlignment w:val="auto"/>
        <w:outlineLvl w:val="9"/>
        <w:rPr>
          <w:rFonts w:hint="eastAsia" w:ascii="Times New Roman" w:hAnsi="Times New Roman" w:eastAsia="黑体" w:cs="黑体"/>
          <w:b w:val="0"/>
          <w:bCs/>
          <w:i w:val="0"/>
          <w:caps w:val="0"/>
          <w:color w:val="333333"/>
          <w:spacing w:val="-17"/>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Times New Roman" w:hAnsi="Times New Roman" w:eastAsia="方正小标宋简体" w:cs="方正小标宋简体"/>
          <w:b w:val="0"/>
          <w:bCs/>
          <w:i w:val="0"/>
          <w:caps w:val="0"/>
          <w:color w:val="333333"/>
          <w:spacing w:val="-17"/>
          <w:sz w:val="44"/>
          <w:szCs w:val="44"/>
          <w:shd w:val="clear" w:fill="FFFFFF"/>
          <w:lang w:val="en-US" w:eastAsia="zh-CN"/>
        </w:rPr>
      </w:pPr>
      <w:r>
        <w:rPr>
          <w:rFonts w:hint="eastAsia" w:ascii="Times New Roman" w:hAnsi="Times New Roman" w:eastAsia="方正小标宋简体" w:cs="方正小标宋简体"/>
          <w:b w:val="0"/>
          <w:bCs/>
          <w:i w:val="0"/>
          <w:caps w:val="0"/>
          <w:color w:val="333333"/>
          <w:spacing w:val="-17"/>
          <w:sz w:val="44"/>
          <w:szCs w:val="44"/>
          <w:shd w:val="clear" w:fill="FFFFFF"/>
          <w:lang w:val="en-US" w:eastAsia="zh-CN"/>
        </w:rPr>
        <w:t>张店区人力资源和社会保障局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Times New Roman" w:hAnsi="Times New Roman" w:eastAsia="方正小标宋简体" w:cs="方正小标宋简体"/>
          <w:b w:val="0"/>
          <w:bCs/>
          <w:i w:val="0"/>
          <w:caps w:val="0"/>
          <w:color w:val="333333"/>
          <w:spacing w:val="0"/>
          <w:sz w:val="44"/>
          <w:szCs w:val="44"/>
          <w:shd w:val="clear" w:fill="FFFFFF"/>
          <w:lang w:eastAsia="zh-CN"/>
        </w:rPr>
      </w:pPr>
      <w:r>
        <w:rPr>
          <w:rFonts w:hint="default" w:ascii="Times New Roman" w:hAnsi="Times New Roman" w:eastAsia="方正小标宋简体" w:cs="Times New Roman"/>
          <w:b w:val="0"/>
          <w:bCs/>
          <w:i w:val="0"/>
          <w:caps w:val="0"/>
          <w:color w:val="333333"/>
          <w:spacing w:val="-17"/>
          <w:sz w:val="44"/>
          <w:szCs w:val="44"/>
          <w:shd w:val="clear" w:fill="FFFFFF"/>
          <w:lang w:val="en-US" w:eastAsia="zh-CN"/>
        </w:rPr>
        <w:t>202</w:t>
      </w:r>
      <w:r>
        <w:rPr>
          <w:rFonts w:hint="eastAsia" w:ascii="Times New Roman" w:hAnsi="Times New Roman" w:eastAsia="方正小标宋简体" w:cs="Times New Roman"/>
          <w:b w:val="0"/>
          <w:bCs/>
          <w:i w:val="0"/>
          <w:caps w:val="0"/>
          <w:color w:val="333333"/>
          <w:spacing w:val="-17"/>
          <w:sz w:val="44"/>
          <w:szCs w:val="44"/>
          <w:shd w:val="clear" w:fill="FFFFFF"/>
          <w:lang w:val="en-US" w:eastAsia="zh-CN"/>
        </w:rPr>
        <w:t>3</w:t>
      </w:r>
      <w:r>
        <w:rPr>
          <w:rFonts w:hint="eastAsia" w:ascii="Times New Roman" w:hAnsi="Times New Roman" w:eastAsia="方正小标宋简体" w:cs="方正小标宋简体"/>
          <w:b w:val="0"/>
          <w:bCs/>
          <w:i w:val="0"/>
          <w:caps w:val="0"/>
          <w:color w:val="333333"/>
          <w:spacing w:val="-17"/>
          <w:sz w:val="44"/>
          <w:szCs w:val="44"/>
          <w:shd w:val="clear" w:fill="FFFFFF"/>
          <w:lang w:val="en-US" w:eastAsia="zh-CN"/>
        </w:rPr>
        <w:t>年</w:t>
      </w:r>
      <w:r>
        <w:rPr>
          <w:rFonts w:hint="eastAsia" w:ascii="Times New Roman" w:hAnsi="Times New Roman" w:eastAsia="方正小标宋简体" w:cs="方正小标宋简体"/>
          <w:b w:val="0"/>
          <w:bCs/>
          <w:i w:val="0"/>
          <w:caps w:val="0"/>
          <w:color w:val="333333"/>
          <w:spacing w:val="-17"/>
          <w:sz w:val="44"/>
          <w:szCs w:val="44"/>
          <w:shd w:val="clear" w:fill="FFFFFF"/>
        </w:rPr>
        <w:t>政府信息公开工作</w:t>
      </w:r>
      <w:r>
        <w:rPr>
          <w:rFonts w:hint="eastAsia" w:ascii="Times New Roman" w:hAnsi="Times New Roman" w:eastAsia="方正小标宋简体" w:cs="方正小标宋简体"/>
          <w:b w:val="0"/>
          <w:bCs/>
          <w:i w:val="0"/>
          <w:caps w:val="0"/>
          <w:color w:val="333333"/>
          <w:spacing w:val="0"/>
          <w:sz w:val="44"/>
          <w:szCs w:val="44"/>
          <w:shd w:val="clear" w:fill="FFFFFF"/>
        </w:rPr>
        <w:t>年度报告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jc w:val="both"/>
        <w:textAlignment w:val="auto"/>
        <w:rPr>
          <w:rFonts w:hint="eastAsia" w:ascii="Times New Roman" w:hAnsi="Times New Roman" w:eastAsia="宋体" w:cs="宋体"/>
          <w:i w:val="0"/>
          <w:caps w:val="0"/>
          <w:color w:val="333333"/>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FF"/>
          <w:spacing w:val="0"/>
          <w:kern w:val="2"/>
          <w:sz w:val="32"/>
          <w:szCs w:val="32"/>
          <w:shd w:val="clear" w:fill="FFFFFF"/>
          <w:lang w:val="en-US" w:eastAsia="zh-CN" w:bidi="ar-SA"/>
        </w:rPr>
      </w:pPr>
      <w:r>
        <w:rPr>
          <w:rFonts w:hint="eastAsia" w:ascii="仿宋_GB2312" w:hAnsi="仿宋_GB2312" w:eastAsia="仿宋_GB2312" w:cs="仿宋_GB2312"/>
          <w:kern w:val="2"/>
          <w:sz w:val="32"/>
          <w:szCs w:val="32"/>
          <w:lang w:val="en-US" w:eastAsia="zh-CN" w:bidi="ar-SA"/>
        </w:rPr>
        <w:t>本年度报告中所列数据的统计期限自2023年1月1日起，至2023年12月31日止。如对报告内容有疑问，请与</w:t>
      </w:r>
      <w:r>
        <w:rPr>
          <w:rFonts w:hint="eastAsia" w:ascii="仿宋_GB2312" w:hAnsi="仿宋_GB2312" w:eastAsia="仿宋_GB2312" w:cs="仿宋_GB2312"/>
          <w:kern w:val="2"/>
          <w:sz w:val="32"/>
          <w:szCs w:val="32"/>
          <w:u w:val="none"/>
          <w:lang w:val="en-US" w:eastAsia="zh-CN" w:bidi="ar-SA"/>
        </w:rPr>
        <w:t>张店区人力资源和社会保障局</w:t>
      </w:r>
      <w:r>
        <w:rPr>
          <w:rFonts w:hint="eastAsia" w:ascii="仿宋_GB2312" w:hAnsi="仿宋_GB2312" w:eastAsia="仿宋_GB2312" w:cs="仿宋_GB2312"/>
          <w:kern w:val="2"/>
          <w:sz w:val="32"/>
          <w:szCs w:val="32"/>
          <w:lang w:val="en-US" w:eastAsia="zh-CN" w:bidi="ar-SA"/>
        </w:rPr>
        <w:t>联系（地址：张店区新村西路220号；邮编：255000；电话：0533-2168550；电子邮箱：zdqrsjzzrsk@zb.shandong.cn）。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一、总体情况</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2023年，张店区人力资源和社会保障局严格贯彻落实条例等相关文件要求，在人社相关业务包括稳就业保就业政策、落实社保征缴扩面及待遇发放、扩大人才吸引力度和人才队伍水平建设等方面，持续深入推进政务公开，以政务公开助推人社事业高质量发展。</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（一）主动公开方面。</w:t>
      </w:r>
      <w:r>
        <w:rPr>
          <w:rFonts w:hint="eastAsia" w:ascii="仿宋_GB2312" w:hAnsi="仿宋_GB2312" w:eastAsia="仿宋_GB2312" w:cs="仿宋_GB2312"/>
          <w:kern w:val="2"/>
          <w:sz w:val="32"/>
          <w:szCs w:val="32"/>
          <w:lang w:val="en-US" w:eastAsia="zh-CN" w:bidi="ar-SA"/>
        </w:rPr>
        <w:t>充分利用张店区人民政府政务公开网站、“张店人社”微信公众号、“张店人社”抖音号等途径，主动公开宣传各项政策、服务指南等，2023年在“张店人社”微信公众号平台累计发布信息832条、在“张店人社”抖音号发布工作动态215篇、在全国各级政务、新闻媒体发布信息80余篇。</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（二）依申请公开方面。</w:t>
      </w:r>
      <w:r>
        <w:rPr>
          <w:rFonts w:hint="eastAsia" w:ascii="仿宋_GB2312" w:hAnsi="仿宋_GB2312" w:eastAsia="仿宋_GB2312" w:cs="仿宋_GB2312"/>
          <w:kern w:val="2"/>
          <w:sz w:val="32"/>
          <w:szCs w:val="32"/>
          <w:lang w:val="en-US" w:eastAsia="zh-CN" w:bidi="ar-SA"/>
        </w:rPr>
        <w:t>2023年区人力资源社会保障局共受理政府信息公开申请5件，都为自然人申请，主要涉及人才补贴发放情况咨询等。其中，通过网络申请4件，线下申请1件，予以公开的3件，本机关不掌握的1件，不属于政府信息公开的1件。5件政府信息公开申请全部按时办结，并按有关规定向申请人出具答复书并提供相关信息，办理过程中无行政复议和诉讼情况。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（三）政府信息管理方面。</w:t>
      </w:r>
      <w:r>
        <w:rPr>
          <w:rFonts w:hint="eastAsia" w:ascii="仿宋_GB2312" w:hAnsi="仿宋_GB2312" w:eastAsia="仿宋_GB2312" w:cs="仿宋_GB2312"/>
          <w:kern w:val="2"/>
          <w:sz w:val="32"/>
          <w:szCs w:val="32"/>
          <w:lang w:val="en-US" w:eastAsia="zh-CN" w:bidi="ar-SA"/>
        </w:rPr>
        <w:t>2023年，区人社局及时调整主动公开基本目录，并通过区政府政务公开网站及时发布相关主动公开文件并做好政策解读工作，持续做好规范性文件管理工作，2023年未发布行政规范性文件。</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（四）政府信息公开平台建设方面。</w:t>
      </w:r>
      <w:r>
        <w:rPr>
          <w:rFonts w:hint="eastAsia" w:ascii="仿宋_GB2312" w:hAnsi="仿宋_GB2312" w:eastAsia="仿宋_GB2312" w:cs="仿宋_GB2312"/>
          <w:kern w:val="2"/>
          <w:sz w:val="32"/>
          <w:szCs w:val="32"/>
          <w:lang w:val="en-US" w:eastAsia="zh-CN" w:bidi="ar-SA"/>
        </w:rPr>
        <w:t>打造高品质政务服务新媒体平台。通过“张店人社”抖音服务号，持续加大人社政策和就业、人才服务信息的宣传力度，提高群众和企业对人社政策和业务办理流程的知晓率及覆盖面。政策宣传聚人气。制作并发布图文类、短视频类信息共计215条，涵盖人社政策解读、人社业务办理流程、企业招聘信息推介、专业技能培训展示、便民服务活动等内容，累计观看人数达120余万人，让群众通过“指尖”和“云端”了解最新、最及时、最权威的人社政策和信息，将人社部门与群众、企业的距离缩短至手指到屏幕的方寸之间。</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（五）监督保障方面。</w:t>
      </w:r>
      <w:r>
        <w:rPr>
          <w:rFonts w:hint="eastAsia" w:ascii="仿宋_GB2312" w:hAnsi="仿宋_GB2312" w:eastAsia="仿宋_GB2312" w:cs="仿宋_GB2312"/>
          <w:kern w:val="2"/>
          <w:sz w:val="32"/>
          <w:szCs w:val="32"/>
          <w:lang w:val="en-US" w:eastAsia="zh-CN" w:bidi="ar-SA"/>
        </w:rPr>
        <w:t>2023年，区人社局根据领导班子调整和机构改革有关情况，对局政务公开领导小组进行调整。同时，按照政务公开年度工作要点，结合实际工作，制定了2023年度政务公开培训计划，根据计划组织实施政务公开专项培训会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i w:val="0"/>
          <w:caps w:val="0"/>
          <w:color w:val="333333"/>
          <w:spacing w:val="0"/>
          <w:sz w:val="32"/>
          <w:szCs w:val="32"/>
        </w:rPr>
      </w:pPr>
      <w:r>
        <w:rPr>
          <w:rFonts w:hint="eastAsia" w:ascii="黑体" w:hAnsi="黑体" w:eastAsia="黑体" w:cs="黑体"/>
          <w:b w:val="0"/>
          <w:bCs/>
          <w:i w:val="0"/>
          <w:caps w:val="0"/>
          <w:color w:val="333333"/>
          <w:spacing w:val="0"/>
          <w:sz w:val="32"/>
          <w:szCs w:val="32"/>
          <w:shd w:val="clear" w:fill="FFFFFF"/>
        </w:rPr>
        <w:t>二、主动公开政府信息情况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tblPrEx>
          <w:tblLayout w:type="fixed"/>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cs="宋体"/>
                <w:color w:val="000000"/>
                <w:kern w:val="0"/>
                <w:szCs w:val="21"/>
              </w:rPr>
            </w:pPr>
            <w:r>
              <w:rPr>
                <w:rFonts w:hint="eastAsia" w:ascii="Times New Roman" w:hAnsi="Times New Roman" w:eastAsia="黑体" w:cs="宋体"/>
                <w:color w:val="000000"/>
                <w:kern w:val="0"/>
                <w:szCs w:val="21"/>
              </w:rPr>
              <w:t>第二十条第（一）项</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kern w:val="0"/>
                <w:szCs w:val="21"/>
              </w:rPr>
            </w:pPr>
            <w:r>
              <w:rPr>
                <w:rFonts w:hint="eastAsia" w:ascii="Times New Roman" w:hAnsi="Times New Roman" w:eastAsia="仿宋_GB2312" w:cs="宋体"/>
                <w:b/>
                <w:bCs/>
                <w:color w:val="000000"/>
                <w:kern w:val="0"/>
                <w:szCs w:val="21"/>
              </w:rPr>
              <w:t>现行有效件数</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规章</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eastAsia" w:ascii="Times New Roman" w:hAnsi="Times New Roman" w:eastAsia="仿宋_GB2312" w:cs="宋体"/>
                <w:color w:val="000000" w:themeColor="text1"/>
                <w:kern w:val="0"/>
                <w:szCs w:val="21"/>
                <w:lang w:eastAsia="zh-CN"/>
                <w14:textFill>
                  <w14:solidFill>
                    <w14:schemeClr w14:val="tx1"/>
                  </w14:solidFill>
                </w14:textFill>
              </w:rPr>
            </w:pPr>
            <w:r>
              <w:rPr>
                <w:rFonts w:hint="eastAsia" w:ascii="Times New Roman" w:hAnsi="Times New Roman"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Calibri"/>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lang w:val="en-US" w:eastAsia="zh-CN"/>
                <w14:textFill>
                  <w14:solidFill>
                    <w14:schemeClr w14:val="tx1"/>
                  </w14:solidFill>
                </w14:textFill>
              </w:rPr>
              <w:t>0</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highlight w:val="none"/>
                <w14:textFill>
                  <w14:solidFill>
                    <w14:schemeClr w14:val="tx1"/>
                  </w14:solidFill>
                </w14:textFill>
              </w:rPr>
              <w:t>行政规范性文件</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eastAsia" w:ascii="Times New Roman" w:hAnsi="Times New Roman" w:eastAsia="仿宋_GB2312" w:cs="宋体"/>
                <w:color w:val="000000" w:themeColor="text1"/>
                <w:kern w:val="0"/>
                <w:szCs w:val="21"/>
                <w:lang w:eastAsia="zh-CN"/>
                <w14:textFill>
                  <w14:solidFill>
                    <w14:schemeClr w14:val="tx1"/>
                  </w14:solidFill>
                </w14:textFill>
              </w:rPr>
            </w:pPr>
            <w:r>
              <w:rPr>
                <w:rFonts w:hint="eastAsia" w:ascii="Times New Roman" w:hAnsi="Times New Roman"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default" w:ascii="Times New Roman" w:hAnsi="Times New Roman" w:eastAsia="仿宋_GB2312" w:cs="宋体"/>
                <w:color w:val="000000" w:themeColor="text1"/>
                <w:kern w:val="0"/>
                <w:szCs w:val="21"/>
                <w:lang w:val="en-US" w:eastAsia="zh-CN"/>
                <w14:textFill>
                  <w14:solidFill>
                    <w14:schemeClr w14:val="tx1"/>
                  </w14:solidFill>
                </w14:textFill>
              </w:rPr>
            </w:pPr>
            <w:r>
              <w:rPr>
                <w:rFonts w:hint="eastAsia" w:ascii="Times New Roman" w:hAnsi="Times New Roman" w:eastAsia="仿宋_GB2312" w:cs="宋体"/>
                <w:color w:val="000000" w:themeColor="text1"/>
                <w:kern w:val="0"/>
                <w:szCs w:val="21"/>
                <w:lang w:val="en-US" w:eastAsia="zh-CN"/>
                <w14:textFill>
                  <w14:solidFill>
                    <w14:schemeClr w14:val="tx1"/>
                  </w14:solidFill>
                </w14:textFill>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eastAsia" w:ascii="Times New Roman" w:hAnsi="Times New Roman" w:eastAsia="仿宋_GB2312" w:cs="宋体"/>
                <w:color w:val="000000" w:themeColor="text1"/>
                <w:kern w:val="0"/>
                <w:szCs w:val="21"/>
                <w:lang w:eastAsia="zh-CN"/>
                <w14:textFill>
                  <w14:solidFill>
                    <w14:schemeClr w14:val="tx1"/>
                  </w14:solidFill>
                </w14:textFill>
              </w:rPr>
            </w:pPr>
            <w:r>
              <w:rPr>
                <w:rFonts w:hint="eastAsia" w:ascii="Times New Roman" w:hAnsi="Times New Roman" w:eastAsia="仿宋_GB2312" w:cs="宋体"/>
                <w:color w:val="000000" w:themeColor="text1"/>
                <w:kern w:val="0"/>
                <w:szCs w:val="21"/>
                <w:lang w:val="en-US" w:eastAsia="zh-CN"/>
                <w14:textFill>
                  <w14:solidFill>
                    <w14:schemeClr w14:val="tx1"/>
                  </w14:solidFill>
                </w14:textFill>
              </w:rPr>
              <w:t>0</w:t>
            </w:r>
          </w:p>
        </w:tc>
      </w:tr>
      <w:tr>
        <w:tblPrEx>
          <w:tblLayout w:type="fixed"/>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cs="宋体"/>
                <w:color w:val="000000" w:themeColor="text1"/>
                <w:kern w:val="0"/>
                <w:szCs w:val="21"/>
                <w14:textFill>
                  <w14:solidFill>
                    <w14:schemeClr w14:val="tx1"/>
                  </w14:solidFill>
                </w14:textFill>
              </w:rPr>
            </w:pPr>
            <w:r>
              <w:rPr>
                <w:rFonts w:hint="eastAsia" w:ascii="Times New Roman" w:hAnsi="Times New Roman" w:eastAsia="黑体" w:cs="宋体"/>
                <w:color w:val="000000" w:themeColor="text1"/>
                <w:kern w:val="0"/>
                <w:szCs w:val="21"/>
                <w14:textFill>
                  <w14:solidFill>
                    <w14:schemeClr w14:val="tx1"/>
                  </w14:solidFill>
                </w14:textFill>
              </w:rPr>
              <w:t>第二十条第（五）项</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themeColor="text1"/>
                <w:kern w:val="0"/>
                <w:szCs w:val="21"/>
                <w14:textFill>
                  <w14:solidFill>
                    <w14:schemeClr w14:val="tx1"/>
                  </w14:solidFill>
                </w14:textFill>
              </w:rPr>
            </w:pPr>
            <w:r>
              <w:rPr>
                <w:rFonts w:hint="eastAsia" w:ascii="Times New Roman" w:hAnsi="Times New Roman" w:eastAsia="仿宋_GB2312" w:cs="宋体"/>
                <w:b/>
                <w:bCs/>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themeColor="text1"/>
                <w:kern w:val="0"/>
                <w:szCs w:val="21"/>
                <w14:textFill>
                  <w14:solidFill>
                    <w14:schemeClr w14:val="tx1"/>
                  </w14:solidFill>
                </w14:textFill>
              </w:rPr>
            </w:pPr>
            <w:r>
              <w:rPr>
                <w:rFonts w:hint="eastAsia" w:ascii="Times New Roman" w:hAnsi="Times New Roman" w:eastAsia="仿宋_GB2312" w:cs="宋体"/>
                <w:b/>
                <w:bCs/>
                <w:color w:val="000000" w:themeColor="text1"/>
                <w:kern w:val="0"/>
                <w:szCs w:val="21"/>
                <w14:textFill>
                  <w14:solidFill>
                    <w14:schemeClr w14:val="tx1"/>
                  </w14:solidFill>
                </w14:textFill>
              </w:rPr>
              <w:t>本年处理决定数量</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eastAsia" w:ascii="Times New Roman" w:hAnsi="Times New Roman" w:eastAsia="仿宋_GB2312" w:cs="Calibri"/>
                <w:color w:val="000000" w:themeColor="text1"/>
                <w:kern w:val="0"/>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Cs w:val="21"/>
                <w:lang w:val="en-US" w:eastAsia="zh-CN"/>
                <w14:textFill>
                  <w14:solidFill>
                    <w14:schemeClr w14:val="tx1"/>
                  </w14:solidFill>
                </w14:textFill>
              </w:rPr>
              <w:t>0</w:t>
            </w:r>
          </w:p>
        </w:tc>
      </w:tr>
      <w:tr>
        <w:tblPrEx>
          <w:tblLayout w:type="fixed"/>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cs="宋体"/>
                <w:color w:val="000000" w:themeColor="text1"/>
                <w:kern w:val="0"/>
                <w:szCs w:val="21"/>
                <w14:textFill>
                  <w14:solidFill>
                    <w14:schemeClr w14:val="tx1"/>
                  </w14:solidFill>
                </w14:textFill>
              </w:rPr>
            </w:pPr>
            <w:r>
              <w:rPr>
                <w:rFonts w:hint="eastAsia" w:ascii="Times New Roman" w:hAnsi="Times New Roman" w:eastAsia="黑体" w:cs="宋体"/>
                <w:color w:val="000000" w:themeColor="text1"/>
                <w:kern w:val="0"/>
                <w:szCs w:val="21"/>
                <w14:textFill>
                  <w14:solidFill>
                    <w14:schemeClr w14:val="tx1"/>
                  </w14:solidFill>
                </w14:textFill>
              </w:rPr>
              <w:t>第二十条第（六）项</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themeColor="text1"/>
                <w:kern w:val="0"/>
                <w:szCs w:val="21"/>
                <w14:textFill>
                  <w14:solidFill>
                    <w14:schemeClr w14:val="tx1"/>
                  </w14:solidFill>
                </w14:textFill>
              </w:rPr>
            </w:pPr>
            <w:r>
              <w:rPr>
                <w:rFonts w:hint="eastAsia" w:ascii="Times New Roman" w:hAnsi="Times New Roman" w:eastAsia="仿宋_GB2312" w:cs="宋体"/>
                <w:b/>
                <w:bCs/>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themeColor="text1"/>
                <w:kern w:val="0"/>
                <w:szCs w:val="21"/>
                <w14:textFill>
                  <w14:solidFill>
                    <w14:schemeClr w14:val="tx1"/>
                  </w14:solidFill>
                </w14:textFill>
              </w:rPr>
            </w:pPr>
            <w:r>
              <w:rPr>
                <w:rFonts w:hint="eastAsia" w:ascii="Times New Roman" w:hAnsi="Times New Roman" w:eastAsia="仿宋_GB2312" w:cs="宋体"/>
                <w:b/>
                <w:bCs/>
                <w:color w:val="000000" w:themeColor="text1"/>
                <w:kern w:val="0"/>
                <w:szCs w:val="21"/>
                <w14:textFill>
                  <w14:solidFill>
                    <w14:schemeClr w14:val="tx1"/>
                  </w14:solidFill>
                </w14:textFill>
              </w:rPr>
              <w:t>本年处理决定数量</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default" w:ascii="Times New Roman" w:hAnsi="Times New Roman" w:eastAsia="仿宋_GB2312" w:cs="Calibri"/>
                <w:color w:val="000000" w:themeColor="text1"/>
                <w:kern w:val="0"/>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Cs w:val="21"/>
                <w:lang w:val="en-US" w:eastAsia="zh-CN"/>
                <w14:textFill>
                  <w14:solidFill>
                    <w14:schemeClr w14:val="tx1"/>
                  </w14:solidFill>
                </w14:textFill>
              </w:rPr>
              <w:t>3</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eastAsia" w:ascii="Times New Roman" w:hAnsi="Times New Roman" w:eastAsia="仿宋_GB2312" w:cs="Calibri"/>
                <w:color w:val="000000" w:themeColor="text1"/>
                <w:kern w:val="0"/>
                <w:szCs w:val="21"/>
                <w:lang w:eastAsia="zh-CN"/>
                <w14:textFill>
                  <w14:solidFill>
                    <w14:schemeClr w14:val="tx1"/>
                  </w14:solidFill>
                </w14:textFill>
              </w:rPr>
            </w:pPr>
            <w:r>
              <w:rPr>
                <w:rFonts w:hint="eastAsia" w:ascii="Times New Roman" w:hAnsi="Times New Roman" w:eastAsia="仿宋_GB2312" w:cs="Calibri"/>
                <w:color w:val="000000" w:themeColor="text1"/>
                <w:kern w:val="0"/>
                <w:szCs w:val="21"/>
                <w:lang w:val="en-US" w:eastAsia="zh-CN"/>
                <w14:textFill>
                  <w14:solidFill>
                    <w14:schemeClr w14:val="tx1"/>
                  </w14:solidFill>
                </w14:textFill>
              </w:rPr>
              <w:t>0</w:t>
            </w:r>
          </w:p>
        </w:tc>
      </w:tr>
      <w:tr>
        <w:tblPrEx>
          <w:tblLayout w:type="fixed"/>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cs="宋体"/>
                <w:color w:val="000000" w:themeColor="text1"/>
                <w:kern w:val="0"/>
                <w:szCs w:val="21"/>
                <w14:textFill>
                  <w14:solidFill>
                    <w14:schemeClr w14:val="tx1"/>
                  </w14:solidFill>
                </w14:textFill>
              </w:rPr>
            </w:pPr>
            <w:r>
              <w:rPr>
                <w:rFonts w:hint="eastAsia" w:ascii="Times New Roman" w:hAnsi="Times New Roman" w:eastAsia="黑体" w:cs="宋体"/>
                <w:color w:val="000000" w:themeColor="text1"/>
                <w:kern w:val="0"/>
                <w:szCs w:val="21"/>
                <w14:textFill>
                  <w14:solidFill>
                    <w14:schemeClr w14:val="tx1"/>
                  </w14:solidFill>
                </w14:textFill>
              </w:rPr>
              <w:t>第二十条第（八）项</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themeColor="text1"/>
                <w:kern w:val="0"/>
                <w:szCs w:val="21"/>
                <w14:textFill>
                  <w14:solidFill>
                    <w14:schemeClr w14:val="tx1"/>
                  </w14:solidFill>
                </w14:textFill>
              </w:rPr>
            </w:pPr>
            <w:r>
              <w:rPr>
                <w:rFonts w:hint="eastAsia" w:ascii="Times New Roman" w:hAnsi="Times New Roman" w:eastAsia="仿宋_GB2312" w:cs="宋体"/>
                <w:b/>
                <w:bCs/>
                <w:color w:val="000000" w:themeColor="text1"/>
                <w:kern w:val="0"/>
                <w:szCs w:val="21"/>
                <w14:textFill>
                  <w14:solidFill>
                    <w14:schemeClr w14:val="tx1"/>
                  </w14:solidFill>
                </w14:textFill>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b/>
                <w:bCs/>
                <w:color w:val="000000" w:themeColor="text1"/>
                <w:kern w:val="0"/>
                <w:szCs w:val="21"/>
                <w14:textFill>
                  <w14:solidFill>
                    <w14:schemeClr w14:val="tx1"/>
                  </w14:solidFill>
                </w14:textFill>
              </w:rPr>
            </w:pPr>
            <w:r>
              <w:rPr>
                <w:rFonts w:hint="eastAsia" w:ascii="Times New Roman" w:hAnsi="Times New Roman" w:eastAsia="仿宋_GB2312" w:cs="宋体"/>
                <w:b/>
                <w:bCs/>
                <w:color w:val="000000" w:themeColor="text1"/>
                <w:kern w:val="0"/>
                <w:szCs w:val="21"/>
                <w14:textFill>
                  <w14:solidFill>
                    <w14:schemeClr w14:val="tx1"/>
                  </w14:solidFill>
                </w14:textFill>
              </w:rPr>
              <w:t>本年收费金额（单位：万元）</w:t>
            </w:r>
          </w:p>
        </w:tc>
      </w:tr>
      <w:tr>
        <w:tblPrEx>
          <w:tblLayout w:type="fixed"/>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s="宋体"/>
                <w:color w:val="000000" w:themeColor="text1"/>
                <w:kern w:val="0"/>
                <w:szCs w:val="21"/>
                <w14:textFill>
                  <w14:solidFill>
                    <w14:schemeClr w14:val="tx1"/>
                  </w14:solidFill>
                </w14:textFill>
              </w:rPr>
            </w:pPr>
            <w:r>
              <w:rPr>
                <w:rFonts w:hint="eastAsia" w:ascii="Times New Roman" w:hAnsi="Times New Roman" w:eastAsia="仿宋_GB2312" w:cs="宋体"/>
                <w:color w:val="000000" w:themeColor="text1"/>
                <w:kern w:val="0"/>
                <w:szCs w:val="21"/>
                <w14:textFill>
                  <w14:solidFill>
                    <w14:schemeClr w14:val="tx1"/>
                  </w14:solidFill>
                </w14:textFill>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hint="default" w:ascii="Times New Roman" w:hAnsi="Times New Roman" w:eastAsia="仿宋_GB2312" w:cs="Calibri"/>
                <w:color w:val="000000" w:themeColor="text1"/>
                <w:kern w:val="0"/>
                <w:szCs w:val="21"/>
                <w:lang w:val="en-US" w:eastAsia="zh-CN"/>
                <w14:textFill>
                  <w14:solidFill>
                    <w14:schemeClr w14:val="tx1"/>
                  </w14:solidFill>
                </w14:textFill>
              </w:rPr>
            </w:pPr>
            <w:r>
              <w:rPr>
                <w:rFonts w:hint="eastAsia" w:ascii="Times New Roman" w:hAnsi="Times New Roman" w:eastAsia="仿宋_GB2312" w:cs="Calibri"/>
                <w:color w:val="000000" w:themeColor="text1"/>
                <w:kern w:val="0"/>
                <w:szCs w:val="21"/>
                <w:lang w:val="en-US" w:eastAsia="zh-CN"/>
                <w14:textFill>
                  <w14:solidFill>
                    <w14:schemeClr w14:val="tx1"/>
                  </w14:solidFill>
                </w14:textFill>
              </w:rPr>
              <w:t>54.2</w:t>
            </w:r>
          </w:p>
        </w:tc>
      </w:tr>
    </w:tbl>
    <w:p>
      <w:pPr>
        <w:keepNext w:val="0"/>
        <w:keepLines w:val="0"/>
        <w:pageBreakBefore w:val="0"/>
        <w:kinsoku/>
        <w:wordWrap w:val="0"/>
        <w:overflowPunct/>
        <w:topLinePunct w:val="0"/>
        <w:autoSpaceDE/>
        <w:autoSpaceDN/>
        <w:bidi w:val="0"/>
        <w:adjustRightInd/>
        <w:snapToGrid/>
        <w:ind w:firstLine="640" w:firstLineChars="200"/>
        <w:textAlignment w:val="auto"/>
        <w:rPr>
          <w:rFonts w:hint="eastAsia" w:ascii="Times New Roman" w:hAnsi="Times New Roman" w:eastAsia="黑体" w:cs="黑体"/>
          <w:b w:val="0"/>
          <w:bCs/>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Times New Roman" w:hAnsi="Times New Roman" w:eastAsia="黑体" w:cs="黑体"/>
          <w:b w:val="0"/>
          <w:bCs/>
          <w:i w:val="0"/>
          <w:caps w:val="0"/>
          <w:color w:val="000000" w:themeColor="text1"/>
          <w:spacing w:val="0"/>
          <w:kern w:val="0"/>
          <w:sz w:val="32"/>
          <w:szCs w:val="32"/>
          <w:shd w:val="clear" w:fill="FFFFFF"/>
          <w:lang w:val="en-US" w:eastAsia="zh-CN" w:bidi="ar"/>
          <w14:textFill>
            <w14:solidFill>
              <w14:schemeClr w14:val="tx1"/>
            </w14:solidFill>
          </w14:textFill>
        </w:rPr>
        <w:t>三、收到和处理政府信息公开申请情况</w:t>
      </w:r>
    </w:p>
    <w:tbl>
      <w:tblPr>
        <w:tblStyle w:val="5"/>
        <w:tblW w:w="954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楷体_GB2312"/>
                <w:color w:val="000000" w:themeColor="text1"/>
                <w:kern w:val="0"/>
                <w:szCs w:val="21"/>
                <w14:textFill>
                  <w14:solidFill>
                    <w14:schemeClr w14:val="tx1"/>
                  </w14:solidFill>
                </w14:textFill>
              </w:rPr>
            </w:pPr>
            <w:r>
              <w:rPr>
                <w:rFonts w:hint="eastAsia" w:ascii="Times New Roman" w:hAnsi="Times New Roman" w:eastAsia="楷体_GB2312"/>
                <w:color w:val="000000" w:themeColor="text1"/>
                <w:kern w:val="0"/>
                <w:szCs w:val="21"/>
                <w14:textFill>
                  <w14:solidFill>
                    <w14:schemeClr w14:val="tx1"/>
                  </w14:solidFill>
                </w14:textFill>
              </w:rPr>
              <w:t>（本列数据的勾稽关系为：第一项加第二项之和，</w:t>
            </w:r>
          </w:p>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楷体_GB2312"/>
                <w:color w:val="000000" w:themeColor="text1"/>
                <w:kern w:val="0"/>
                <w:szCs w:val="21"/>
                <w14:textFill>
                  <w14:solidFill>
                    <w14:schemeClr w14:val="tx1"/>
                  </w14:solidFill>
                </w14:textFill>
              </w:rPr>
              <w:t>等于第三项加第四项之和）</w:t>
            </w:r>
          </w:p>
        </w:tc>
        <w:tc>
          <w:tcPr>
            <w:tcW w:w="4448" w:type="dxa"/>
            <w:gridSpan w:val="10"/>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jc w:val="center"/>
              <w:textAlignment w:val="auto"/>
              <w:rPr>
                <w:rFonts w:ascii="Times New Roman" w:hAnsi="Times New Roman" w:eastAsia="仿宋_GB2312"/>
                <w:color w:val="000000" w:themeColor="text1"/>
                <w:szCs w:val="21"/>
                <w14:textFill>
                  <w14:solidFill>
                    <w14:schemeClr w14:val="tx1"/>
                  </w14:solidFill>
                </w14:textFill>
              </w:rPr>
            </w:pPr>
          </w:p>
        </w:tc>
        <w:tc>
          <w:tcPr>
            <w:tcW w:w="747" w:type="dxa"/>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自然人</w:t>
            </w:r>
          </w:p>
        </w:tc>
        <w:tc>
          <w:tcPr>
            <w:tcW w:w="3000" w:type="dxa"/>
            <w:gridSpan w:val="7"/>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法人或其他组织</w:t>
            </w:r>
          </w:p>
        </w:tc>
        <w:tc>
          <w:tcPr>
            <w:tcW w:w="701" w:type="dxa"/>
            <w:gridSpan w:val="2"/>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jc w:val="center"/>
              <w:textAlignment w:val="auto"/>
              <w:rPr>
                <w:rFonts w:ascii="Times New Roman" w:hAnsi="Times New Roman" w:eastAsia="仿宋_GB2312"/>
                <w:color w:val="000000" w:themeColor="text1"/>
                <w:szCs w:val="21"/>
                <w14:textFill>
                  <w14:solidFill>
                    <w14:schemeClr w14:val="tx1"/>
                  </w14:solidFill>
                </w14:textFill>
              </w:rPr>
            </w:pPr>
          </w:p>
        </w:tc>
        <w:tc>
          <w:tcPr>
            <w:tcW w:w="747"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jc w:val="center"/>
              <w:textAlignment w:val="auto"/>
              <w:rPr>
                <w:rFonts w:ascii="Times New Roman" w:hAnsi="Times New Roman" w:eastAsia="黑体"/>
                <w:color w:val="000000" w:themeColor="text1"/>
                <w:szCs w:val="21"/>
                <w14:textFill>
                  <w14:solidFill>
                    <w14:schemeClr w14:val="tx1"/>
                  </w14:solidFill>
                </w14:textFill>
              </w:rPr>
            </w:pP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ind w:left="-106" w:leftChars="-51" w:right="-107" w:rightChars="-51" w:hanging="1"/>
              <w:jc w:val="center"/>
              <w:textAlignment w:val="auto"/>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商业企业</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ind w:left="-107" w:leftChars="-51" w:right="-107" w:rightChars="-51"/>
              <w:jc w:val="center"/>
              <w:textAlignment w:val="auto"/>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科研机构</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ind w:left="-107" w:leftChars="-51" w:right="-107" w:rightChars="-51"/>
              <w:jc w:val="center"/>
              <w:textAlignment w:val="auto"/>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社会公益组织</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ind w:left="-106" w:leftChars="-51" w:right="-107" w:rightChars="-51" w:hanging="1"/>
              <w:jc w:val="center"/>
              <w:textAlignment w:val="auto"/>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法律服务机构</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60" w:lineRule="exact"/>
              <w:ind w:left="-63" w:leftChars="-30" w:right="-134" w:rightChars="-64"/>
              <w:jc w:val="center"/>
              <w:textAlignment w:val="auto"/>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其他</w:t>
            </w:r>
          </w:p>
        </w:tc>
        <w:tc>
          <w:tcPr>
            <w:tcW w:w="701" w:type="dxa"/>
            <w:gridSpan w:val="2"/>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jc w:val="center"/>
              <w:textAlignment w:val="auto"/>
              <w:rPr>
                <w:rFonts w:ascii="Times New Roman" w:hAnsi="Times New Roman" w:eastAsia="仿宋_GB2312"/>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一、</w:t>
            </w:r>
            <w:bookmarkStart w:id="0" w:name="_Hlk66973412"/>
            <w:r>
              <w:rPr>
                <w:rFonts w:hint="eastAsia" w:ascii="Times New Roman" w:hAnsi="Times New Roman" w:eastAsia="黑体"/>
                <w:color w:val="000000" w:themeColor="text1"/>
                <w:kern w:val="0"/>
                <w:szCs w:val="21"/>
                <w14:textFill>
                  <w14:solidFill>
                    <w14:schemeClr w14:val="tx1"/>
                  </w14:solidFill>
                </w14:textFill>
              </w:rPr>
              <w:t>本年新收政府信息公开申请数量</w:t>
            </w:r>
            <w:bookmarkEnd w:id="0"/>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5</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二、上年结转政府信息公开申请数量</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textAlignment w:val="auto"/>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三、本年度办理结果</w:t>
            </w:r>
          </w:p>
        </w:tc>
        <w:tc>
          <w:tcPr>
            <w:tcW w:w="4677"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（一）予以公开</w:t>
            </w:r>
          </w:p>
        </w:tc>
        <w:tc>
          <w:tcPr>
            <w:tcW w:w="752"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3</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3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（二）部分公开（</w:t>
            </w:r>
            <w:bookmarkStart w:id="1" w:name="_Hlk66973981"/>
            <w:r>
              <w:rPr>
                <w:rFonts w:hint="eastAsia" w:ascii="Times New Roman" w:hAnsi="Times New Roman" w:eastAsia="黑体"/>
                <w:color w:val="000000" w:themeColor="text1"/>
                <w:kern w:val="0"/>
                <w:szCs w:val="21"/>
                <w14:textFill>
                  <w14:solidFill>
                    <w14:schemeClr w14:val="tx1"/>
                  </w14:solidFill>
                </w14:textFill>
              </w:rPr>
              <w:t>区分处理的，只计这一情形，不计其他情形</w:t>
            </w:r>
            <w:bookmarkEnd w:id="1"/>
            <w:r>
              <w:rPr>
                <w:rFonts w:hint="eastAsia" w:ascii="Times New Roman" w:hAnsi="Times New Roman" w:eastAsia="黑体"/>
                <w:color w:val="000000" w:themeColor="text1"/>
                <w:kern w:val="0"/>
                <w:szCs w:val="21"/>
                <w14:textFill>
                  <w14:solidFill>
                    <w14:schemeClr w14:val="tx1"/>
                  </w14:solidFill>
                </w14:textFill>
              </w:rPr>
              <w:t>）</w:t>
            </w:r>
          </w:p>
        </w:tc>
        <w:tc>
          <w:tcPr>
            <w:tcW w:w="752"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3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6"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ind w:left="-107" w:leftChars="-51"/>
              <w:textAlignment w:val="auto"/>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（三）不予公开</w:t>
            </w: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1.属于国家秘密</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2.</w:t>
            </w:r>
            <w:bookmarkStart w:id="2" w:name="_Hlk66974104"/>
            <w:r>
              <w:rPr>
                <w:rFonts w:hint="eastAsia" w:ascii="Times New Roman" w:hAnsi="Times New Roman" w:eastAsia="仿宋_GB2312"/>
                <w:color w:val="000000" w:themeColor="text1"/>
                <w:kern w:val="0"/>
                <w:szCs w:val="21"/>
                <w14:textFill>
                  <w14:solidFill>
                    <w14:schemeClr w14:val="tx1"/>
                  </w14:solidFill>
                </w14:textFill>
              </w:rPr>
              <w:t>其他法律行政法规禁止公开</w:t>
            </w:r>
            <w:bookmarkEnd w:id="2"/>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3.危及“三安全一稳定”</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4.</w:t>
            </w:r>
            <w:bookmarkStart w:id="3" w:name="_Hlk66974290"/>
            <w:r>
              <w:rPr>
                <w:rFonts w:hint="eastAsia" w:ascii="Times New Roman" w:hAnsi="Times New Roman" w:eastAsia="仿宋_GB2312"/>
                <w:color w:val="000000" w:themeColor="text1"/>
                <w:kern w:val="0"/>
                <w:szCs w:val="21"/>
                <w14:textFill>
                  <w14:solidFill>
                    <w14:schemeClr w14:val="tx1"/>
                  </w14:solidFill>
                </w14:textFill>
              </w:rPr>
              <w:t>保护第三方合法权益</w:t>
            </w:r>
            <w:bookmarkEnd w:id="3"/>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5.属于三类内部事务信息</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6.</w:t>
            </w:r>
            <w:bookmarkStart w:id="4" w:name="_Hlk66974555"/>
            <w:r>
              <w:rPr>
                <w:rFonts w:hint="eastAsia" w:ascii="Times New Roman" w:hAnsi="Times New Roman" w:eastAsia="仿宋_GB2312"/>
                <w:color w:val="000000" w:themeColor="text1"/>
                <w:kern w:val="0"/>
                <w:szCs w:val="21"/>
                <w14:textFill>
                  <w14:solidFill>
                    <w14:schemeClr w14:val="tx1"/>
                  </w14:solidFill>
                </w14:textFill>
              </w:rPr>
              <w:t>属于四类过程性信息</w:t>
            </w:r>
            <w:bookmarkEnd w:id="4"/>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7.属于行政执法案卷</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8.</w:t>
            </w:r>
            <w:bookmarkStart w:id="5" w:name="_Hlk66975211"/>
            <w:r>
              <w:rPr>
                <w:rFonts w:hint="eastAsia" w:ascii="Times New Roman" w:hAnsi="Times New Roman" w:eastAsia="仿宋_GB2312"/>
                <w:color w:val="000000" w:themeColor="text1"/>
                <w:kern w:val="0"/>
                <w:szCs w:val="21"/>
                <w14:textFill>
                  <w14:solidFill>
                    <w14:schemeClr w14:val="tx1"/>
                  </w14:solidFill>
                </w14:textFill>
              </w:rPr>
              <w:t>属于行政查询事项</w:t>
            </w:r>
            <w:bookmarkEnd w:id="5"/>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ind w:left="-107" w:leftChars="-51"/>
              <w:textAlignment w:val="auto"/>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（四）无法提供</w:t>
            </w: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1.本机关不掌握相关政府信息</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1</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000000" w:themeColor="text1"/>
                <w:szCs w:val="21"/>
                <w:lang w:val="en-US"/>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ind w:left="-107" w:leftChars="-51"/>
              <w:textAlignment w:val="auto"/>
              <w:rPr>
                <w:rFonts w:ascii="Times New Roman" w:hAnsi="Times New Roman"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2.</w:t>
            </w:r>
            <w:bookmarkStart w:id="6" w:name="_Hlk66975392"/>
            <w:r>
              <w:rPr>
                <w:rFonts w:hint="eastAsia" w:ascii="Times New Roman" w:hAnsi="Times New Roman" w:eastAsia="仿宋_GB2312"/>
                <w:color w:val="000000" w:themeColor="text1"/>
                <w:kern w:val="0"/>
                <w:szCs w:val="21"/>
                <w14:textFill>
                  <w14:solidFill>
                    <w14:schemeClr w14:val="tx1"/>
                  </w14:solidFill>
                </w14:textFill>
              </w:rPr>
              <w:t>没有现成信息需要另行制作</w:t>
            </w:r>
            <w:bookmarkEnd w:id="6"/>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ind w:left="-107" w:leftChars="-51"/>
              <w:textAlignment w:val="auto"/>
              <w:rPr>
                <w:rFonts w:ascii="Times New Roman" w:hAnsi="Times New Roman"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3.</w:t>
            </w:r>
            <w:bookmarkStart w:id="7" w:name="_Hlk66975466"/>
            <w:r>
              <w:rPr>
                <w:rFonts w:hint="eastAsia" w:ascii="Times New Roman" w:hAnsi="Times New Roman" w:eastAsia="仿宋_GB2312"/>
                <w:color w:val="000000" w:themeColor="text1"/>
                <w:kern w:val="0"/>
                <w:szCs w:val="21"/>
                <w14:textFill>
                  <w14:solidFill>
                    <w14:schemeClr w14:val="tx1"/>
                  </w14:solidFill>
                </w14:textFill>
              </w:rPr>
              <w:t>补正后申请内容仍不明确</w:t>
            </w:r>
            <w:bookmarkEnd w:id="7"/>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ind w:left="-107" w:leftChars="-51"/>
              <w:textAlignment w:val="auto"/>
              <w:rPr>
                <w:rFonts w:ascii="Times New Roman" w:hAnsi="Times New Roman" w:eastAsia="黑体"/>
                <w:color w:val="000000" w:themeColor="text1"/>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（五）不予处理</w:t>
            </w: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1.</w:t>
            </w:r>
            <w:bookmarkStart w:id="8" w:name="_Hlk66975537"/>
            <w:r>
              <w:rPr>
                <w:rFonts w:hint="eastAsia" w:ascii="Times New Roman" w:hAnsi="Times New Roman" w:eastAsia="仿宋_GB2312"/>
                <w:color w:val="000000" w:themeColor="text1"/>
                <w:kern w:val="0"/>
                <w:szCs w:val="21"/>
                <w14:textFill>
                  <w14:solidFill>
                    <w14:schemeClr w14:val="tx1"/>
                  </w14:solidFill>
                </w14:textFill>
              </w:rPr>
              <w:t>信访举报投诉类申请</w:t>
            </w:r>
            <w:bookmarkEnd w:id="8"/>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1</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olor w:val="000000" w:themeColor="text1"/>
                <w:szCs w:val="21"/>
                <w:lang w:val="en-US"/>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2.重复申请</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3.要求提供公开出版物</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00" w:lineRule="exact"/>
              <w:textAlignment w:val="auto"/>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4.无正当理由大量反复申请</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spacing w:line="200" w:lineRule="exact"/>
              <w:textAlignment w:val="auto"/>
              <w:rPr>
                <w:rFonts w:ascii="Times New Roman" w:hAnsi="Times New Roman" w:eastAsia="黑体"/>
                <w:color w:val="000000" w:themeColor="text1"/>
                <w:szCs w:val="21"/>
                <w14:textFill>
                  <w14:solidFill>
                    <w14:schemeClr w14:val="tx1"/>
                  </w14:solidFill>
                </w14:textFill>
              </w:rPr>
            </w:pPr>
          </w:p>
        </w:tc>
        <w:tc>
          <w:tcPr>
            <w:tcW w:w="2976"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5.要求行政机关确认或重新</w:t>
            </w:r>
          </w:p>
          <w:p>
            <w:pPr>
              <w:keepNext w:val="0"/>
              <w:keepLines w:val="0"/>
              <w:pageBreakBefore w:val="0"/>
              <w:widowControl/>
              <w:kinsoku/>
              <w:wordWrap w:val="0"/>
              <w:overflowPunct/>
              <w:topLinePunct w:val="0"/>
              <w:autoSpaceDE/>
              <w:autoSpaceDN/>
              <w:bidi w:val="0"/>
              <w:adjustRightInd/>
              <w:snapToGrid/>
              <w:spacing w:line="300" w:lineRule="exact"/>
              <w:ind w:firstLine="210" w:firstLineChars="100"/>
              <w:textAlignment w:val="auto"/>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kern w:val="0"/>
                <w:szCs w:val="21"/>
                <w14:textFill>
                  <w14:solidFill>
                    <w14:schemeClr w14:val="tx1"/>
                  </w14:solidFill>
                </w14:textFill>
              </w:rPr>
              <w:t>出具已获取信息</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p>
        </w:tc>
        <w:tc>
          <w:tcPr>
            <w:tcW w:w="1701" w:type="dxa"/>
            <w:vMerge w:val="restart"/>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黑体"/>
                <w:color w:val="000000" w:themeColor="text1"/>
                <w:kern w:val="0"/>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（六）其他处理</w:t>
            </w:r>
          </w:p>
        </w:tc>
        <w:tc>
          <w:tcPr>
            <w:tcW w:w="2976" w:type="dxa"/>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仿宋_GB2312"/>
                <w:color w:val="000000" w:themeColor="text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1.申请人无正当理由逾期不补正、行政机关不再处理其政府信息公开申请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黑体"/>
                <w:color w:val="000000" w:themeColor="text1"/>
                <w:kern w:val="0"/>
                <w:szCs w:val="21"/>
                <w14:textFill>
                  <w14:solidFill>
                    <w14:schemeClr w14:val="tx1"/>
                  </w14:solidFill>
                </w14:textFill>
              </w:rPr>
            </w:pPr>
          </w:p>
        </w:tc>
        <w:tc>
          <w:tcPr>
            <w:tcW w:w="2976" w:type="dxa"/>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2.申请人逾期未按收费通知要求缴纳费用、行政机关不再处理其政府信息公开申请</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p>
        </w:tc>
        <w:tc>
          <w:tcPr>
            <w:tcW w:w="1701" w:type="dxa"/>
            <w:vMerge w:val="continue"/>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黑体"/>
                <w:color w:val="000000" w:themeColor="text1"/>
                <w:kern w:val="0"/>
                <w:szCs w:val="21"/>
                <w14:textFill>
                  <w14:solidFill>
                    <w14:schemeClr w14:val="tx1"/>
                  </w14:solidFill>
                </w14:textFill>
              </w:rPr>
            </w:pPr>
          </w:p>
        </w:tc>
        <w:tc>
          <w:tcPr>
            <w:tcW w:w="2976" w:type="dxa"/>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仿宋_GB2312"/>
                <w:color w:val="000000" w:themeColor="text1"/>
                <w:kern w:val="0"/>
                <w:szCs w:val="21"/>
                <w14:textFill>
                  <w14:solidFill>
                    <w14:schemeClr w14:val="tx1"/>
                  </w14:solidFill>
                </w14:textFill>
              </w:rPr>
            </w:pPr>
            <w:r>
              <w:rPr>
                <w:rFonts w:hint="eastAsia" w:ascii="Times New Roman" w:hAnsi="Times New Roman" w:eastAsia="仿宋_GB2312"/>
                <w:color w:val="000000" w:themeColor="text1"/>
                <w14:textFill>
                  <w14:solidFill>
                    <w14:schemeClr w14:val="tx1"/>
                  </w14:solidFill>
                </w14:textFill>
              </w:rPr>
              <w:t>3.其他</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lang w:val="en-US"/>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color w:val="000000" w:themeColor="text1"/>
                <w:szCs w:val="21"/>
                <w14:textFill>
                  <w14:solidFill>
                    <w14:schemeClr w14:val="tx1"/>
                  </w14:solidFill>
                </w14:textFill>
              </w:rPr>
            </w:pPr>
          </w:p>
        </w:tc>
        <w:tc>
          <w:tcPr>
            <w:tcW w:w="4677"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黑体"/>
                <w:color w:val="000000" w:themeColor="text1"/>
                <w:kern w:val="0"/>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（七）总计</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5</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hint="eastAsia" w:ascii="Times New Roman" w:hAnsi="Times New Roman" w:eastAsia="仿宋_GB2312"/>
                <w:color w:val="000000" w:themeColor="text1"/>
                <w:szCs w:val="21"/>
                <w:lang w:val="en-US" w:eastAsia="zh-CN"/>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00" w:lineRule="exact"/>
              <w:textAlignment w:val="auto"/>
              <w:rPr>
                <w:rFonts w:ascii="Times New Roman" w:hAnsi="Times New Roman" w:eastAsia="黑体"/>
                <w:color w:val="000000" w:themeColor="text1"/>
                <w:kern w:val="0"/>
                <w:szCs w:val="21"/>
                <w14:textFill>
                  <w14:solidFill>
                    <w14:schemeClr w14:val="tx1"/>
                  </w14:solidFill>
                </w14:textFill>
              </w:rPr>
            </w:pPr>
            <w:r>
              <w:rPr>
                <w:rFonts w:hint="eastAsia" w:ascii="Times New Roman" w:hAnsi="Times New Roman" w:eastAsia="黑体"/>
                <w:color w:val="000000" w:themeColor="text1"/>
                <w:kern w:val="0"/>
                <w:szCs w:val="21"/>
                <w14:textFill>
                  <w14:solidFill>
                    <w14:schemeClr w14:val="tx1"/>
                  </w14:solidFill>
                </w14:textFill>
              </w:rPr>
              <w:t>四、结转下年度继续办理</w:t>
            </w:r>
          </w:p>
        </w:tc>
        <w:tc>
          <w:tcPr>
            <w:tcW w:w="747"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20"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67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525" w:type="dxa"/>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c>
          <w:tcPr>
            <w:tcW w:w="701" w:type="dxa"/>
            <w:gridSpan w:val="2"/>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240" w:lineRule="exact"/>
              <w:jc w:val="center"/>
              <w:textAlignment w:val="auto"/>
              <w:outlineLvl w:val="9"/>
              <w:rPr>
                <w:rFonts w:ascii="Times New Roman" w:hAnsi="Times New Roman" w:eastAsia="仿宋_GB2312"/>
                <w:color w:val="000000" w:themeColor="text1"/>
                <w:szCs w:val="21"/>
                <w:lang w:val="en-US"/>
                <w14:textFill>
                  <w14:solidFill>
                    <w14:schemeClr w14:val="tx1"/>
                  </w14:solidFill>
                </w14:textFill>
              </w:rPr>
            </w:pPr>
            <w:r>
              <w:rPr>
                <w:rFonts w:hint="eastAsia" w:ascii="Times New Roman" w:hAnsi="Times New Roman" w:eastAsia="仿宋_GB2312"/>
                <w:color w:val="000000" w:themeColor="text1"/>
                <w:szCs w:val="21"/>
                <w:lang w:val="en-US" w:eastAsia="zh-CN"/>
                <w14:textFill>
                  <w14:solidFill>
                    <w14:schemeClr w14:val="tx1"/>
                  </w14:solidFill>
                </w14:textFill>
              </w:rPr>
              <w:t>0</w:t>
            </w:r>
          </w:p>
        </w:tc>
      </w:tr>
    </w:tbl>
    <w:p>
      <w:pPr>
        <w:keepNext w:val="0"/>
        <w:keepLines w:val="0"/>
        <w:pageBreakBefore w:val="0"/>
        <w:kinsoku/>
        <w:wordWrap w:val="0"/>
        <w:overflowPunct/>
        <w:topLinePunct w:val="0"/>
        <w:autoSpaceDE/>
        <w:autoSpaceDN/>
        <w:bidi w:val="0"/>
        <w:adjustRightInd/>
        <w:snapToGrid/>
        <w:ind w:firstLine="640" w:firstLineChars="200"/>
        <w:textAlignment w:val="auto"/>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黑体" w:cs="黑体"/>
          <w:b w:val="0"/>
          <w:bCs/>
          <w:i w:val="0"/>
          <w:caps w:val="0"/>
          <w:color w:val="000000" w:themeColor="text1"/>
          <w:spacing w:val="0"/>
          <w:kern w:val="0"/>
          <w:sz w:val="32"/>
          <w:szCs w:val="32"/>
          <w:shd w:val="clear" w:fill="FFFFFF"/>
          <w:lang w:val="en-US" w:eastAsia="zh-CN" w:bidi="ar"/>
          <w14:textFill>
            <w14:solidFill>
              <w14:schemeClr w14:val="tx1"/>
            </w14:solidFill>
          </w14:textFill>
        </w:rPr>
        <w:t>四、政府信息公开行政复议、行政诉讼情况</w:t>
      </w:r>
    </w:p>
    <w:tbl>
      <w:tblPr>
        <w:tblStyle w:val="5"/>
        <w:tblW w:w="9071"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color w:val="000000" w:themeColor="text1"/>
                <w14:textFill>
                  <w14:solidFill>
                    <w14:schemeClr w14:val="tx1"/>
                  </w14:solidFill>
                </w14:textFill>
              </w:rPr>
            </w:pPr>
            <w:r>
              <w:rPr>
                <w:rFonts w:ascii="Times New Roman" w:hAnsi="Times New Roman" w:eastAsia="黑体"/>
                <w:color w:val="000000" w:themeColor="text1"/>
                <w:kern w:val="0"/>
                <w:sz w:val="20"/>
                <w:szCs w:val="20"/>
                <w14:textFill>
                  <w14:solidFill>
                    <w14:schemeClr w14:val="tx1"/>
                  </w14:solidFill>
                </w14:textFill>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color w:val="000000" w:themeColor="text1"/>
                <w14:textFill>
                  <w14:solidFill>
                    <w14:schemeClr w14:val="tx1"/>
                  </w14:solidFill>
                </w14:textFill>
              </w:rPr>
            </w:pPr>
            <w:r>
              <w:rPr>
                <w:rFonts w:ascii="Times New Roman" w:hAnsi="Times New Roman" w:eastAsia="黑体"/>
                <w:color w:val="000000" w:themeColor="text1"/>
                <w:kern w:val="0"/>
                <w:sz w:val="20"/>
                <w:szCs w:val="20"/>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149" w:leftChars="-71" w:right="-170" w:rightChars="-81"/>
              <w:jc w:val="center"/>
              <w:textAlignment w:val="auto"/>
              <w:rPr>
                <w:rFonts w:ascii="Times New Roman" w:hAnsi="Times New Roman" w:eastAsia="黑体"/>
                <w:color w:val="000000" w:themeColor="text1"/>
                <w:kern w:val="0"/>
                <w:sz w:val="20"/>
                <w:szCs w:val="20"/>
                <w14:textFill>
                  <w14:solidFill>
                    <w14:schemeClr w14:val="tx1"/>
                  </w14:solidFill>
                </w14:textFill>
              </w:rPr>
            </w:pPr>
            <w:r>
              <w:rPr>
                <w:rFonts w:ascii="Times New Roman" w:hAnsi="Times New Roman" w:eastAsia="黑体"/>
                <w:color w:val="000000" w:themeColor="text1"/>
                <w:kern w:val="0"/>
                <w:sz w:val="20"/>
                <w:szCs w:val="20"/>
                <w14:textFill>
                  <w14:solidFill>
                    <w14:schemeClr w14:val="tx1"/>
                  </w14:solidFill>
                </w14:textFill>
              </w:rPr>
              <w:t>结果</w:t>
            </w:r>
          </w:p>
          <w:p>
            <w:pPr>
              <w:keepNext w:val="0"/>
              <w:keepLines w:val="0"/>
              <w:pageBreakBefore w:val="0"/>
              <w:widowControl/>
              <w:kinsoku/>
              <w:wordWrap w:val="0"/>
              <w:overflowPunct/>
              <w:topLinePunct w:val="0"/>
              <w:autoSpaceDE/>
              <w:autoSpaceDN/>
              <w:bidi w:val="0"/>
              <w:adjustRightInd/>
              <w:snapToGrid/>
              <w:ind w:left="-149" w:leftChars="-71" w:right="-170" w:rightChars="-81"/>
              <w:jc w:val="center"/>
              <w:textAlignment w:val="auto"/>
              <w:rPr>
                <w:rFonts w:ascii="Times New Roman" w:hAnsi="Times New Roman" w:eastAsia="黑体"/>
                <w:color w:val="000000" w:themeColor="text1"/>
                <w14:textFill>
                  <w14:solidFill>
                    <w14:schemeClr w14:val="tx1"/>
                  </w14:solidFill>
                </w14:textFill>
              </w:rPr>
            </w:pPr>
            <w:r>
              <w:rPr>
                <w:rFonts w:ascii="Times New Roman" w:hAnsi="Times New Roman" w:eastAsia="黑体"/>
                <w:color w:val="000000" w:themeColor="text1"/>
                <w:kern w:val="0"/>
                <w:sz w:val="20"/>
                <w:szCs w:val="20"/>
                <w14:textFill>
                  <w14:solidFill>
                    <w14:schemeClr w14:val="tx1"/>
                  </w14:solidFill>
                </w14:textFill>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43" w:leftChars="-21" w:right="-132" w:rightChars="-63" w:hanging="1"/>
              <w:jc w:val="center"/>
              <w:textAlignment w:val="auto"/>
              <w:rPr>
                <w:rFonts w:ascii="Times New Roman" w:hAnsi="Times New Roman" w:eastAsia="黑体"/>
                <w:color w:val="000000" w:themeColor="text1"/>
                <w14:textFill>
                  <w14:solidFill>
                    <w14:schemeClr w14:val="tx1"/>
                  </w14:solidFill>
                </w14:textFill>
              </w:rPr>
            </w:pPr>
            <w:r>
              <w:rPr>
                <w:rFonts w:ascii="Times New Roman" w:hAnsi="Times New Roman" w:eastAsia="黑体"/>
                <w:color w:val="000000" w:themeColor="text1"/>
                <w:kern w:val="0"/>
                <w:sz w:val="20"/>
                <w:szCs w:val="20"/>
                <w14:textFill>
                  <w14:solidFill>
                    <w14:schemeClr w14:val="tx1"/>
                  </w14:solidFill>
                </w14:textFill>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82" w:leftChars="-39" w:right="-97" w:rightChars="-46"/>
              <w:jc w:val="center"/>
              <w:textAlignment w:val="auto"/>
              <w:rPr>
                <w:rFonts w:ascii="Times New Roman" w:hAnsi="Times New Roman" w:eastAsia="黑体"/>
                <w:color w:val="000000" w:themeColor="text1"/>
                <w14:textFill>
                  <w14:solidFill>
                    <w14:schemeClr w14:val="tx1"/>
                  </w14:solidFill>
                </w14:textFill>
              </w:rPr>
            </w:pPr>
            <w:r>
              <w:rPr>
                <w:rFonts w:ascii="Times New Roman" w:hAnsi="Times New Roman" w:eastAsia="黑体"/>
                <w:color w:val="000000" w:themeColor="text1"/>
                <w:kern w:val="0"/>
                <w:sz w:val="20"/>
                <w:szCs w:val="20"/>
                <w14:textFill>
                  <w14:solidFill>
                    <w14:schemeClr w14:val="tx1"/>
                  </w14:solidFill>
                </w14:textFill>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118" w:leftChars="-56" w:right="-118" w:rightChars="-56"/>
              <w:jc w:val="center"/>
              <w:textAlignment w:val="auto"/>
              <w:rPr>
                <w:rFonts w:ascii="Times New Roman" w:hAnsi="Times New Roman" w:eastAsia="黑体"/>
                <w:color w:val="000000" w:themeColor="text1"/>
                <w:kern w:val="0"/>
                <w:sz w:val="20"/>
                <w:szCs w:val="20"/>
                <w14:textFill>
                  <w14:solidFill>
                    <w14:schemeClr w14:val="tx1"/>
                  </w14:solidFill>
                </w14:textFill>
              </w:rPr>
            </w:pPr>
            <w:r>
              <w:rPr>
                <w:rFonts w:ascii="Times New Roman" w:hAnsi="Times New Roman" w:eastAsia="黑体"/>
                <w:color w:val="000000" w:themeColor="text1"/>
                <w:kern w:val="0"/>
                <w:sz w:val="20"/>
                <w:szCs w:val="20"/>
                <w14:textFill>
                  <w14:solidFill>
                    <w14:schemeClr w14:val="tx1"/>
                  </w14:solidFill>
                </w14:textFill>
              </w:rPr>
              <w:t>尚未</w:t>
            </w:r>
          </w:p>
          <w:p>
            <w:pPr>
              <w:keepNext w:val="0"/>
              <w:keepLines w:val="0"/>
              <w:pageBreakBefore w:val="0"/>
              <w:widowControl/>
              <w:kinsoku/>
              <w:wordWrap w:val="0"/>
              <w:overflowPunct/>
              <w:topLinePunct w:val="0"/>
              <w:autoSpaceDE/>
              <w:autoSpaceDN/>
              <w:bidi w:val="0"/>
              <w:adjustRightInd/>
              <w:snapToGrid/>
              <w:ind w:left="-118" w:leftChars="-56" w:right="-118" w:rightChars="-56"/>
              <w:jc w:val="center"/>
              <w:textAlignment w:val="auto"/>
              <w:rPr>
                <w:rFonts w:ascii="Times New Roman" w:hAnsi="Times New Roman" w:eastAsia="黑体"/>
                <w:color w:val="000000" w:themeColor="text1"/>
                <w14:textFill>
                  <w14:solidFill>
                    <w14:schemeClr w14:val="tx1"/>
                  </w14:solidFill>
                </w14:textFill>
              </w:rPr>
            </w:pPr>
            <w:r>
              <w:rPr>
                <w:rFonts w:ascii="Times New Roman" w:hAnsi="Times New Roman" w:eastAsia="黑体"/>
                <w:color w:val="000000" w:themeColor="text1"/>
                <w:kern w:val="0"/>
                <w:sz w:val="20"/>
                <w:szCs w:val="20"/>
                <w14:textFill>
                  <w14:solidFill>
                    <w14:schemeClr w14:val="tx1"/>
                  </w14:solidFill>
                </w14:textFill>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Times New Roman" w:hAnsi="Times New Roman" w:eastAsia="黑体"/>
                <w:color w:val="000000" w:themeColor="text1"/>
                <w:kern w:val="0"/>
                <w:sz w:val="20"/>
                <w:szCs w:val="20"/>
                <w14:textFill>
                  <w14:solidFill>
                    <w14:schemeClr w14:val="tx1"/>
                  </w14:solidFill>
                </w14:textFill>
              </w:rPr>
            </w:pPr>
            <w:r>
              <w:rPr>
                <w:rFonts w:ascii="Times New Roman" w:hAnsi="Times New Roman" w:eastAsia="黑体"/>
                <w:color w:val="000000" w:themeColor="text1"/>
                <w:kern w:val="0"/>
                <w:sz w:val="20"/>
                <w:szCs w:val="20"/>
                <w14:textFill>
                  <w14:solidFill>
                    <w14:schemeClr w14:val="tx1"/>
                  </w14:solidFill>
                </w14:textFill>
              </w:rPr>
              <w:t>总</w:t>
            </w:r>
          </w:p>
          <w:p>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Times New Roman" w:hAnsi="Times New Roman" w:eastAsia="黑体"/>
                <w:color w:val="000000" w:themeColor="text1"/>
                <w14:textFill>
                  <w14:solidFill>
                    <w14:schemeClr w14:val="tx1"/>
                  </w14:solidFill>
                </w14:textFill>
              </w:rPr>
            </w:pPr>
            <w:r>
              <w:rPr>
                <w:rFonts w:ascii="Times New Roman" w:hAnsi="Times New Roman" w:eastAsia="黑体"/>
                <w:color w:val="000000" w:themeColor="text1"/>
                <w:kern w:val="0"/>
                <w:sz w:val="20"/>
                <w:szCs w:val="20"/>
                <w14:textFill>
                  <w14:solidFill>
                    <w14:schemeClr w14:val="tx1"/>
                  </w14:solidFill>
                </w14:textFill>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color w:val="000000" w:themeColor="text1"/>
                <w14:textFill>
                  <w14:solidFill>
                    <w14:schemeClr w14:val="tx1"/>
                  </w14:solidFill>
                </w14:textFill>
              </w:rPr>
            </w:pPr>
            <w:r>
              <w:rPr>
                <w:rFonts w:ascii="Times New Roman" w:hAnsi="Times New Roman" w:eastAsia="黑体"/>
                <w:color w:val="000000" w:themeColor="text1"/>
                <w:kern w:val="0"/>
                <w:sz w:val="20"/>
                <w:szCs w:val="20"/>
                <w14:textFill>
                  <w14:solidFill>
                    <w14:schemeClr w14:val="tx1"/>
                  </w14:solidFill>
                </w14:textFill>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color w:val="000000" w:themeColor="text1"/>
                <w14:textFill>
                  <w14:solidFill>
                    <w14:schemeClr w14:val="tx1"/>
                  </w14:solidFill>
                </w14:textFill>
              </w:rPr>
            </w:pPr>
            <w:bookmarkStart w:id="9" w:name="_Hlk67039688"/>
            <w:r>
              <w:rPr>
                <w:rFonts w:ascii="Times New Roman" w:hAnsi="Times New Roman" w:eastAsia="黑体"/>
                <w:color w:val="000000" w:themeColor="text1"/>
                <w:kern w:val="0"/>
                <w:sz w:val="20"/>
                <w:szCs w:val="20"/>
                <w14:textFill>
                  <w14:solidFill>
                    <w14:schemeClr w14:val="tx1"/>
                  </w14:solidFill>
                </w14:textFill>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val="0"/>
              <w:overflowPunct/>
              <w:topLinePunct w:val="0"/>
              <w:autoSpaceDE/>
              <w:autoSpaceDN/>
              <w:bidi w:val="0"/>
              <w:adjustRightInd/>
              <w:snapToGrid/>
              <w:textAlignment w:val="auto"/>
              <w:rPr>
                <w:rFonts w:ascii="Times New Roman" w:hAnsi="Times New Roman"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105" w:leftChars="-50" w:right="-126" w:rightChars="-60"/>
              <w:jc w:val="center"/>
              <w:textAlignment w:val="auto"/>
              <w:rPr>
                <w:rFonts w:ascii="Times New Roman" w:hAnsi="Times New Roman" w:eastAsia="黑体"/>
              </w:rPr>
            </w:pPr>
            <w:r>
              <w:rPr>
                <w:rFonts w:ascii="Times New Roman" w:hAnsi="Times New Roman"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86" w:leftChars="-41" w:right="-88" w:rightChars="-42"/>
              <w:jc w:val="center"/>
              <w:textAlignment w:val="auto"/>
              <w:rPr>
                <w:rFonts w:ascii="Times New Roman" w:hAnsi="Times New Roman" w:eastAsia="黑体"/>
              </w:rPr>
            </w:pPr>
            <w:r>
              <w:rPr>
                <w:rFonts w:ascii="Times New Roman" w:hAnsi="Times New Roman"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126" w:leftChars="-60" w:right="-136" w:rightChars="-65"/>
              <w:jc w:val="center"/>
              <w:textAlignment w:val="auto"/>
              <w:rPr>
                <w:rFonts w:ascii="Times New Roman" w:hAnsi="Times New Roman" w:eastAsia="黑体"/>
                <w:kern w:val="0"/>
                <w:sz w:val="20"/>
                <w:szCs w:val="20"/>
              </w:rPr>
            </w:pPr>
            <w:r>
              <w:rPr>
                <w:rFonts w:ascii="Times New Roman" w:hAnsi="Times New Roman" w:eastAsia="黑体"/>
                <w:kern w:val="0"/>
                <w:sz w:val="20"/>
                <w:szCs w:val="20"/>
              </w:rPr>
              <w:t>其他</w:t>
            </w:r>
          </w:p>
          <w:p>
            <w:pPr>
              <w:keepNext w:val="0"/>
              <w:keepLines w:val="0"/>
              <w:pageBreakBefore w:val="0"/>
              <w:widowControl/>
              <w:kinsoku/>
              <w:wordWrap w:val="0"/>
              <w:overflowPunct/>
              <w:topLinePunct w:val="0"/>
              <w:autoSpaceDE/>
              <w:autoSpaceDN/>
              <w:bidi w:val="0"/>
              <w:adjustRightInd/>
              <w:snapToGrid/>
              <w:ind w:left="-126" w:leftChars="-60" w:right="-136" w:rightChars="-65"/>
              <w:jc w:val="center"/>
              <w:textAlignment w:val="auto"/>
              <w:rPr>
                <w:rFonts w:ascii="Times New Roman" w:hAnsi="Times New Roman" w:eastAsia="黑体"/>
              </w:rPr>
            </w:pPr>
            <w:r>
              <w:rPr>
                <w:rFonts w:ascii="Times New Roman" w:hAnsi="Times New Roman"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164" w:leftChars="-78" w:right="-153" w:rightChars="-73"/>
              <w:jc w:val="center"/>
              <w:textAlignment w:val="auto"/>
              <w:rPr>
                <w:rFonts w:ascii="Times New Roman" w:hAnsi="Times New Roman" w:eastAsia="黑体"/>
                <w:kern w:val="0"/>
                <w:sz w:val="20"/>
                <w:szCs w:val="20"/>
              </w:rPr>
            </w:pPr>
            <w:r>
              <w:rPr>
                <w:rFonts w:ascii="Times New Roman" w:hAnsi="Times New Roman" w:eastAsia="黑体"/>
                <w:kern w:val="0"/>
                <w:sz w:val="20"/>
                <w:szCs w:val="20"/>
              </w:rPr>
              <w:t>尚未</w:t>
            </w:r>
          </w:p>
          <w:p>
            <w:pPr>
              <w:keepNext w:val="0"/>
              <w:keepLines w:val="0"/>
              <w:pageBreakBefore w:val="0"/>
              <w:widowControl/>
              <w:kinsoku/>
              <w:wordWrap w:val="0"/>
              <w:overflowPunct/>
              <w:topLinePunct w:val="0"/>
              <w:autoSpaceDE/>
              <w:autoSpaceDN/>
              <w:bidi w:val="0"/>
              <w:adjustRightInd/>
              <w:snapToGrid/>
              <w:ind w:left="-164" w:leftChars="-78" w:right="-153" w:rightChars="-73"/>
              <w:jc w:val="center"/>
              <w:textAlignment w:val="auto"/>
              <w:rPr>
                <w:rFonts w:ascii="Times New Roman" w:hAnsi="Times New Roman" w:eastAsia="黑体"/>
              </w:rPr>
            </w:pPr>
            <w:r>
              <w:rPr>
                <w:rFonts w:ascii="Times New Roman" w:hAnsi="Times New Roman"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rPr>
            </w:pPr>
            <w:r>
              <w:rPr>
                <w:rFonts w:ascii="Times New Roman" w:hAnsi="Times New Roman"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99" w:leftChars="-47" w:right="-78" w:rightChars="-37"/>
              <w:jc w:val="center"/>
              <w:textAlignment w:val="auto"/>
              <w:rPr>
                <w:rFonts w:ascii="Times New Roman" w:hAnsi="Times New Roman" w:eastAsia="黑体"/>
              </w:rPr>
            </w:pPr>
            <w:r>
              <w:rPr>
                <w:rFonts w:ascii="Times New Roman" w:hAnsi="Times New Roman"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136" w:leftChars="-65" w:right="-124" w:rightChars="-59"/>
              <w:jc w:val="center"/>
              <w:textAlignment w:val="auto"/>
              <w:rPr>
                <w:rFonts w:ascii="Times New Roman" w:hAnsi="Times New Roman" w:eastAsia="黑体"/>
                <w:kern w:val="0"/>
                <w:sz w:val="20"/>
                <w:szCs w:val="20"/>
              </w:rPr>
            </w:pPr>
            <w:r>
              <w:rPr>
                <w:rFonts w:ascii="Times New Roman" w:hAnsi="Times New Roman" w:eastAsia="黑体"/>
                <w:kern w:val="0"/>
                <w:sz w:val="20"/>
                <w:szCs w:val="20"/>
              </w:rPr>
              <w:t>结果</w:t>
            </w:r>
          </w:p>
          <w:p>
            <w:pPr>
              <w:keepNext w:val="0"/>
              <w:keepLines w:val="0"/>
              <w:pageBreakBefore w:val="0"/>
              <w:widowControl/>
              <w:kinsoku/>
              <w:wordWrap w:val="0"/>
              <w:overflowPunct/>
              <w:topLinePunct w:val="0"/>
              <w:autoSpaceDE/>
              <w:autoSpaceDN/>
              <w:bidi w:val="0"/>
              <w:adjustRightInd/>
              <w:snapToGrid/>
              <w:ind w:left="-136" w:leftChars="-65" w:right="-124" w:rightChars="-59"/>
              <w:jc w:val="center"/>
              <w:textAlignment w:val="auto"/>
              <w:rPr>
                <w:rFonts w:ascii="Times New Roman" w:hAnsi="Times New Roman" w:eastAsia="黑体"/>
              </w:rPr>
            </w:pPr>
            <w:r>
              <w:rPr>
                <w:rFonts w:ascii="Times New Roman" w:hAnsi="Times New Roman"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173" w:leftChars="-83" w:right="-134" w:rightChars="-64" w:hanging="1"/>
              <w:jc w:val="center"/>
              <w:textAlignment w:val="auto"/>
              <w:rPr>
                <w:rFonts w:ascii="Times New Roman" w:hAnsi="Times New Roman" w:eastAsia="黑体"/>
                <w:kern w:val="0"/>
                <w:sz w:val="20"/>
                <w:szCs w:val="20"/>
              </w:rPr>
            </w:pPr>
            <w:r>
              <w:rPr>
                <w:rFonts w:ascii="Times New Roman" w:hAnsi="Times New Roman" w:eastAsia="黑体"/>
                <w:kern w:val="0"/>
                <w:sz w:val="20"/>
                <w:szCs w:val="20"/>
              </w:rPr>
              <w:t>其他</w:t>
            </w:r>
          </w:p>
          <w:p>
            <w:pPr>
              <w:keepNext w:val="0"/>
              <w:keepLines w:val="0"/>
              <w:pageBreakBefore w:val="0"/>
              <w:widowControl/>
              <w:kinsoku/>
              <w:wordWrap w:val="0"/>
              <w:overflowPunct/>
              <w:topLinePunct w:val="0"/>
              <w:autoSpaceDE/>
              <w:autoSpaceDN/>
              <w:bidi w:val="0"/>
              <w:adjustRightInd/>
              <w:snapToGrid/>
              <w:ind w:left="-173" w:leftChars="-83" w:right="-134" w:rightChars="-64" w:hanging="1"/>
              <w:jc w:val="center"/>
              <w:textAlignment w:val="auto"/>
              <w:rPr>
                <w:rFonts w:ascii="Times New Roman" w:hAnsi="Times New Roman" w:eastAsia="黑体"/>
              </w:rPr>
            </w:pPr>
            <w:r>
              <w:rPr>
                <w:rFonts w:ascii="Times New Roman" w:hAnsi="Times New Roman"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ind w:left="-67" w:leftChars="-33" w:right="-105" w:rightChars="-50" w:hanging="2" w:hangingChars="1"/>
              <w:jc w:val="center"/>
              <w:textAlignment w:val="auto"/>
              <w:rPr>
                <w:rFonts w:ascii="Times New Roman" w:hAnsi="Times New Roman" w:eastAsia="黑体"/>
              </w:rPr>
            </w:pPr>
            <w:r>
              <w:rPr>
                <w:rFonts w:ascii="Times New Roman" w:hAnsi="Times New Roman"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jc w:val="center"/>
              <w:textAlignment w:val="auto"/>
              <w:rPr>
                <w:rFonts w:ascii="Times New Roman" w:hAnsi="Times New Roman" w:eastAsia="黑体"/>
              </w:rPr>
            </w:pPr>
            <w:r>
              <w:rPr>
                <w:rFonts w:ascii="Times New Roman" w:hAnsi="Times New Roman"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val="0"/>
              <w:overflowPunct/>
              <w:topLinePunct w:val="0"/>
              <w:autoSpaceDE/>
              <w:autoSpaceDN/>
              <w:bidi w:val="0"/>
              <w:adjustRightInd/>
              <w:snapToGrid/>
              <w:spacing w:after="180"/>
              <w:jc w:val="center"/>
              <w:textAlignment w:val="auto"/>
              <w:rPr>
                <w:rFonts w:hint="eastAsia" w:ascii="Times New Roman" w:hAnsi="Times New Roman" w:eastAsiaTheme="minorEastAsia"/>
                <w:lang w:val="en-US" w:eastAsia="zh-CN"/>
              </w:rPr>
            </w:pPr>
            <w:r>
              <w:rPr>
                <w:rFonts w:hint="eastAsia" w:ascii="Times New Roman" w:hAnsi="Times New Roman"/>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i w:val="0"/>
          <w:caps w:val="0"/>
          <w:color w:val="333333"/>
          <w:spacing w:val="0"/>
          <w:kern w:val="0"/>
          <w:sz w:val="32"/>
          <w:szCs w:val="32"/>
          <w:shd w:val="clear" w:fill="FFFFFF"/>
          <w:lang w:val="en-US" w:eastAsia="zh-CN" w:bidi="ar"/>
        </w:rPr>
      </w:pPr>
      <w:r>
        <w:rPr>
          <w:rFonts w:hint="eastAsia" w:ascii="黑体" w:hAnsi="黑体" w:eastAsia="黑体" w:cs="黑体"/>
          <w:b w:val="0"/>
          <w:bCs/>
          <w:i w:val="0"/>
          <w:caps w:val="0"/>
          <w:color w:val="333333"/>
          <w:spacing w:val="0"/>
          <w:kern w:val="0"/>
          <w:sz w:val="32"/>
          <w:szCs w:val="32"/>
          <w:shd w:val="clear" w:fill="FFFFFF"/>
          <w:lang w:val="en-US" w:eastAsia="zh-CN" w:bidi="ar"/>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（一）存在的主要问题。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一是政策解读的方式还不够丰富，解读形式较为单一，需要进一步拓展政策解读文件的发布渠道。二是信息公开工作还需要拓展广度和深度。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w:t>
      </w:r>
      <w:bookmarkStart w:id="10" w:name="_GoBack"/>
      <w:bookmarkEnd w:id="10"/>
      <w:r>
        <w:rPr>
          <w:rFonts w:hint="eastAsia" w:ascii="楷体_GB2312" w:hAnsi="楷体_GB2312" w:eastAsia="楷体_GB2312" w:cs="楷体_GB2312"/>
          <w:kern w:val="2"/>
          <w:sz w:val="32"/>
          <w:szCs w:val="32"/>
          <w:lang w:val="en-US" w:eastAsia="zh-CN" w:bidi="ar-SA"/>
        </w:rPr>
        <w:t>改进措施。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1.丰富政策解读形式，拓展政策解读渠道。通过图文、卡通动漫等形式进一步丰富重大政策实施的发布解读，通过微信公众号、抖音号等多种渠道开展深入的政策解读宣传。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2.做好信息公开工作，优化信息公开内容。努力扩大信息来源，围绕企业、群众需要，及时、准确、规范更新发布信息，进一步提高政务公开的针对性，保证各类公开信息的完整性和准确性。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（三）创新措施。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FF0000"/>
          <w:spacing w:val="0"/>
          <w:kern w:val="2"/>
          <w:sz w:val="32"/>
          <w:szCs w:val="32"/>
          <w:u w:val="single"/>
          <w:shd w:val="clear" w:fill="FFFFFF"/>
          <w:lang w:val="en-US" w:eastAsia="zh-CN" w:bidi="ar-SA"/>
        </w:rPr>
      </w:pPr>
      <w:r>
        <w:rPr>
          <w:rFonts w:hint="eastAsia" w:ascii="仿宋_GB2312" w:hAnsi="仿宋_GB2312" w:eastAsia="仿宋_GB2312" w:cs="仿宋_GB2312"/>
          <w:kern w:val="2"/>
          <w:sz w:val="32"/>
          <w:szCs w:val="32"/>
          <w:lang w:val="en-US" w:eastAsia="zh-CN" w:bidi="ar-SA"/>
        </w:rPr>
        <w:t>按照“管业务就要管公开”原则，根据市人社局统一安排，积极参加人社业务政务公开培训，积极指导基层做好就业和社会保险等领域的政务公开指导工作。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i w:val="0"/>
          <w:caps w:val="0"/>
          <w:color w:val="333333"/>
          <w:spacing w:val="0"/>
          <w:kern w:val="0"/>
          <w:sz w:val="32"/>
          <w:szCs w:val="32"/>
          <w:shd w:val="clear" w:fill="FFFFFF"/>
          <w:lang w:val="en-US" w:eastAsia="zh-CN" w:bidi="ar"/>
        </w:rPr>
      </w:pPr>
      <w:r>
        <w:rPr>
          <w:rFonts w:hint="eastAsia" w:ascii="黑体" w:hAnsi="黑体" w:eastAsia="黑体" w:cs="黑体"/>
          <w:b w:val="0"/>
          <w:bCs/>
          <w:i w:val="0"/>
          <w:caps w:val="0"/>
          <w:color w:val="333333"/>
          <w:spacing w:val="0"/>
          <w:kern w:val="0"/>
          <w:sz w:val="32"/>
          <w:szCs w:val="32"/>
          <w:shd w:val="clear" w:fill="FFFFFF"/>
          <w:lang w:val="en-US" w:eastAsia="zh-CN" w:bidi="ar"/>
        </w:rPr>
        <w:t>六、其他需要报告的事项</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（一）2023年，张店区人社局未收取依申请公开信息处理费。</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val="0"/>
          <w:kern w:val="2"/>
          <w:sz w:val="32"/>
          <w:szCs w:val="32"/>
          <w:lang w:val="en-US" w:eastAsia="zh-CN" w:bidi="ar-SA"/>
        </w:rPr>
        <w:t>（二）</w:t>
      </w:r>
      <w:r>
        <w:rPr>
          <w:rFonts w:hint="eastAsia" w:ascii="楷体_GB2312" w:hAnsi="楷体_GB2312" w:eastAsia="楷体_GB2312" w:cs="楷体_GB2312"/>
          <w:b w:val="0"/>
          <w:bCs w:val="0"/>
          <w:sz w:val="32"/>
          <w:szCs w:val="32"/>
          <w:lang w:val="en-US" w:eastAsia="zh-CN"/>
        </w:rPr>
        <w:t>本年度人大代表建议和政协提案办理情况。</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人社局共承办</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人大代表建议</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政协委员提案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件，主要涉及就业</w:t>
      </w:r>
      <w:r>
        <w:rPr>
          <w:rFonts w:hint="eastAsia" w:ascii="仿宋_GB2312" w:hAnsi="仿宋_GB2312" w:eastAsia="仿宋_GB2312" w:cs="仿宋_GB2312"/>
          <w:sz w:val="32"/>
          <w:szCs w:val="32"/>
          <w:lang w:val="en-US" w:eastAsia="zh-CN"/>
        </w:rPr>
        <w:t>5件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社保</w:t>
      </w:r>
      <w:r>
        <w:rPr>
          <w:rFonts w:hint="eastAsia" w:ascii="仿宋_GB2312" w:hAnsi="仿宋_GB2312" w:eastAsia="仿宋_GB2312" w:cs="仿宋_GB2312"/>
          <w:sz w:val="32"/>
          <w:szCs w:val="32"/>
          <w:lang w:val="en-US" w:eastAsia="zh-CN"/>
        </w:rPr>
        <w:t>3件、人事人才2件、劳动关系协调4件</w:t>
      </w:r>
      <w:r>
        <w:rPr>
          <w:rFonts w:hint="eastAsia" w:ascii="仿宋_GB2312" w:hAnsi="仿宋_GB2312" w:eastAsia="仿宋_GB2312" w:cs="仿宋_GB2312"/>
          <w:sz w:val="32"/>
          <w:szCs w:val="32"/>
        </w:rPr>
        <w:t>。与202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年我局承办建议提案涉及领域对比分析，202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年代表委员对</w:t>
      </w:r>
      <w:r>
        <w:rPr>
          <w:rFonts w:hint="eastAsia" w:ascii="仿宋_GB2312" w:hAnsi="仿宋_GB2312" w:eastAsia="仿宋_GB2312" w:cs="仿宋_GB2312"/>
          <w:sz w:val="32"/>
          <w:szCs w:val="32"/>
          <w:lang w:eastAsia="zh-CN"/>
        </w:rPr>
        <w:t>劳动用工、就业人才</w:t>
      </w:r>
      <w:r>
        <w:rPr>
          <w:rFonts w:hint="eastAsia" w:ascii="仿宋_GB2312" w:hAnsi="仿宋_GB2312" w:eastAsia="仿宋_GB2312" w:cs="仿宋_GB2312"/>
          <w:sz w:val="32"/>
          <w:szCs w:val="32"/>
        </w:rPr>
        <w:t>工作关注度明显提高。这些建议提案充分反映了代表委员对人社工作的关注和支持，包含着对人社工作寄予的殷切希望和深切关怀。</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人社局在办理工作中，狠抓意见建议转化落地，</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件建议提案全部按时办理完毕，并获得办理态度、办理过程、办理意见、办理效果“四满意”。</w:t>
      </w:r>
    </w:p>
    <w:p>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z w:val="32"/>
          <w:szCs w:val="32"/>
          <w:lang w:val="en-US" w:eastAsia="zh-CN"/>
        </w:rPr>
        <w:t>（三）本单位在政务公开制度、内容、形式和平台建设方面的创新实践情况。</w:t>
      </w:r>
      <w:r>
        <w:rPr>
          <w:rFonts w:hint="eastAsia" w:ascii="仿宋_GB2312" w:hAnsi="仿宋_GB2312" w:eastAsia="仿宋_GB2312" w:cs="仿宋_GB2312"/>
          <w:sz w:val="32"/>
          <w:szCs w:val="32"/>
        </w:rPr>
        <w:t>打破传统招聘壁垒，试行开展“抖音直播带岗”模式，每周定期开播，免费发布用工信息，在线“面对面”解答求职者疑惑，让求职者和招聘者以低成本、高效率方式完成供需对接。自开通直播以来，已进行直播带岗45场次，累计观看150万余人次，帮助3000余名求职人员与企业方达成初步用工意向。截至目前，“张店人社”抖音号的关注人数已达3.</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万余人，月度涨粉榜全国第一，区县级人社账号直播间场观人数全国第一。</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000000" w:themeColor="text1"/>
          <w:spacing w:val="0"/>
          <w:kern w:val="2"/>
          <w:sz w:val="32"/>
          <w:szCs w:val="32"/>
          <w:shd w:val="clear" w:fill="FFFFFF"/>
          <w:lang w:val="en-US" w:eastAsia="zh-CN" w:bidi="ar-SA"/>
          <w14:textFill>
            <w14:solidFill>
              <w14:schemeClr w14:val="tx1"/>
            </w14:solidFill>
          </w14:textFill>
        </w:rPr>
      </w:pPr>
      <w:r>
        <w:rPr>
          <w:rFonts w:hint="eastAsia" w:ascii="楷体_GB2312" w:hAnsi="楷体_GB2312" w:eastAsia="楷体_GB2312" w:cs="楷体_GB2312"/>
          <w:b w:val="0"/>
          <w:bCs w:val="0"/>
          <w:sz w:val="32"/>
          <w:szCs w:val="32"/>
          <w:lang w:val="en-US" w:eastAsia="zh-CN"/>
        </w:rPr>
        <w:t>（四）《2023年张店区政务公开工作方案》落实情况。</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《2023年张店区政务公开工作方案》</w:t>
      </w:r>
      <w:r>
        <w:rPr>
          <w:rFonts w:hint="eastAsia" w:ascii="仿宋_GB2312" w:hAnsi="仿宋_GB2312" w:eastAsia="仿宋_GB2312" w:cs="仿宋_GB2312"/>
          <w:sz w:val="32"/>
          <w:szCs w:val="32"/>
        </w:rPr>
        <w:t>的部署要求，</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人社局调整了政务公开工作领导小组并组织举办了2次政务公开培训，要求各科室、各单位严格落实规定，规范政府信息管理，做好主动公开内容维护，及时高质量做好依申请公开回复。</w:t>
      </w:r>
    </w:p>
    <w:sectPr>
      <w:footerReference r:id="rId3" w:type="default"/>
      <w:pgSz w:w="11906" w:h="16838"/>
      <w:pgMar w:top="2098" w:right="1474" w:bottom="1984"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1N2YzMWMxMTU2NmI5NzBmYjdlOTk3NTE4NThmNmYifQ=="/>
  </w:docVars>
  <w:rsids>
    <w:rsidRoot w:val="11AF18C8"/>
    <w:rsid w:val="050E2687"/>
    <w:rsid w:val="05581935"/>
    <w:rsid w:val="0D4D54AE"/>
    <w:rsid w:val="0D72249E"/>
    <w:rsid w:val="11AF18C8"/>
    <w:rsid w:val="132C328F"/>
    <w:rsid w:val="141D2158"/>
    <w:rsid w:val="14A02B65"/>
    <w:rsid w:val="1A6A77C7"/>
    <w:rsid w:val="1D5E4018"/>
    <w:rsid w:val="1EEF9D2B"/>
    <w:rsid w:val="1EF567A3"/>
    <w:rsid w:val="1EFED2BC"/>
    <w:rsid w:val="1F6FA78F"/>
    <w:rsid w:val="1F97332B"/>
    <w:rsid w:val="1FFB391B"/>
    <w:rsid w:val="267A2F26"/>
    <w:rsid w:val="297FAC76"/>
    <w:rsid w:val="2DA7DE71"/>
    <w:rsid w:val="2DF97147"/>
    <w:rsid w:val="2E21420E"/>
    <w:rsid w:val="2F6F1AFF"/>
    <w:rsid w:val="2FAD00FC"/>
    <w:rsid w:val="2FD1CCE0"/>
    <w:rsid w:val="2FFFE3B9"/>
    <w:rsid w:val="33FFB2B4"/>
    <w:rsid w:val="33FFC301"/>
    <w:rsid w:val="35384879"/>
    <w:rsid w:val="3567E435"/>
    <w:rsid w:val="37699AAC"/>
    <w:rsid w:val="37F7E421"/>
    <w:rsid w:val="39FF13E5"/>
    <w:rsid w:val="3AF2D530"/>
    <w:rsid w:val="3BBB6E46"/>
    <w:rsid w:val="3C7E7E4E"/>
    <w:rsid w:val="3DEB7F56"/>
    <w:rsid w:val="3DEE7C01"/>
    <w:rsid w:val="3EF6348E"/>
    <w:rsid w:val="3EFB61AD"/>
    <w:rsid w:val="3F37CDAB"/>
    <w:rsid w:val="3F7FE9C5"/>
    <w:rsid w:val="3F9FBD48"/>
    <w:rsid w:val="3FAF0AAB"/>
    <w:rsid w:val="3FBF62C6"/>
    <w:rsid w:val="3FDFF999"/>
    <w:rsid w:val="3FFF26B4"/>
    <w:rsid w:val="414772B8"/>
    <w:rsid w:val="42D3B604"/>
    <w:rsid w:val="48FF5436"/>
    <w:rsid w:val="494B7A7B"/>
    <w:rsid w:val="4B9FE3C2"/>
    <w:rsid w:val="4BC9F5B5"/>
    <w:rsid w:val="4DEDA4D5"/>
    <w:rsid w:val="4EDA594B"/>
    <w:rsid w:val="4FDFB8AE"/>
    <w:rsid w:val="4FEFE2F2"/>
    <w:rsid w:val="4FFBBC6E"/>
    <w:rsid w:val="506F30FD"/>
    <w:rsid w:val="531B18AF"/>
    <w:rsid w:val="54FBE57F"/>
    <w:rsid w:val="55BDBFC2"/>
    <w:rsid w:val="567444B5"/>
    <w:rsid w:val="57478A97"/>
    <w:rsid w:val="57AB6C62"/>
    <w:rsid w:val="57D7056B"/>
    <w:rsid w:val="59DFD1AD"/>
    <w:rsid w:val="59FC080A"/>
    <w:rsid w:val="59FDCAFB"/>
    <w:rsid w:val="59FDDC8B"/>
    <w:rsid w:val="5ABF35A0"/>
    <w:rsid w:val="5ABF657F"/>
    <w:rsid w:val="5AF7DF0E"/>
    <w:rsid w:val="5B095BDF"/>
    <w:rsid w:val="5BFFFB06"/>
    <w:rsid w:val="5DEF33E6"/>
    <w:rsid w:val="5DFDAE03"/>
    <w:rsid w:val="5EFF46B3"/>
    <w:rsid w:val="5F4F50E3"/>
    <w:rsid w:val="5F586D45"/>
    <w:rsid w:val="5F6A595A"/>
    <w:rsid w:val="5F7D608F"/>
    <w:rsid w:val="5FAF2704"/>
    <w:rsid w:val="5FCF4F74"/>
    <w:rsid w:val="5FFC97AA"/>
    <w:rsid w:val="5FFE7671"/>
    <w:rsid w:val="62834A74"/>
    <w:rsid w:val="640A5F1B"/>
    <w:rsid w:val="645F063B"/>
    <w:rsid w:val="65ECF1BF"/>
    <w:rsid w:val="663FF422"/>
    <w:rsid w:val="6698303C"/>
    <w:rsid w:val="676547E9"/>
    <w:rsid w:val="679E5140"/>
    <w:rsid w:val="67BA5745"/>
    <w:rsid w:val="67E43B26"/>
    <w:rsid w:val="697E7356"/>
    <w:rsid w:val="69FDEC77"/>
    <w:rsid w:val="6B2DDFAE"/>
    <w:rsid w:val="6B887A32"/>
    <w:rsid w:val="6BEF68BF"/>
    <w:rsid w:val="6DD37989"/>
    <w:rsid w:val="6DFF5019"/>
    <w:rsid w:val="6FAC3CC5"/>
    <w:rsid w:val="6FFA3357"/>
    <w:rsid w:val="74CBDF4F"/>
    <w:rsid w:val="74DC48C7"/>
    <w:rsid w:val="75B7D147"/>
    <w:rsid w:val="75EF4115"/>
    <w:rsid w:val="75FF6493"/>
    <w:rsid w:val="77181135"/>
    <w:rsid w:val="77AFA716"/>
    <w:rsid w:val="77D0B492"/>
    <w:rsid w:val="77DDA94D"/>
    <w:rsid w:val="77F788A5"/>
    <w:rsid w:val="77FB2453"/>
    <w:rsid w:val="77FF16EB"/>
    <w:rsid w:val="79F145A3"/>
    <w:rsid w:val="79F7DD72"/>
    <w:rsid w:val="7A5F3BC1"/>
    <w:rsid w:val="7A7F5900"/>
    <w:rsid w:val="7AFF3652"/>
    <w:rsid w:val="7BBE7574"/>
    <w:rsid w:val="7BF565BA"/>
    <w:rsid w:val="7D7F6FCA"/>
    <w:rsid w:val="7DB1BF67"/>
    <w:rsid w:val="7DEF83EB"/>
    <w:rsid w:val="7DFE5BF9"/>
    <w:rsid w:val="7DFFFB21"/>
    <w:rsid w:val="7E2F1AA9"/>
    <w:rsid w:val="7EDFCB2D"/>
    <w:rsid w:val="7F1FD345"/>
    <w:rsid w:val="7F4F628D"/>
    <w:rsid w:val="7F51DC5A"/>
    <w:rsid w:val="7F7D9FD8"/>
    <w:rsid w:val="7F7DB70C"/>
    <w:rsid w:val="7F7F00C0"/>
    <w:rsid w:val="7FAE99D6"/>
    <w:rsid w:val="7FAF0AA5"/>
    <w:rsid w:val="7FAFEE82"/>
    <w:rsid w:val="7FD52939"/>
    <w:rsid w:val="7FD601A3"/>
    <w:rsid w:val="7FE136D8"/>
    <w:rsid w:val="7FE33C58"/>
    <w:rsid w:val="7FEA594E"/>
    <w:rsid w:val="7FEEB283"/>
    <w:rsid w:val="7FF3C5F5"/>
    <w:rsid w:val="7FF687BD"/>
    <w:rsid w:val="7FFB7FD5"/>
    <w:rsid w:val="7FFF5995"/>
    <w:rsid w:val="7FFF5F2A"/>
    <w:rsid w:val="8CE3C832"/>
    <w:rsid w:val="937FF006"/>
    <w:rsid w:val="9BED0BAC"/>
    <w:rsid w:val="9BFA0E74"/>
    <w:rsid w:val="9BFFF7EF"/>
    <w:rsid w:val="9EF5BCA0"/>
    <w:rsid w:val="9F7FF7AB"/>
    <w:rsid w:val="9F9F6465"/>
    <w:rsid w:val="A6EC7140"/>
    <w:rsid w:val="B06F583F"/>
    <w:rsid w:val="B1FF84B5"/>
    <w:rsid w:val="B4FD23C0"/>
    <w:rsid w:val="B7531CC1"/>
    <w:rsid w:val="B7BDA605"/>
    <w:rsid w:val="B7E713BB"/>
    <w:rsid w:val="B7FD55C5"/>
    <w:rsid w:val="B9D665D3"/>
    <w:rsid w:val="BA1AFE2A"/>
    <w:rsid w:val="BADFBF21"/>
    <w:rsid w:val="BB9F4788"/>
    <w:rsid w:val="BBB72A76"/>
    <w:rsid w:val="BBF6167E"/>
    <w:rsid w:val="BC773C7A"/>
    <w:rsid w:val="BCCA878B"/>
    <w:rsid w:val="BD17DCC4"/>
    <w:rsid w:val="BE1A4601"/>
    <w:rsid w:val="BEFB5364"/>
    <w:rsid w:val="BF3F4EDD"/>
    <w:rsid w:val="BF9CA563"/>
    <w:rsid w:val="BFA4314D"/>
    <w:rsid w:val="BFCDB3D4"/>
    <w:rsid w:val="BFCE6BBB"/>
    <w:rsid w:val="BFCFD74B"/>
    <w:rsid w:val="BFD9F1B6"/>
    <w:rsid w:val="BFFB7E30"/>
    <w:rsid w:val="BFFF1E60"/>
    <w:rsid w:val="BFFF632F"/>
    <w:rsid w:val="BFFF6FDD"/>
    <w:rsid w:val="CBFFD682"/>
    <w:rsid w:val="CE7E936C"/>
    <w:rsid w:val="CFEE1893"/>
    <w:rsid w:val="CFEF45BC"/>
    <w:rsid w:val="D169A40B"/>
    <w:rsid w:val="D3F79759"/>
    <w:rsid w:val="D4FA0C26"/>
    <w:rsid w:val="D749D24F"/>
    <w:rsid w:val="D7B9167B"/>
    <w:rsid w:val="DAEFFD6D"/>
    <w:rsid w:val="DB7F579F"/>
    <w:rsid w:val="DBE9D810"/>
    <w:rsid w:val="DBF81840"/>
    <w:rsid w:val="DBFFB4A6"/>
    <w:rsid w:val="DDE6AEB6"/>
    <w:rsid w:val="DDE7507C"/>
    <w:rsid w:val="DDF61B0D"/>
    <w:rsid w:val="DE2FBA7D"/>
    <w:rsid w:val="DE7FF687"/>
    <w:rsid w:val="DEDFFAA1"/>
    <w:rsid w:val="DF7F1EB8"/>
    <w:rsid w:val="DF7FDB36"/>
    <w:rsid w:val="DF9EBCDA"/>
    <w:rsid w:val="DFA799CC"/>
    <w:rsid w:val="DFBF65D5"/>
    <w:rsid w:val="DFDA111C"/>
    <w:rsid w:val="DFFEBADC"/>
    <w:rsid w:val="DFFFF1D6"/>
    <w:rsid w:val="EB739338"/>
    <w:rsid w:val="EBCB7DBE"/>
    <w:rsid w:val="ED5FDAB5"/>
    <w:rsid w:val="EDD9EA72"/>
    <w:rsid w:val="EEB55AE4"/>
    <w:rsid w:val="EEB7ADF7"/>
    <w:rsid w:val="EEFF5DC1"/>
    <w:rsid w:val="EF6517DA"/>
    <w:rsid w:val="EF779708"/>
    <w:rsid w:val="EF7B8356"/>
    <w:rsid w:val="F1BF809A"/>
    <w:rsid w:val="F3DF1E36"/>
    <w:rsid w:val="F3FB2AF5"/>
    <w:rsid w:val="F3FD79C6"/>
    <w:rsid w:val="F57FE209"/>
    <w:rsid w:val="F6FFA011"/>
    <w:rsid w:val="F77EF1DF"/>
    <w:rsid w:val="F7BF29DD"/>
    <w:rsid w:val="F7C6E28F"/>
    <w:rsid w:val="F7DF3BA0"/>
    <w:rsid w:val="F7F38E38"/>
    <w:rsid w:val="F83DEEAF"/>
    <w:rsid w:val="F8B3BE0D"/>
    <w:rsid w:val="F8BD1FB4"/>
    <w:rsid w:val="F8FF8C9A"/>
    <w:rsid w:val="F9D74DC4"/>
    <w:rsid w:val="FADFE440"/>
    <w:rsid w:val="FAF6D81D"/>
    <w:rsid w:val="FB763391"/>
    <w:rsid w:val="FB9E5F7D"/>
    <w:rsid w:val="FBBB334B"/>
    <w:rsid w:val="FBEFE45A"/>
    <w:rsid w:val="FBF3E1DF"/>
    <w:rsid w:val="FCEAC882"/>
    <w:rsid w:val="FCFB72AD"/>
    <w:rsid w:val="FD7D6D59"/>
    <w:rsid w:val="FDA37375"/>
    <w:rsid w:val="FDB5CE77"/>
    <w:rsid w:val="FDF36F88"/>
    <w:rsid w:val="FED7CB58"/>
    <w:rsid w:val="FEEF09AD"/>
    <w:rsid w:val="FEF2E319"/>
    <w:rsid w:val="FEF65CBA"/>
    <w:rsid w:val="FEF796C4"/>
    <w:rsid w:val="FEFD2F8A"/>
    <w:rsid w:val="FF5F1BC6"/>
    <w:rsid w:val="FF740761"/>
    <w:rsid w:val="FF7F4FCA"/>
    <w:rsid w:val="FF976806"/>
    <w:rsid w:val="FFB6A4CE"/>
    <w:rsid w:val="FFBFB1B6"/>
    <w:rsid w:val="FFC6A744"/>
    <w:rsid w:val="FFDA0F91"/>
    <w:rsid w:val="FFEFBE9D"/>
    <w:rsid w:val="FFF77BB1"/>
    <w:rsid w:val="FFF7A4C2"/>
    <w:rsid w:val="FFFB156F"/>
    <w:rsid w:val="FFFF30E5"/>
    <w:rsid w:val="FF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2023-01-21T07:45:00Z</dcterms:created>
  <dc:creator>诗人与熊</dc:creator>
  <cp:lastModifiedBy>Administrator</cp:lastModifiedBy>
  <cp:lastPrinted>2024-01-18T08:58:00Z</cp:lastPrinted>
  <dcterms:modified xsi:type="dcterms:W3CDTF">2024-01-19T01:55:29Z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AA997AA0745C4772A4196D817533ED9B</vt:lpwstr>
  </property>
</Properties>
</file>