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张店区人力资源和社会保障局2024年就业登记服务指南</w:t>
      </w:r>
    </w:p>
    <w:p>
      <w:pPr>
        <w:pStyle w:val="4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文件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依据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1.《就业服务与就业管理规定》（2018年修订）；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2.《关于推进全方位公共就业服务的指导意见》（人社部发〔2018〕77号）；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3.《关于做好灵活就业人员公共就业服务工作的通知》（鲁人社发〔2011〕19号）；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4.《关于完善城乡统一就业失业登记制度的通知》（鲁人社办发〔2014〕76号）；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5.《关于全面实施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〈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就业创业证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〉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与社会保障卡“证卡合一”的通知》（鲁人社字〔2018〕166号）；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6.《关于推进全方位公共就业服务的实施意见》（鲁人社发〔2019〕6号）。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、申请主体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法定劳动年龄内的城乡单位就业人员、个体经济组织从业人员、自由职业者及灵活就业人员，不包括国家机关、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党政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机关、社会团体、事业单位的编制人员。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三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、受理条件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在张店区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辖区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内常住的法定劳动年龄内、有劳动能力、已实现就业的劳动者。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、申请材料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营业执照、法人身份证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、办事流程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企业携带《营业执照》副本、法人身份证到区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市民中心人社窗口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或镇（街道）人社所办理开户；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前台工作人员根据企业提供的有效证件，在“山东省公共就业人才服务信息系统”开户；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企业人员登录“山东省公共就业和人才网上服务系统”进行注册并绑定，绑定成功后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启用“三口合一”功能对新招用人员办理就业登记、社会保险登记、劳动用工备案3项服务事项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；也可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在“公共就业”模块进行“单位就业登记”（若该人员在省就业网不存在信息，需先进行人员新增后进行就业登记）信息的录入、提交；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cstheme="minorBidi"/>
          <w:color w:val="auto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企业人员录入完毕后，电话通知镇（街道）人社所工作人员对单位端推送的业务进行受理，工作人员与企业进行信息对接（包括姓名、合同类型、合同时间等重要信息），对正确信息审核通过，错误信息进行退回，并告知企业进行改正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、收费依据及标准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不收费。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、办理时限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即时办结。</w:t>
      </w:r>
    </w:p>
    <w:p>
      <w:pPr>
        <w:ind w:firstLine="562" w:firstLineChars="200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八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、咨询电话</w:t>
      </w:r>
    </w:p>
    <w:p>
      <w:pPr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0533-2868869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28"/>
          <w:szCs w:val="28"/>
          <w:lang w:val="en-US" w:eastAsia="zh-CN"/>
        </w:rPr>
        <w:t>九</w:t>
      </w:r>
      <w:r>
        <w:rPr>
          <w:rFonts w:hint="eastAsia" w:ascii="Calibri" w:hAnsi="Calibri" w:eastAsia="宋体" w:cs="Times New Roman"/>
          <w:b/>
          <w:color w:val="auto"/>
          <w:sz w:val="28"/>
          <w:szCs w:val="28"/>
        </w:rPr>
        <w:t>、办理地点</w:t>
      </w:r>
    </w:p>
    <w:p>
      <w:pPr>
        <w:ind w:firstLine="560" w:firstLineChars="200"/>
        <w:rPr>
          <w:rFonts w:hint="eastAsi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企业所在地所属镇（街道）人社所/张店区市民中心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jFhMjFhMTViMGU5Zjk4NDUyNmZlNzViYjlmZDcifQ=="/>
    <w:docVar w:name="KSO_WPS_MARK_KEY" w:val="d2f8d13d-6621-4c4d-8e17-33ae0ba63ff5"/>
  </w:docVars>
  <w:rsids>
    <w:rsidRoot w:val="00000000"/>
    <w:rsid w:val="07F50207"/>
    <w:rsid w:val="1557053D"/>
    <w:rsid w:val="2B953BB9"/>
    <w:rsid w:val="4E713178"/>
    <w:rsid w:val="6227051F"/>
    <w:rsid w:val="6F6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left="420" w:leftChars="200"/>
      <w:textAlignment w:val="baseline"/>
    </w:pPr>
  </w:style>
  <w:style w:type="paragraph" w:styleId="4">
    <w:name w:val="index 9"/>
    <w:basedOn w:val="1"/>
    <w:next w:val="1"/>
    <w:qFormat/>
    <w:uiPriority w:val="0"/>
    <w:pPr>
      <w:ind w:left="3360"/>
      <w:jc w:val="left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817</Characters>
  <Lines>0</Lines>
  <Paragraphs>0</Paragraphs>
  <TotalTime>0</TotalTime>
  <ScaleCrop>false</ScaleCrop>
  <LinksUpToDate>false</LinksUpToDate>
  <CharactersWithSpaces>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2024-09-10T07:15:00Z</dcterms:created>
  <dc:creator>lenovo</dc:creator>
  <cp:lastModifiedBy>小宇</cp:lastModifiedBy>
  <dcterms:modified xsi:type="dcterms:W3CDTF">2024-09-11T02:00:03Z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3D0A15DC7FAF4216B2D2069A1ACB9CC1_13</vt:lpwstr>
  </property>
</Properties>
</file>