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</w:rPr>
        <w:t>关于《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关于征集第六届淄博市创业大赛暨第五届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中国创翼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创业创新大赛选拔赛、第六届山东省创业大赛淄博赛区选拔赛优秀创业项目的通知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</w:rPr>
        <w:t>》的解读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Calibri" w:hAnsi="Calibri" w:eastAsia="微软雅黑" w:cs="Calibri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一、政策背景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为贯彻党的十九大和十九届历次全会精神，落实党中央、国务院、山东省关于鼓励支持“双创”的决策部署，营造创新创业氛围，促进创业带动就业，助力推进乡村振兴，现面向全区征集第六届淄博市创业大赛暨第五届“中国创翼”创业创新大赛选拔赛、第六届山东 省创业大赛淄博赛区选拔赛优秀创业项目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政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策依据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淄博市人力资源和社会保障局等 11 部门《关于举办第六届淄博市创业大赛 暨第五届“中国创翼”创业创新大赛选拔赛、第六届山东省创业大赛淄博赛区选拔赛的通知》。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三、奖项设立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 xml:space="preserve"> 市级大赛分主体赛和留学人员专项赛、乡村振兴专项赛项目，每个奖项各设一等奖1个，二等奖2个，三等奖3个，共24个奖项(一等奖奖励5万元，二等奖奖励2万元，三等奖奖励1万元)。大赛组委会对上述获奖项目颁发奖杯和证书，给予相应奖金，并给予荣誉申报、宣传推广、政策支持等奖励扶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解读人：张店区人力资源和社会保障局党组书记、局长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lang w:eastAsia="zh-CN"/>
        </w:rPr>
        <w:t>范祥玉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微软雅黑" w:hAnsi="微软雅黑" w:eastAsia="仿宋_GB2312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0533-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lang w:val="en-US" w:eastAsia="zh-CN"/>
        </w:rPr>
        <w:t>2868869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52C89"/>
    <w:rsid w:val="0A3F2403"/>
    <w:rsid w:val="389525AC"/>
    <w:rsid w:val="6B45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485</Characters>
  <Lines>0</Lines>
  <Paragraphs>0</Paragraphs>
  <TotalTime>11</TotalTime>
  <ScaleCrop>false</ScaleCrop>
  <LinksUpToDate>false</LinksUpToDate>
  <CharactersWithSpaces>495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2022-03-18T01:52:00Z</dcterms:created>
  <dc:creator>果果</dc:creator>
  <cp:lastModifiedBy>果果</cp:lastModifiedBy>
  <dcterms:modified xsi:type="dcterms:W3CDTF">2022-03-18T02:08:57Z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E05ACB5516A540638C932E764204187C</vt:lpwstr>
  </property>
</Properties>
</file>