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耕地保护和质量提升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  <w:t>资金安排与使用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安排田间试验示范4处，每个试验补贴2万元，共8万元；取土化验20个，每个点补贴300元，资金0.6万元；耕地质量等级变更评价基础工作5万元，用于聘请第三方机构；开展宣传培训1次，资金0.8万元；农户施肥调查60户，资金3万元，共计17.4万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968E3"/>
    <w:rsid w:val="09104F84"/>
    <w:rsid w:val="5F0968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</Company>
  <Pages>1</Pages>
  <Words>129</Words>
  <Characters>140</Characters>
  <Lines>0</Lines>
  <Paragraphs>0</Paragraphs>
  <ScaleCrop>false</ScaleCrop>
  <LinksUpToDate>false</LinksUpToDate>
  <CharactersWithSpaces>140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2021-12-18T09:32:00Z</dcterms:created>
  <dc:creator>Administrator</dc:creator>
  <cp:lastModifiedBy>Administrator</cp:lastModifiedBy>
  <dcterms:modified xsi:type="dcterms:W3CDTF">2021-12-18T09:39:27Z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