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000000"/>
          <w:spacing w:val="0"/>
          <w:sz w:val="44"/>
          <w:szCs w:val="44"/>
          <w:shd w:val="clear" w:fill="FFFFFF"/>
        </w:rPr>
        <w:t>张店区马尚</w:t>
      </w:r>
      <w:r>
        <w:rPr>
          <w:rFonts w:hint="eastAsia" w:ascii="方正小标宋简体" w:hAnsi="方正小标宋简体" w:eastAsia="方正小标宋简体" w:cs="方正小标宋简体"/>
          <w:b w:val="0"/>
          <w:bCs/>
          <w:i w:val="0"/>
          <w:caps w:val="0"/>
          <w:color w:val="000000"/>
          <w:spacing w:val="0"/>
          <w:sz w:val="44"/>
          <w:szCs w:val="44"/>
          <w:shd w:val="clear" w:fill="FFFFFF"/>
          <w:lang w:eastAsia="zh-CN"/>
        </w:rPr>
        <w:t>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b w:val="0"/>
          <w:bCs/>
        </w:rPr>
      </w:pPr>
      <w:r>
        <w:rPr>
          <w:rFonts w:hint="eastAsia" w:ascii="方正小标宋简体" w:hAnsi="方正小标宋简体" w:eastAsia="方正小标宋简体" w:cs="方正小标宋简体"/>
          <w:b w:val="0"/>
          <w:bCs/>
          <w:i w:val="0"/>
          <w:caps w:val="0"/>
          <w:color w:val="000000"/>
          <w:spacing w:val="0"/>
          <w:sz w:val="44"/>
          <w:szCs w:val="44"/>
          <w:shd w:val="clear" w:fill="FFFFFF"/>
        </w:rPr>
        <w:t>20</w:t>
      </w:r>
      <w:r>
        <w:rPr>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21</w:t>
      </w:r>
      <w:r>
        <w:rPr>
          <w:rFonts w:hint="eastAsia" w:ascii="方正小标宋简体" w:hAnsi="方正小标宋简体" w:eastAsia="方正小标宋简体" w:cs="方正小标宋简体"/>
          <w:b w:val="0"/>
          <w:bCs/>
          <w:i w:val="0"/>
          <w:caps w:val="0"/>
          <w:color w:val="000000"/>
          <w:spacing w:val="0"/>
          <w:sz w:val="44"/>
          <w:szCs w:val="44"/>
          <w:shd w:val="clear" w:fill="FFFFFF"/>
        </w:rPr>
        <w:t>年政府信息公开工作年度报告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560" w:lineRule="exact"/>
        <w:ind w:left="0"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报告按照《中华人民共和国政府信息公开条例》要求编制，全文包括总体情况、主动公开政府信息情况、收到和处理政府信息公开申请情况、因政府信息公开工作被申请行政复议和提起行政诉讼情况、政府信息公开工作存在的主要问题及改进情况、其他需要报告的事项等六个部分。本报告所列数据的统计时限自2021年1月1日起至2021年12月31日。本</w:t>
      </w:r>
      <w:r>
        <w:rPr>
          <w:rFonts w:hint="default" w:ascii="仿宋_GB2312" w:hAnsi="仿宋_GB2312" w:eastAsia="仿宋_GB2312" w:cs="仿宋_GB2312"/>
          <w:kern w:val="2"/>
          <w:sz w:val="32"/>
          <w:szCs w:val="32"/>
          <w:lang w:val="en-US" w:eastAsia="zh-CN" w:bidi="ar-SA"/>
        </w:rPr>
        <w:t>报告电子版可在</w:t>
      </w:r>
      <w:r>
        <w:rPr>
          <w:rFonts w:hint="eastAsia" w:ascii="仿宋_GB2312" w:hAnsi="仿宋_GB2312" w:eastAsia="仿宋_GB2312" w:cs="仿宋_GB2312"/>
          <w:kern w:val="2"/>
          <w:sz w:val="32"/>
          <w:szCs w:val="32"/>
          <w:lang w:val="en-US" w:eastAsia="zh-CN" w:bidi="ar-SA"/>
        </w:rPr>
        <w:t>淄博市</w:t>
      </w:r>
      <w:r>
        <w:rPr>
          <w:rFonts w:hint="default" w:ascii="仿宋_GB2312" w:hAnsi="仿宋_GB2312" w:eastAsia="仿宋_GB2312" w:cs="仿宋_GB2312"/>
          <w:kern w:val="2"/>
          <w:sz w:val="32"/>
          <w:szCs w:val="32"/>
          <w:lang w:val="en-US" w:eastAsia="zh-CN" w:bidi="ar-SA"/>
        </w:rPr>
        <w:t>张店区人民政府</w:t>
      </w:r>
      <w:r>
        <w:rPr>
          <w:rFonts w:hint="eastAsia" w:ascii="仿宋_GB2312" w:hAnsi="仿宋_GB2312" w:eastAsia="仿宋_GB2312" w:cs="仿宋_GB2312"/>
          <w:kern w:val="2"/>
          <w:sz w:val="32"/>
          <w:szCs w:val="32"/>
          <w:lang w:val="en-US" w:eastAsia="zh-CN" w:bidi="ar-SA"/>
        </w:rPr>
        <w:t>门户网站（www.zhangdian.gov.cn）查阅或下载。</w:t>
      </w:r>
      <w:r>
        <w:rPr>
          <w:rFonts w:hint="default" w:ascii="仿宋_GB2312" w:hAnsi="仿宋_GB2312" w:eastAsia="仿宋_GB2312" w:cs="仿宋_GB2312"/>
          <w:kern w:val="2"/>
          <w:sz w:val="32"/>
          <w:szCs w:val="32"/>
          <w:lang w:val="en-US" w:eastAsia="zh-CN" w:bidi="ar-SA"/>
        </w:rPr>
        <w:t>如对本报告有疑问，请</w:t>
      </w:r>
      <w:r>
        <w:rPr>
          <w:rFonts w:hint="eastAsia" w:ascii="仿宋_GB2312" w:hAnsi="仿宋_GB2312" w:eastAsia="仿宋_GB2312" w:cs="仿宋_GB2312"/>
          <w:kern w:val="2"/>
          <w:sz w:val="32"/>
          <w:szCs w:val="32"/>
          <w:lang w:val="en-US" w:eastAsia="zh-CN" w:bidi="ar-SA"/>
        </w:rPr>
        <w:t>与淄博市</w:t>
      </w:r>
      <w:r>
        <w:rPr>
          <w:rFonts w:hint="default" w:ascii="仿宋_GB2312" w:hAnsi="仿宋_GB2312" w:eastAsia="仿宋_GB2312" w:cs="仿宋_GB2312"/>
          <w:kern w:val="2"/>
          <w:sz w:val="32"/>
          <w:szCs w:val="32"/>
          <w:lang w:val="en-US" w:eastAsia="zh-CN" w:bidi="ar-SA"/>
        </w:rPr>
        <w:t>张店区</w:t>
      </w:r>
      <w:r>
        <w:rPr>
          <w:rFonts w:hint="eastAsia" w:ascii="仿宋_GB2312" w:hAnsi="仿宋_GB2312" w:eastAsia="仿宋_GB2312" w:cs="仿宋_GB2312"/>
          <w:kern w:val="2"/>
          <w:sz w:val="32"/>
          <w:szCs w:val="32"/>
          <w:lang w:val="en-US" w:eastAsia="zh-CN" w:bidi="ar-SA"/>
        </w:rPr>
        <w:t>马尚街道</w:t>
      </w:r>
      <w:r>
        <w:rPr>
          <w:rFonts w:hint="default" w:ascii="仿宋_GB2312" w:hAnsi="仿宋_GB2312" w:eastAsia="仿宋_GB2312" w:cs="仿宋_GB2312"/>
          <w:kern w:val="2"/>
          <w:sz w:val="32"/>
          <w:szCs w:val="32"/>
          <w:lang w:val="en-US" w:eastAsia="zh-CN" w:bidi="ar-SA"/>
        </w:rPr>
        <w:t>办事处党政办公室联系。</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地址：</w:t>
      </w:r>
      <w:r>
        <w:rPr>
          <w:rFonts w:hint="eastAsia" w:ascii="仿宋_GB2312" w:hAnsi="仿宋_GB2312" w:eastAsia="仿宋_GB2312" w:cs="仿宋_GB2312"/>
          <w:kern w:val="2"/>
          <w:sz w:val="32"/>
          <w:szCs w:val="32"/>
          <w:lang w:val="en-US" w:eastAsia="zh-CN" w:bidi="ar-SA"/>
        </w:rPr>
        <w:t>山东省淄博市</w:t>
      </w:r>
      <w:r>
        <w:rPr>
          <w:rFonts w:hint="default" w:ascii="仿宋_GB2312" w:hAnsi="仿宋_GB2312" w:eastAsia="仿宋_GB2312" w:cs="仿宋_GB2312"/>
          <w:kern w:val="2"/>
          <w:sz w:val="32"/>
          <w:szCs w:val="32"/>
          <w:lang w:val="en-US" w:eastAsia="zh-CN" w:bidi="ar-SA"/>
        </w:rPr>
        <w:t>张店区</w:t>
      </w:r>
      <w:r>
        <w:rPr>
          <w:rFonts w:hint="eastAsia" w:ascii="仿宋_GB2312" w:hAnsi="仿宋_GB2312" w:eastAsia="仿宋_GB2312" w:cs="仿宋_GB2312"/>
          <w:kern w:val="2"/>
          <w:sz w:val="32"/>
          <w:szCs w:val="32"/>
          <w:lang w:val="en-US" w:eastAsia="zh-CN" w:bidi="ar-SA"/>
        </w:rPr>
        <w:t>联通路198号马尚街道办事处</w:t>
      </w:r>
      <w:r>
        <w:rPr>
          <w:rFonts w:hint="default" w:ascii="仿宋_GB2312" w:hAnsi="仿宋_GB2312" w:eastAsia="仿宋_GB2312" w:cs="仿宋_GB2312"/>
          <w:kern w:val="2"/>
          <w:sz w:val="32"/>
          <w:szCs w:val="32"/>
          <w:lang w:val="en-US" w:eastAsia="zh-CN" w:bidi="ar-SA"/>
        </w:rPr>
        <w:t>党政办公室；邮编：255000，联系电话：0533-</w:t>
      </w:r>
      <w:r>
        <w:rPr>
          <w:rFonts w:hint="eastAsia" w:ascii="仿宋_GB2312" w:hAnsi="仿宋_GB2312" w:eastAsia="仿宋_GB2312" w:cs="仿宋_GB2312"/>
          <w:kern w:val="2"/>
          <w:sz w:val="32"/>
          <w:szCs w:val="32"/>
          <w:lang w:val="en-US" w:eastAsia="zh-CN" w:bidi="ar-SA"/>
        </w:rPr>
        <w:t>2800570）</w:t>
      </w:r>
      <w:r>
        <w:rPr>
          <w:rFonts w:hint="default"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0"/>
          <w:sz w:val="32"/>
          <w:szCs w:val="32"/>
          <w:lang w:val="zh-CN" w:eastAsia="zh-CN" w:bidi="zh-CN"/>
        </w:rPr>
      </w:pPr>
      <w:r>
        <w:rPr>
          <w:rFonts w:hint="eastAsia" w:ascii="黑体" w:hAnsi="黑体" w:eastAsia="黑体" w:cs="黑体"/>
          <w:b w:val="0"/>
          <w:bCs w:val="0"/>
          <w:kern w:val="0"/>
          <w:sz w:val="32"/>
          <w:szCs w:val="32"/>
          <w:lang w:val="zh-CN" w:eastAsia="zh-CN" w:bidi="zh-CN"/>
        </w:rPr>
        <w:t>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马尚街道办事处严格遵循中央及省、市、区各级对于政务公开工作的规范，按照《中华人民共和国政府信息公开条例》等相关文件要求，狠抓思想意识，健全机制体制，树牢服务理念，严格按照政务公开工作规范，保证日常工作及时公开，保障群众对于政府工作的知情权，努力为构造阳光型、服务型、科学型政府添砖加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sz w:val="32"/>
          <w:szCs w:val="32"/>
        </w:rPr>
        <w:t>主动公开情况。</w:t>
      </w:r>
      <w:r>
        <w:rPr>
          <w:rFonts w:hint="eastAsia" w:ascii="仿宋_GB2312" w:hAnsi="仿宋_GB2312" w:eastAsia="仿宋_GB2312" w:cs="仿宋_GB2312"/>
          <w:kern w:val="2"/>
          <w:sz w:val="32"/>
          <w:szCs w:val="32"/>
          <w:lang w:val="en-US" w:eastAsia="zh-CN" w:bidi="ar-SA"/>
        </w:rPr>
        <w:t>2021年1月1日至2021年12月31日，淄博市张店区马尚街道办事处共公开政务信息115次（条）。其中政策文件2条、领导信息1条、重大决策预公开2条、会议公开13条、行政权力6条、建议提案1条、财政信息3条、重点领域信息公开16条、政策解读4条、互动交流3条、人事信息3条、业务动态56条、政务公开保障机制5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8240" behindDoc="0" locked="0" layoutInCell="1" allowOverlap="1">
            <wp:simplePos x="0" y="0"/>
            <wp:positionH relativeFrom="column">
              <wp:posOffset>847725</wp:posOffset>
            </wp:positionH>
            <wp:positionV relativeFrom="paragraph">
              <wp:posOffset>15875</wp:posOffset>
            </wp:positionV>
            <wp:extent cx="3805555" cy="2852420"/>
            <wp:effectExtent l="0" t="0" r="4445" b="508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3805555" cy="285242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sz w:val="32"/>
          <w:szCs w:val="32"/>
        </w:rPr>
        <w:t>依申请公开情况。</w:t>
      </w:r>
      <w:r>
        <w:rPr>
          <w:rFonts w:hint="eastAsia" w:ascii="仿宋_GB2312" w:hAnsi="仿宋_GB2312" w:eastAsia="仿宋_GB2312" w:cs="仿宋_GB2312"/>
          <w:kern w:val="2"/>
          <w:sz w:val="32"/>
          <w:szCs w:val="32"/>
          <w:lang w:val="en-US" w:eastAsia="zh-CN" w:bidi="ar-SA"/>
        </w:rPr>
        <w:t>2021年度无依申请公开的信息，也无任何收费。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11430</wp:posOffset>
            </wp:positionV>
            <wp:extent cx="2653030" cy="2823210"/>
            <wp:effectExtent l="0" t="0" r="13970" b="15240"/>
            <wp:wrapNone/>
            <wp:docPr id="2" name="图片 2" descr="微信图片_2022030915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09153640"/>
                    <pic:cNvPicPr>
                      <a:picLocks noChangeAspect="1"/>
                    </pic:cNvPicPr>
                  </pic:nvPicPr>
                  <pic:blipFill>
                    <a:blip r:embed="rId5"/>
                    <a:stretch>
                      <a:fillRect/>
                    </a:stretch>
                  </pic:blipFill>
                  <pic:spPr>
                    <a:xfrm>
                      <a:off x="0" y="0"/>
                      <a:ext cx="2653030" cy="282321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center"/>
        <w:textAlignment w:val="auto"/>
        <w:outlineLvl w:val="9"/>
        <w:rPr>
          <w:rFonts w:hint="eastAsia" w:ascii="楷体" w:hAnsi="楷体" w:eastAsia="楷体" w:cs="楷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楷体" w:hAnsi="楷体" w:eastAsia="楷体" w:cs="楷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街道严格按照相关文件精神，坚持“公开为常态、不公开为例外”的原则，结合工作实际，完善政府信息管理机制。一是进一步完善政务信息常态化管理机制，政务信息审核、公开、存档等制度，确保涉密信息不公开，公开信息不涉密；二是进一步明确政府信息公开的范围、内容、形式，特别针对公开项目的不同情况，确定公开时间，做到常规性工作定期公开，临时性工作随时公开，固定性工作长期公开，坚持把群众最关心、最需要了解的事项作为政府信息公开的重点，加大推行政府信息公开的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sz w:val="32"/>
          <w:szCs w:val="32"/>
          <w:lang w:eastAsia="zh-CN"/>
        </w:rPr>
        <w:t>（四）政府信息公开</w:t>
      </w:r>
      <w:r>
        <w:rPr>
          <w:rFonts w:hint="eastAsia" w:ascii="楷体" w:hAnsi="楷体" w:eastAsia="楷体" w:cs="楷体"/>
          <w:sz w:val="32"/>
          <w:szCs w:val="32"/>
        </w:rPr>
        <w:t>平台建设情况。</w:t>
      </w:r>
      <w:r>
        <w:rPr>
          <w:rFonts w:hint="eastAsia" w:ascii="仿宋_GB2312" w:hAnsi="仿宋_GB2312" w:eastAsia="仿宋_GB2312" w:cs="仿宋_GB2312"/>
          <w:kern w:val="2"/>
          <w:sz w:val="32"/>
          <w:szCs w:val="32"/>
          <w:lang w:val="en-US" w:eastAsia="zh-CN" w:bidi="ar-SA"/>
        </w:rPr>
        <w:t>我街道依托“淄博市张店区人民政府”门户网站平台，通过“融公开工作台”及 “智慧马尚便民服务平台”公众号及时更新和发布各类信息。在街道便民服务中心设置政务信息公开栏，对政务信息、政府文件进行公开。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0"/>
          <w:sz w:val="32"/>
          <w:szCs w:val="32"/>
          <w:lang w:eastAsia="zh-CN"/>
        </w:rPr>
        <w:t>（五）</w:t>
      </w:r>
      <w:r>
        <w:rPr>
          <w:rFonts w:hint="eastAsia" w:ascii="楷体" w:hAnsi="楷体" w:eastAsia="楷体" w:cs="楷体"/>
          <w:kern w:val="0"/>
          <w:sz w:val="32"/>
          <w:szCs w:val="32"/>
        </w:rPr>
        <w:t>监督保障情况</w:t>
      </w:r>
      <w:r>
        <w:rPr>
          <w:rFonts w:hint="eastAsia" w:ascii="楷体" w:hAnsi="楷体" w:eastAsia="楷体" w:cs="楷体"/>
          <w:kern w:val="0"/>
          <w:sz w:val="32"/>
          <w:szCs w:val="32"/>
          <w:lang w:eastAsia="zh-CN"/>
        </w:rPr>
        <w:t>。</w:t>
      </w:r>
      <w:r>
        <w:rPr>
          <w:rFonts w:hint="eastAsia" w:ascii="仿宋_GB2312" w:hAnsi="仿宋_GB2312" w:eastAsia="仿宋_GB2312" w:cs="仿宋_GB2312"/>
          <w:kern w:val="2"/>
          <w:sz w:val="32"/>
          <w:szCs w:val="32"/>
          <w:lang w:val="en-US" w:eastAsia="zh-CN" w:bidi="ar-SA"/>
        </w:rPr>
        <w:t>一是健全监督指导机制。由党政办不定期对各委办报送重点领域信息公开工作情况进行督查指导，确保责任落实到人。二是完善人员机构设置。党政办公室暨政务公开工作办公室是负责政务公开工作的机构，陈锰同志任办公室主任，李晓同志任办公室副主任，齐琪同志负责政务公开具体工作。三是加强政务公开业务培训。制定《马尚街道2021年政务公开培训计划》，进一步提升政务公开工作的质量和水平。参加上级政务公开工作专题会及业务推进培训会7次，组织全体人员开展政务公开培训2次。</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8"/>
        <w:tblW w:w="8640" w:type="dxa"/>
        <w:tblInd w:w="0" w:type="dxa"/>
        <w:tblLayout w:type="fixed"/>
        <w:tblCellMar>
          <w:top w:w="0" w:type="dxa"/>
          <w:left w:w="108" w:type="dxa"/>
          <w:bottom w:w="0" w:type="dxa"/>
          <w:right w:w="108" w:type="dxa"/>
        </w:tblCellMar>
      </w:tblPr>
      <w:tblGrid>
        <w:gridCol w:w="2292"/>
        <w:gridCol w:w="2294"/>
        <w:gridCol w:w="2293"/>
        <w:gridCol w:w="1761"/>
      </w:tblGrid>
      <w:tr>
        <w:tblPrEx>
          <w:tblLayout w:type="fixed"/>
          <w:tblCellMar>
            <w:top w:w="0" w:type="dxa"/>
            <w:left w:w="108" w:type="dxa"/>
            <w:bottom w:w="0" w:type="dxa"/>
            <w:right w:w="108" w:type="dxa"/>
          </w:tblCellMar>
        </w:tblPrEx>
        <w:trPr>
          <w:trHeight w:val="488" w:hRule="atLeast"/>
        </w:trPr>
        <w:tc>
          <w:tcPr>
            <w:tcW w:w="864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488"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9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9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76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Layout w:type="fixed"/>
          <w:tblCellMar>
            <w:top w:w="0" w:type="dxa"/>
            <w:left w:w="108" w:type="dxa"/>
            <w:bottom w:w="0" w:type="dxa"/>
            <w:right w:w="108" w:type="dxa"/>
          </w:tblCellMar>
        </w:tblPrEx>
        <w:trPr>
          <w:trHeight w:val="488"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9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9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76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11</w:t>
            </w:r>
          </w:p>
        </w:tc>
      </w:tr>
      <w:tr>
        <w:tblPrEx>
          <w:tblLayout w:type="fixed"/>
          <w:tblCellMar>
            <w:top w:w="0" w:type="dxa"/>
            <w:left w:w="108" w:type="dxa"/>
            <w:bottom w:w="0" w:type="dxa"/>
            <w:right w:w="108" w:type="dxa"/>
          </w:tblCellMar>
        </w:tblPrEx>
        <w:trPr>
          <w:trHeight w:val="488"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94"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2293"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761"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488" w:hRule="atLeast"/>
        </w:trPr>
        <w:tc>
          <w:tcPr>
            <w:tcW w:w="864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Layout w:type="fixed"/>
          <w:tblCellMar>
            <w:top w:w="0" w:type="dxa"/>
            <w:left w:w="108" w:type="dxa"/>
            <w:bottom w:w="0" w:type="dxa"/>
            <w:right w:w="108" w:type="dxa"/>
          </w:tblCellMar>
        </w:tblPrEx>
        <w:trPr>
          <w:trHeight w:val="488"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348" w:type="dxa"/>
            <w:gridSpan w:val="3"/>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322"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348" w:type="dxa"/>
            <w:gridSpan w:val="3"/>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488" w:hRule="atLeast"/>
        </w:trPr>
        <w:tc>
          <w:tcPr>
            <w:tcW w:w="864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Layout w:type="fixed"/>
          <w:tblCellMar>
            <w:top w:w="0" w:type="dxa"/>
            <w:left w:w="108" w:type="dxa"/>
            <w:bottom w:w="0" w:type="dxa"/>
            <w:right w:w="108" w:type="dxa"/>
          </w:tblCellMar>
        </w:tblPrEx>
        <w:trPr>
          <w:trHeight w:val="475"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348" w:type="dxa"/>
            <w:gridSpan w:val="3"/>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488"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348" w:type="dxa"/>
            <w:gridSpan w:val="3"/>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488"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348" w:type="dxa"/>
            <w:gridSpan w:val="3"/>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488" w:hRule="atLeast"/>
        </w:trPr>
        <w:tc>
          <w:tcPr>
            <w:tcW w:w="864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488"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348" w:type="dxa"/>
            <w:gridSpan w:val="3"/>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Layout w:type="fixed"/>
          <w:tblCellMar>
            <w:top w:w="0" w:type="dxa"/>
            <w:left w:w="108" w:type="dxa"/>
            <w:bottom w:w="0" w:type="dxa"/>
            <w:right w:w="108" w:type="dxa"/>
          </w:tblCellMar>
        </w:tblPrEx>
        <w:trPr>
          <w:trHeight w:val="546" w:hRule="atLeast"/>
        </w:trPr>
        <w:tc>
          <w:tcPr>
            <w:tcW w:w="2292" w:type="dxa"/>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348" w:type="dxa"/>
            <w:gridSpan w:val="3"/>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spacing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8"/>
        <w:tblW w:w="88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99"/>
        <w:gridCol w:w="1611"/>
        <w:gridCol w:w="2746"/>
        <w:gridCol w:w="530"/>
        <w:gridCol w:w="538"/>
        <w:gridCol w:w="538"/>
        <w:gridCol w:w="694"/>
        <w:gridCol w:w="673"/>
        <w:gridCol w:w="422"/>
        <w:gridCol w:w="6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56" w:hRule="atLeast"/>
          <w:jc w:val="center"/>
        </w:trPr>
        <w:tc>
          <w:tcPr>
            <w:tcW w:w="4756" w:type="dxa"/>
            <w:gridSpan w:val="3"/>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r>
              <w:rPr>
                <w:rFonts w:hint="eastAsia" w:ascii="楷体_GB2312" w:hAnsi="黑体" w:eastAsia="楷体_GB2312"/>
                <w:kern w:val="0"/>
                <w:szCs w:val="21"/>
              </w:rPr>
              <w:t>（本列数据的勾稽关系为：第一项加第二项之和，等于第三项加第四项之和）</w:t>
            </w:r>
          </w:p>
        </w:tc>
        <w:tc>
          <w:tcPr>
            <w:tcW w:w="4044" w:type="dxa"/>
            <w:gridSpan w:val="7"/>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4756" w:type="dxa"/>
            <w:gridSpan w:val="3"/>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30"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自然人</w:t>
            </w:r>
          </w:p>
        </w:tc>
        <w:tc>
          <w:tcPr>
            <w:tcW w:w="2865" w:type="dxa"/>
            <w:gridSpan w:val="5"/>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法人或其他组织</w:t>
            </w:r>
          </w:p>
        </w:tc>
        <w:tc>
          <w:tcPr>
            <w:tcW w:w="64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02" w:hRule="atLeast"/>
          <w:jc w:val="center"/>
        </w:trPr>
        <w:tc>
          <w:tcPr>
            <w:tcW w:w="4756" w:type="dxa"/>
            <w:gridSpan w:val="3"/>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30"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商业企业</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科研机构</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社会公益组织</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法律服务机构</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其他</w:t>
            </w:r>
          </w:p>
        </w:tc>
        <w:tc>
          <w:tcPr>
            <w:tcW w:w="64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4756"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4756"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二、上年结转政府信息公开申请数量</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399"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三、本年度办理结果</w:t>
            </w:r>
          </w:p>
        </w:tc>
        <w:tc>
          <w:tcPr>
            <w:tcW w:w="4357"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（一）予以公开</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357"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0"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（三）不予公开</w:t>
            </w: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5"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71"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1"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0"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0"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70"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5"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（四）无法提供</w:t>
            </w: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5"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2"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1"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（五）不予处理</w:t>
            </w: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50"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0"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33" w:hRule="exac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4.无正当理由大量反复申请</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746"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5.要求行政机关确认或重新</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210" w:firstLineChars="100"/>
              <w:textAlignment w:val="auto"/>
              <w:rPr>
                <w:rFonts w:ascii="仿宋_GB2312" w:hAnsi="黑体" w:eastAsia="仿宋_GB2312"/>
                <w:szCs w:val="21"/>
              </w:rPr>
            </w:pPr>
            <w:r>
              <w:rPr>
                <w:rFonts w:hint="eastAsia" w:ascii="仿宋_GB2312" w:hAnsi="黑体" w:eastAsia="仿宋_GB2312"/>
                <w:kern w:val="0"/>
                <w:szCs w:val="21"/>
              </w:rPr>
              <w:t>出具已获取信息</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39" w:hRule="atLeas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restart"/>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kern w:val="0"/>
                <w:szCs w:val="21"/>
              </w:rPr>
            </w:pPr>
            <w:r>
              <w:rPr>
                <w:rFonts w:hint="eastAsia" w:ascii="黑体" w:hAnsi="黑体" w:eastAsia="黑体"/>
                <w:spacing w:val="-20"/>
                <w:kern w:val="0"/>
                <w:szCs w:val="21"/>
              </w:rPr>
              <w:t>（六）其他处理</w:t>
            </w:r>
          </w:p>
        </w:tc>
        <w:tc>
          <w:tcPr>
            <w:tcW w:w="274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39" w:hRule="atLeas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74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611"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74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3.其他</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399" w:type="dxa"/>
            <w:vMerge w:val="continue"/>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357" w:type="dxa"/>
            <w:gridSpan w:val="2"/>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（七）总计</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35" w:hRule="atLeast"/>
          <w:jc w:val="center"/>
        </w:trPr>
        <w:tc>
          <w:tcPr>
            <w:tcW w:w="4756" w:type="dxa"/>
            <w:gridSpan w:val="3"/>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四、结转下年度继续办理</w:t>
            </w:r>
          </w:p>
        </w:tc>
        <w:tc>
          <w:tcPr>
            <w:tcW w:w="53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38"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94"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7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22"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49" w:type="dxa"/>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spacing w:line="60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tbl>
      <w:tblPr>
        <w:tblStyle w:val="8"/>
        <w:tblW w:w="8820"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87"/>
        <w:gridCol w:w="588"/>
        <w:gridCol w:w="587"/>
        <w:gridCol w:w="587"/>
        <w:gridCol w:w="640"/>
        <w:gridCol w:w="535"/>
        <w:gridCol w:w="588"/>
        <w:gridCol w:w="589"/>
        <w:gridCol w:w="588"/>
        <w:gridCol w:w="588"/>
        <w:gridCol w:w="588"/>
        <w:gridCol w:w="588"/>
        <w:gridCol w:w="589"/>
        <w:gridCol w:w="589"/>
        <w:gridCol w:w="5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4" w:hRule="atLeast"/>
          <w:jc w:val="center"/>
        </w:trPr>
        <w:tc>
          <w:tcPr>
            <w:tcW w:w="2989"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行政复议</w:t>
            </w:r>
          </w:p>
        </w:tc>
        <w:tc>
          <w:tcPr>
            <w:tcW w:w="5831"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1" w:hRule="atLeast"/>
          <w:jc w:val="center"/>
        </w:trPr>
        <w:tc>
          <w:tcPr>
            <w:tcW w:w="587"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rPr>
            </w:pPr>
            <w:r>
              <w:rPr>
                <w:rFonts w:ascii="黑体" w:hAnsi="黑体" w:eastAsia="黑体"/>
                <w:kern w:val="0"/>
                <w:sz w:val="20"/>
                <w:szCs w:val="20"/>
              </w:rPr>
              <w:t>维持</w:t>
            </w:r>
          </w:p>
        </w:tc>
        <w:tc>
          <w:tcPr>
            <w:tcW w:w="588"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43" w:leftChars="-21" w:right="-132" w:rightChars="-63" w:hanging="1"/>
              <w:jc w:val="center"/>
              <w:textAlignment w:val="auto"/>
              <w:rPr>
                <w:rFonts w:ascii="黑体" w:hAnsi="黑体" w:eastAsia="黑体"/>
              </w:rPr>
            </w:pPr>
            <w:r>
              <w:rPr>
                <w:rFonts w:ascii="黑体" w:hAnsi="黑体" w:eastAsia="黑体"/>
                <w:kern w:val="0"/>
                <w:sz w:val="20"/>
                <w:szCs w:val="20"/>
              </w:rPr>
              <w:t>结果纠正</w:t>
            </w:r>
          </w:p>
        </w:tc>
        <w:tc>
          <w:tcPr>
            <w:tcW w:w="587"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2" w:leftChars="-39" w:right="-97" w:rightChars="-46"/>
              <w:jc w:val="center"/>
              <w:textAlignment w:val="auto"/>
              <w:rPr>
                <w:rFonts w:ascii="黑体" w:hAnsi="黑体" w:eastAsia="黑体"/>
              </w:rPr>
            </w:pPr>
            <w:r>
              <w:rPr>
                <w:rFonts w:ascii="黑体" w:hAnsi="黑体" w:eastAsia="黑体"/>
                <w:kern w:val="0"/>
                <w:sz w:val="20"/>
                <w:szCs w:val="20"/>
              </w:rPr>
              <w:t>其他结果</w:t>
            </w:r>
          </w:p>
        </w:tc>
        <w:tc>
          <w:tcPr>
            <w:tcW w:w="587"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rPr>
            </w:pPr>
            <w:r>
              <w:rPr>
                <w:rFonts w:ascii="黑体" w:hAnsi="黑体" w:eastAsia="黑体"/>
                <w:kern w:val="0"/>
                <w:sz w:val="20"/>
                <w:szCs w:val="20"/>
              </w:rPr>
              <w:t>审结</w:t>
            </w:r>
          </w:p>
        </w:tc>
        <w:tc>
          <w:tcPr>
            <w:tcW w:w="640"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kern w:val="0"/>
                <w:sz w:val="20"/>
                <w:szCs w:val="20"/>
              </w:rPr>
            </w:pPr>
            <w:r>
              <w:rPr>
                <w:rFonts w:ascii="黑体" w:hAnsi="黑体" w:eastAsia="黑体"/>
                <w:kern w:val="0"/>
                <w:sz w:val="20"/>
                <w:szCs w:val="20"/>
              </w:rPr>
              <w:t>总</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rPr>
            </w:pPr>
            <w:r>
              <w:rPr>
                <w:rFonts w:ascii="黑体" w:hAnsi="黑体" w:eastAsia="黑体"/>
                <w:kern w:val="0"/>
                <w:sz w:val="20"/>
                <w:szCs w:val="20"/>
              </w:rPr>
              <w:t>计</w:t>
            </w:r>
          </w:p>
        </w:tc>
        <w:tc>
          <w:tcPr>
            <w:tcW w:w="2888"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未经复议直接起诉</w:t>
            </w:r>
          </w:p>
        </w:tc>
        <w:tc>
          <w:tcPr>
            <w:tcW w:w="2943"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7" w:hRule="atLeast"/>
          <w:jc w:val="center"/>
        </w:trPr>
        <w:tc>
          <w:tcPr>
            <w:tcW w:w="58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88"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87"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87"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4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05" w:leftChars="-50" w:right="-126" w:rightChars="-60"/>
              <w:jc w:val="center"/>
              <w:textAlignment w:val="auto"/>
              <w:rPr>
                <w:rFonts w:ascii="黑体" w:hAnsi="黑体" w:eastAsia="黑体"/>
              </w:rPr>
            </w:pPr>
            <w:r>
              <w:rPr>
                <w:rFonts w:ascii="黑体" w:hAnsi="黑体" w:eastAsia="黑体"/>
                <w:kern w:val="0"/>
                <w:sz w:val="20"/>
                <w:szCs w:val="20"/>
              </w:rPr>
              <w:t>结果维持</w:t>
            </w:r>
          </w:p>
        </w:tc>
        <w:tc>
          <w:tcPr>
            <w:tcW w:w="5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6" w:leftChars="-41" w:right="-88" w:rightChars="-42"/>
              <w:jc w:val="center"/>
              <w:textAlignment w:val="auto"/>
              <w:rPr>
                <w:rFonts w:ascii="黑体" w:hAnsi="黑体" w:eastAsia="黑体"/>
              </w:rPr>
            </w:pPr>
            <w:r>
              <w:rPr>
                <w:rFonts w:ascii="黑体" w:hAnsi="黑体" w:eastAsia="黑体"/>
                <w:kern w:val="0"/>
                <w:sz w:val="20"/>
                <w:szCs w:val="20"/>
              </w:rPr>
              <w:t>结果纠正</w:t>
            </w:r>
          </w:p>
        </w:tc>
        <w:tc>
          <w:tcPr>
            <w:tcW w:w="5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rPr>
            </w:pPr>
            <w:r>
              <w:rPr>
                <w:rFonts w:ascii="黑体" w:hAnsi="黑体" w:eastAsia="黑体"/>
                <w:kern w:val="0"/>
                <w:sz w:val="20"/>
                <w:szCs w:val="20"/>
              </w:rPr>
              <w:t>结果</w:t>
            </w:r>
          </w:p>
        </w:tc>
        <w:tc>
          <w:tcPr>
            <w:tcW w:w="5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rPr>
            </w:pPr>
            <w:r>
              <w:rPr>
                <w:rFonts w:ascii="黑体" w:hAnsi="黑体" w:eastAsia="黑体"/>
                <w:kern w:val="0"/>
                <w:sz w:val="20"/>
                <w:szCs w:val="20"/>
              </w:rPr>
              <w:t>审结</w:t>
            </w:r>
          </w:p>
        </w:tc>
        <w:tc>
          <w:tcPr>
            <w:tcW w:w="5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c>
          <w:tcPr>
            <w:tcW w:w="5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99" w:leftChars="-47" w:right="-78" w:rightChars="-37"/>
              <w:jc w:val="center"/>
              <w:textAlignment w:val="auto"/>
              <w:rPr>
                <w:rFonts w:ascii="黑体" w:hAnsi="黑体" w:eastAsia="黑体"/>
              </w:rPr>
            </w:pPr>
            <w:r>
              <w:rPr>
                <w:rFonts w:ascii="黑体" w:hAnsi="黑体" w:eastAsia="黑体"/>
                <w:kern w:val="0"/>
                <w:sz w:val="20"/>
                <w:szCs w:val="20"/>
              </w:rPr>
              <w:t>结果维持</w:t>
            </w:r>
          </w:p>
        </w:tc>
        <w:tc>
          <w:tcPr>
            <w:tcW w:w="5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rPr>
            </w:pPr>
            <w:r>
              <w:rPr>
                <w:rFonts w:ascii="黑体" w:hAnsi="黑体" w:eastAsia="黑体"/>
                <w:kern w:val="0"/>
                <w:sz w:val="20"/>
                <w:szCs w:val="20"/>
              </w:rPr>
              <w:t>纠正</w:t>
            </w:r>
          </w:p>
        </w:tc>
        <w:tc>
          <w:tcPr>
            <w:tcW w:w="5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rPr>
            </w:pPr>
            <w:r>
              <w:rPr>
                <w:rFonts w:ascii="黑体" w:hAnsi="黑体" w:eastAsia="黑体"/>
                <w:kern w:val="0"/>
                <w:sz w:val="20"/>
                <w:szCs w:val="20"/>
              </w:rPr>
              <w:t>结果</w:t>
            </w:r>
          </w:p>
        </w:tc>
        <w:tc>
          <w:tcPr>
            <w:tcW w:w="5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67" w:leftChars="-33" w:right="-105" w:rightChars="-50" w:hanging="2" w:hangingChars="1"/>
              <w:jc w:val="center"/>
              <w:textAlignment w:val="auto"/>
              <w:rPr>
                <w:rFonts w:ascii="黑体" w:hAnsi="黑体" w:eastAsia="黑体"/>
              </w:rPr>
            </w:pPr>
            <w:r>
              <w:rPr>
                <w:rFonts w:ascii="黑体" w:hAnsi="黑体" w:eastAsia="黑体"/>
                <w:kern w:val="0"/>
                <w:sz w:val="20"/>
                <w:szCs w:val="20"/>
              </w:rPr>
              <w:t>尚未审结</w:t>
            </w:r>
          </w:p>
        </w:tc>
        <w:tc>
          <w:tcPr>
            <w:tcW w:w="5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jc w:val="center"/>
        </w:trPr>
        <w:tc>
          <w:tcPr>
            <w:tcW w:w="58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7"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4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3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89"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lang w:val="en-US" w:eastAsia="zh-CN"/>
              </w:rPr>
            </w:pPr>
            <w:r>
              <w:rPr>
                <w:rFonts w:hint="eastAsia" w:ascii="Times New Roman" w:hAnsi="Times New Roman"/>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b w:val="0"/>
          <w:bCs w:val="0"/>
          <w:kern w:val="0"/>
          <w:sz w:val="32"/>
          <w:szCs w:val="32"/>
          <w:lang w:val="zh-CN" w:eastAsia="zh-CN" w:bidi="zh-CN"/>
        </w:rPr>
      </w:pPr>
      <w:r>
        <w:rPr>
          <w:rFonts w:hint="eastAsia" w:ascii="黑体" w:hAnsi="黑体" w:eastAsia="黑体" w:cs="黑体"/>
          <w:b w:val="0"/>
          <w:bCs w:val="0"/>
          <w:kern w:val="0"/>
          <w:sz w:val="32"/>
          <w:szCs w:val="32"/>
          <w:lang w:val="zh-CN" w:eastAsia="zh-CN" w:bidi="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2021年，我街道信息公开工作在上级有关部门的指导下，开展了大量工作，取得了一定成绩，但仍存在一些问题。</w:t>
      </w:r>
    </w:p>
    <w:p>
      <w:pPr>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i w:val="0"/>
          <w:caps w:val="0"/>
          <w:color w:val="000000"/>
          <w:spacing w:val="0"/>
          <w:sz w:val="32"/>
          <w:szCs w:val="32"/>
          <w:shd w:val="clear" w:fill="FFFFFF"/>
        </w:rPr>
        <w:t>存在的主要问题</w:t>
      </w:r>
      <w:r>
        <w:rPr>
          <w:rFonts w:hint="eastAsia" w:ascii="仿宋_GB2312" w:hAnsi="宋体" w:eastAsia="仿宋_GB2312" w:cs="仿宋_GB2312"/>
          <w:i w:val="0"/>
          <w:caps w:val="0"/>
          <w:color w:val="000000"/>
          <w:spacing w:val="0"/>
          <w:sz w:val="32"/>
          <w:szCs w:val="32"/>
          <w:shd w:val="clear" w:fill="FFFFFF"/>
        </w:rPr>
        <w:t>：</w:t>
      </w:r>
      <w:r>
        <w:rPr>
          <w:rFonts w:hint="eastAsia" w:ascii="仿宋_GB2312" w:hAnsi="宋体" w:eastAsia="仿宋_GB2312" w:cs="仿宋_GB2312"/>
          <w:i w:val="0"/>
          <w:caps w:val="0"/>
          <w:color w:val="000000"/>
          <w:spacing w:val="0"/>
          <w:sz w:val="32"/>
          <w:szCs w:val="32"/>
          <w:shd w:val="clear" w:fill="FFFFFF"/>
          <w:lang w:eastAsia="zh-CN"/>
        </w:rPr>
        <w:t>一</w:t>
      </w:r>
      <w:r>
        <w:rPr>
          <w:rFonts w:hint="eastAsia" w:ascii="仿宋_GB2312" w:hAnsi="仿宋_GB2312" w:eastAsia="仿宋_GB2312" w:cs="仿宋_GB2312"/>
          <w:sz w:val="32"/>
          <w:szCs w:val="32"/>
          <w:lang w:val="en-US" w:eastAsia="zh-CN"/>
        </w:rPr>
        <w:t>是各委办间对街道政务信息报送协作有待加强，导致了信息公开的不全面不及时，部分村居社区重视不够，上报的工作信息存在滞后性。二是政府公开的信息内容和质量还有待提高，存在重表面内容,轻实质问题的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楷体_GB2312" w:hAnsi="微软雅黑" w:eastAsia="楷体_GB2312" w:cs="楷体_GB2312"/>
          <w:i w:val="0"/>
          <w:caps w:val="0"/>
          <w:color w:val="000000"/>
          <w:spacing w:val="0"/>
          <w:sz w:val="32"/>
          <w:szCs w:val="32"/>
          <w:shd w:val="clear" w:fill="FFFFFF"/>
          <w:lang w:eastAsia="zh-CN"/>
        </w:rPr>
      </w:pPr>
      <w:r>
        <w:rPr>
          <w:rFonts w:hint="eastAsia" w:ascii="楷体_GB2312" w:hAnsi="微软雅黑" w:eastAsia="楷体_GB2312" w:cs="楷体_GB2312"/>
          <w:i w:val="0"/>
          <w:caps w:val="0"/>
          <w:color w:val="000000"/>
          <w:spacing w:val="0"/>
          <w:sz w:val="32"/>
          <w:szCs w:val="32"/>
          <w:shd w:val="clear" w:fill="FFFFFF"/>
        </w:rPr>
        <w:t>2、改进措施</w:t>
      </w:r>
      <w:r>
        <w:rPr>
          <w:rFonts w:hint="eastAsia" w:ascii="楷体_GB2312" w:hAnsi="微软雅黑" w:eastAsia="楷体_GB2312" w:cs="楷体_GB2312"/>
          <w:i w:val="0"/>
          <w:caps w:val="0"/>
          <w:color w:val="000000"/>
          <w:spacing w:val="0"/>
          <w:sz w:val="32"/>
          <w:szCs w:val="32"/>
          <w:shd w:val="clear" w:fill="FFFFFF"/>
          <w:lang w:eastAsia="zh-CN"/>
        </w:rPr>
        <w:t>：</w:t>
      </w:r>
      <w:r>
        <w:rPr>
          <w:rFonts w:hint="eastAsia" w:ascii="仿宋_GB2312" w:hAnsi="仿宋_GB2312" w:eastAsia="仿宋_GB2312" w:cs="仿宋_GB2312"/>
          <w:sz w:val="32"/>
          <w:szCs w:val="32"/>
          <w:lang w:val="en-US" w:eastAsia="zh-CN"/>
        </w:rPr>
        <w:t>下一步，我街道将继续坚持既有的政务公开工作规范和准则。一是坚持开展相关工作业务培训和思想意识提升，延伸政务公开工作基本框</w:t>
      </w:r>
      <w:r>
        <w:rPr>
          <w:rFonts w:hint="eastAsia" w:ascii="仿宋_GB2312" w:hAnsi="仿宋_GB2312" w:eastAsia="仿宋_GB2312" w:cs="仿宋_GB2312"/>
          <w:kern w:val="2"/>
          <w:sz w:val="32"/>
          <w:szCs w:val="32"/>
          <w:lang w:val="en-US" w:eastAsia="zh-CN" w:bidi="ar-SA"/>
        </w:rPr>
        <w:t>架，努力形成高效工作模式，在已有的工作成绩基础上继续提升，不断提高政务信息公开工作的质量和水平。二是增加公开内容，加快公开频次，提高公开质量，延续高标准，实现新要求，提升重点领域信息公开常态化、标准化、规范化水平，不断提升群众满意度和获</w:t>
      </w:r>
      <w:r>
        <w:rPr>
          <w:rFonts w:hint="eastAsia" w:ascii="仿宋_GB2312" w:hAnsi="仿宋_GB2312" w:eastAsia="仿宋_GB2312" w:cs="仿宋_GB2312"/>
          <w:sz w:val="32"/>
          <w:szCs w:val="32"/>
          <w:lang w:val="en-US" w:eastAsia="zh-CN"/>
        </w:rPr>
        <w:t>得感。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shd w:val="clear" w:fill="FFFFFF"/>
          <w:lang w:eastAsia="zh-CN"/>
        </w:rPr>
        <w:t>六</w:t>
      </w:r>
      <w:r>
        <w:rPr>
          <w:rFonts w:ascii="黑体" w:hAnsi="宋体" w:eastAsia="黑体" w:cs="黑体"/>
          <w:i w:val="0"/>
          <w:caps w:val="0"/>
          <w:color w:val="000000"/>
          <w:spacing w:val="0"/>
          <w:sz w:val="32"/>
          <w:szCs w:val="32"/>
          <w:shd w:val="clear" w:fill="FFFFFF"/>
        </w:rPr>
        <w:t>、其他需要报告事项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宋体" w:eastAsia="仿宋_GB2312" w:cs="仿宋_GB2312"/>
          <w:i w:val="0"/>
          <w:caps w:val="0"/>
          <w:color w:val="000000"/>
          <w:spacing w:val="0"/>
          <w:sz w:val="32"/>
          <w:szCs w:val="32"/>
          <w:shd w:val="clear" w:fill="FFFFFF"/>
          <w:lang w:val="en-US" w:eastAsia="zh-CN"/>
        </w:rPr>
      </w:pPr>
      <w:r>
        <w:rPr>
          <w:rFonts w:hint="eastAsia" w:ascii="仿宋_GB2312" w:hAnsi="微软雅黑" w:eastAsia="仿宋_GB2312" w:cs="仿宋_GB2312"/>
          <w:i w:val="0"/>
          <w:caps w:val="0"/>
          <w:color w:val="000000"/>
          <w:spacing w:val="0"/>
          <w:sz w:val="32"/>
          <w:szCs w:val="32"/>
          <w:shd w:val="clear" w:fill="FFFFFF"/>
          <w:lang w:val="en-US" w:eastAsia="zh-CN"/>
        </w:rPr>
        <w:t>2021年，</w:t>
      </w:r>
      <w:bookmarkStart w:id="10" w:name="_GoBack"/>
      <w:bookmarkEnd w:id="10"/>
      <w:r>
        <w:rPr>
          <w:rFonts w:hint="eastAsia" w:ascii="仿宋_GB2312" w:hAnsi="微软雅黑" w:eastAsia="仿宋_GB2312" w:cs="仿宋_GB2312"/>
          <w:i w:val="0"/>
          <w:caps w:val="0"/>
          <w:color w:val="000000"/>
          <w:spacing w:val="0"/>
          <w:sz w:val="32"/>
          <w:szCs w:val="32"/>
          <w:shd w:val="clear" w:fill="FFFFFF"/>
          <w:lang w:val="en-US" w:eastAsia="zh-CN"/>
        </w:rPr>
        <w:t>我街道未收到人大代表建议和政协提案。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4CAA1"/>
    <w:multiLevelType w:val="singleLevel"/>
    <w:tmpl w:val="96E4CAA1"/>
    <w:lvl w:ilvl="0" w:tentative="0">
      <w:start w:val="1"/>
      <w:numFmt w:val="decimal"/>
      <w:suff w:val="nothing"/>
      <w:lvlText w:val="%1、"/>
      <w:lvlJc w:val="left"/>
    </w:lvl>
  </w:abstractNum>
  <w:abstractNum w:abstractNumId="1">
    <w:nsid w:val="2FE2EA5E"/>
    <w:multiLevelType w:val="singleLevel"/>
    <w:tmpl w:val="2FE2EA5E"/>
    <w:lvl w:ilvl="0" w:tentative="0">
      <w:start w:val="1"/>
      <w:numFmt w:val="chineseCounting"/>
      <w:suff w:val="nothing"/>
      <w:lvlText w:val="（%1）"/>
      <w:lvlJc w:val="left"/>
      <w:rPr>
        <w:rFonts w:hint="eastAsia"/>
      </w:rPr>
    </w:lvl>
  </w:abstractNum>
  <w:abstractNum w:abstractNumId="2">
    <w:nsid w:val="5F478B78"/>
    <w:multiLevelType w:val="singleLevel"/>
    <w:tmpl w:val="5F478B7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15164"/>
    <w:rsid w:val="04E66345"/>
    <w:rsid w:val="064F6076"/>
    <w:rsid w:val="096A0AA9"/>
    <w:rsid w:val="117B0565"/>
    <w:rsid w:val="15BB7BBF"/>
    <w:rsid w:val="18583A62"/>
    <w:rsid w:val="18BF37C9"/>
    <w:rsid w:val="31294A51"/>
    <w:rsid w:val="363A2F4A"/>
    <w:rsid w:val="37A420FB"/>
    <w:rsid w:val="469D1C96"/>
    <w:rsid w:val="4B6C1909"/>
    <w:rsid w:val="4EA037A7"/>
    <w:rsid w:val="5E056964"/>
    <w:rsid w:val="63915164"/>
    <w:rsid w:val="655A15E8"/>
    <w:rsid w:val="68EB0F1E"/>
    <w:rsid w:val="6C7D0B25"/>
    <w:rsid w:val="6D7A112F"/>
    <w:rsid w:val="77071F2D"/>
    <w:rsid w:val="7C37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index 9"/>
    <w:basedOn w:val="1"/>
    <w:next w:val="1"/>
    <w:unhideWhenUsed/>
    <w:qFormat/>
    <w:uiPriority w:val="0"/>
    <w:pPr>
      <w:spacing w:beforeLines="0" w:afterLines="0"/>
      <w:ind w:left="3360"/>
      <w:jc w:val="left"/>
    </w:pPr>
    <w:rPr>
      <w:rFonts w:hint="default" w:ascii="Times New Roman" w:hAnsi="Times New Roman"/>
      <w:sz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2021-01-26T01:07:00Z</dcterms:created>
  <dc:creator>Administrator</dc:creator>
  <cp:lastModifiedBy>猫猫追</cp:lastModifiedBy>
  <dcterms:modified xsi:type="dcterms:W3CDTF">2022-03-09T09:21:27Z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