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i w:val="0"/>
          <w:caps w:val="0"/>
          <w:color w:val="000000"/>
          <w:spacing w:val="0"/>
          <w:sz w:val="28"/>
          <w:szCs w:val="28"/>
          <w:shd w:val="clear" w:fill="FFFFFF"/>
        </w:rPr>
        <w:t xml:space="preserve">  </w:t>
      </w:r>
      <w:r>
        <w:rPr>
          <w:rFonts w:hint="eastAsia" w:ascii="仿宋_GB2312" w:hAnsi="仿宋_GB2312" w:eastAsia="仿宋_GB2312" w:cs="仿宋_GB2312"/>
          <w:i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caps w:val="0"/>
          <w:color w:val="000000"/>
          <w:spacing w:val="0"/>
          <w:sz w:val="28"/>
          <w:szCs w:val="28"/>
          <w:shd w:val="clear" w:fill="FFFFFF"/>
        </w:rPr>
        <w:t>本年报是根据《中华人民共和国政府信息公开条例》要求，由马尚镇政府编制的2012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一、政务信息公开的组织领导和制度建设情况</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根据《中华人民共和国政府信息公开条例》、区政府办公室关于报送政府信息公开工作情况的通知精神，对照区政府信息公开工作要求，我镇积极开展政府信息公开工作，成立了镇政府信息公开工作领导小组，信息公开工作领导小组办公室设在党政办；同时成立了马尚镇信息公开工作小组；对政府信息公开的日常工作进行监督指导。编制了《马尚镇政府信息公开的实施方案》和《马尚镇政府信息目标分解表》，明确了由党政办负责信息公开的推进、指导、协调工作，牵头编制马尚镇信息公开指南、目录和年度报告。为保证政府信息公开规范发展，公布了规范性文件和工作人员行为准则：《计算机与网络维护工作规则》、《网站信息发布管理办法》、《网站安全应急处理预案》等。截止2012年底，本单位政府信息公开工作运行正常。</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二、政府信息主动公开情况</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本单位对公开的政府信息进行了梳理和编目，2012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  </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在主动公开信息工作中，本单位在主动公开政府信息的形式上采用了公开栏、公开资料等多种形式，极大的方便公众了解信息。</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三、依申请公开政府信息情况</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本单位2012年未收到政府信息公开申请。</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四、政府信息公开申请提起行政复议、行政诉讼的情况</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2012年没有被举报、申请提起行政复议、行政诉讼法的情况发生。</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五、政府信息公开保密审查及监督检查情况</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在区政府相关部门的领导下，我镇积极做好政府信息的保密工作，严格做到信息公开组长审查制度，相关部门检查制度，以确保保密信息不外流，公开信息真实有效。</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六、存在的主要问题和改进措施</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（一）存在的主要问题</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1、政府信息公开目录还需进一步完善和细化；</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2、政府信息公开的途径还不够多，渠道还不够通畅，政府部门和市民之间的信息互动还不够；</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3、对涉及本部门的有关资料和数据是否属于涉密，把握不准。</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（二）改进措施</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1、进一步完善信息公开实施细则等基本制度。</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2、加大宣传力度，进一步强调公民参与意识，同时也对政府信息进行监督。</w:t>
      </w:r>
      <w:r>
        <w:rPr>
          <w:rFonts w:hint="eastAsia" w:ascii="仿宋_GB2312" w:hAnsi="仿宋_GB2312" w:eastAsia="仿宋_GB2312" w:cs="仿宋_GB2312"/>
          <w:i w:val="0"/>
          <w:caps w:val="0"/>
          <w:color w:val="000000"/>
          <w:spacing w:val="0"/>
          <w:sz w:val="28"/>
          <w:szCs w:val="28"/>
          <w:shd w:val="clear" w:fill="FFFFFF"/>
        </w:rPr>
        <w:br w:type="textWrapping"/>
      </w:r>
      <w:r>
        <w:rPr>
          <w:rFonts w:hint="eastAsia" w:ascii="仿宋_GB2312" w:hAnsi="仿宋_GB2312" w:eastAsia="仿宋_GB2312" w:cs="仿宋_GB2312"/>
          <w:i w:val="0"/>
          <w:caps w:val="0"/>
          <w:color w:val="000000"/>
          <w:spacing w:val="0"/>
          <w:sz w:val="28"/>
          <w:szCs w:val="28"/>
          <w:shd w:val="clear" w:fill="FFFFFF"/>
        </w:rPr>
        <w:t>      3、进一步加大培训和学习力度，对保密信息进行分类，进一步把握“公开”与“保密”的尺度。</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B5D0F"/>
    <w:rsid w:val="63D97BD1"/>
    <w:rsid w:val="6C6B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1125</Words>
  <Characters>1162</Characters>
  <Lines>0</Lines>
  <Paragraphs>0</Paragraphs>
  <TotalTime>7</TotalTime>
  <ScaleCrop>false</ScaleCrop>
  <LinksUpToDate>false</LinksUpToDate>
  <CharactersWithSpaces>1307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2020-12-23T01:26:00Z</dcterms:created>
  <dc:creator>沐灵舒</dc:creator>
  <cp:lastModifiedBy>沐灵舒</cp:lastModifiedBy>
  <dcterms:modified xsi:type="dcterms:W3CDTF">2020-12-23T01:33:49Z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