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张店区科学技术局</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201</w:t>
      </w:r>
      <w:r>
        <w:rPr>
          <w:rFonts w:hint="eastAsia" w:ascii="方正小标宋简体" w:hAnsi="方正小标宋简体" w:eastAsia="方正小标宋简体" w:cs="方正小标宋简体"/>
          <w:sz w:val="44"/>
          <w:szCs w:val="44"/>
          <w:lang w:val="en-US" w:eastAsia="zh-CN"/>
        </w:rPr>
        <w:t>9</w:t>
      </w:r>
      <w:r>
        <w:rPr>
          <w:rFonts w:hint="eastAsia" w:ascii="方正小标宋简体" w:hAnsi="方正小标宋简体" w:eastAsia="方正小标宋简体" w:cs="方正小标宋简体"/>
          <w:sz w:val="44"/>
          <w:szCs w:val="44"/>
        </w:rPr>
        <w:t>年政府信息公开工作年度报告</w:t>
      </w:r>
    </w:p>
    <w:p>
      <w:pPr>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本年报是按照</w:t>
      </w:r>
      <w:r>
        <w:rPr>
          <w:rFonts w:hint="default" w:ascii="Times New Roman" w:hAnsi="Times New Roman" w:eastAsia="仿宋_GB2312" w:cs="Times New Roman"/>
          <w:sz w:val="32"/>
          <w:szCs w:val="32"/>
        </w:rPr>
        <w:t>《中华人民共和国政府信息公开条例》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《山东省政府信息公开办法》有关规定</w:t>
      </w:r>
      <w:r>
        <w:rPr>
          <w:rFonts w:hint="default" w:ascii="Times New Roman" w:hAnsi="Times New Roman" w:eastAsia="仿宋_GB2312" w:cs="Times New Roman"/>
          <w:sz w:val="32"/>
          <w:szCs w:val="32"/>
          <w:lang w:eastAsia="zh-CN"/>
        </w:rPr>
        <w:t>和区政府信息公开工作统一部署</w:t>
      </w:r>
      <w:r>
        <w:rPr>
          <w:rFonts w:hint="default" w:ascii="Times New Roman" w:hAnsi="Times New Roman" w:eastAsia="仿宋_GB2312" w:cs="Times New Roman"/>
          <w:sz w:val="32"/>
          <w:szCs w:val="32"/>
        </w:rPr>
        <w:t>要求</w:t>
      </w:r>
      <w:r>
        <w:rPr>
          <w:rFonts w:hint="default" w:ascii="Times New Roman" w:hAnsi="Times New Roman" w:eastAsia="仿宋_GB2312" w:cs="Times New Roman"/>
          <w:sz w:val="32"/>
          <w:szCs w:val="32"/>
          <w:lang w:eastAsia="zh-CN"/>
        </w:rPr>
        <w:t>，由</w:t>
      </w:r>
      <w:r>
        <w:rPr>
          <w:rFonts w:hint="eastAsia" w:ascii="Times New Roman" w:hAnsi="Times New Roman" w:eastAsia="仿宋_GB2312" w:cs="Times New Roman"/>
          <w:sz w:val="32"/>
          <w:szCs w:val="32"/>
          <w:lang w:eastAsia="zh-CN"/>
        </w:rPr>
        <w:t>张店区</w:t>
      </w:r>
      <w:r>
        <w:rPr>
          <w:rFonts w:hint="default" w:ascii="Times New Roman" w:hAnsi="Times New Roman" w:eastAsia="仿宋_GB2312" w:cs="Times New Roman"/>
          <w:sz w:val="32"/>
          <w:szCs w:val="32"/>
          <w:lang w:eastAsia="zh-CN"/>
        </w:rPr>
        <w:t>科学技术局编制</w:t>
      </w:r>
      <w:r>
        <w:rPr>
          <w:rFonts w:hint="eastAsia" w:ascii="Times New Roman" w:hAnsi="Times New Roman" w:eastAsia="仿宋_GB2312" w:cs="Times New Roman"/>
          <w:sz w:val="32"/>
          <w:szCs w:val="32"/>
          <w:lang w:eastAsia="zh-CN"/>
        </w:rPr>
        <w:t>。</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本年度</w:t>
      </w:r>
      <w:r>
        <w:rPr>
          <w:rFonts w:hint="default" w:ascii="Times New Roman" w:hAnsi="Times New Roman" w:eastAsia="仿宋_GB2312" w:cs="Times New Roman"/>
          <w:sz w:val="32"/>
          <w:szCs w:val="32"/>
        </w:rPr>
        <w:t>报告中所列数据的统计时限</w:t>
      </w:r>
      <w:r>
        <w:rPr>
          <w:rFonts w:hint="default" w:ascii="Times New Roman" w:hAnsi="Times New Roman" w:eastAsia="仿宋_GB2312" w:cs="Times New Roman"/>
          <w:sz w:val="32"/>
          <w:szCs w:val="32"/>
          <w:lang w:eastAsia="zh-CN"/>
        </w:rPr>
        <w:t>为</w:t>
      </w:r>
      <w:r>
        <w:rPr>
          <w:rFonts w:hint="default" w:ascii="Times New Roman" w:hAnsi="Times New Roman" w:eastAsia="仿宋_GB2312" w:cs="Times New Roman"/>
          <w:sz w:val="32"/>
          <w:szCs w:val="32"/>
        </w:rPr>
        <w:t>201</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年1月1日起至201</w:t>
      </w: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年12月31日。</w:t>
      </w:r>
      <w:r>
        <w:rPr>
          <w:rFonts w:hint="default" w:ascii="Times New Roman" w:hAnsi="Times New Roman" w:eastAsia="仿宋_GB2312" w:cs="Times New Roman"/>
          <w:sz w:val="32"/>
          <w:szCs w:val="32"/>
          <w:lang w:val="en-US" w:eastAsia="zh-CN"/>
        </w:rPr>
        <w:t>本报告电子版可在淄博市张店区人民政府门户网站区级部门单位信息公开版块查阅或下载（网址：http://www.zhangdian.gov.cn）</w:t>
      </w:r>
      <w:r>
        <w:rPr>
          <w:rFonts w:hint="default" w:ascii="Times New Roman" w:hAnsi="Times New Roman" w:eastAsia="仿宋_GB2312" w:cs="Times New Roman"/>
          <w:sz w:val="32"/>
          <w:szCs w:val="32"/>
        </w:rPr>
        <w:t>如对本报告有任何疑问，请联系:张店区科学技术局办公室，地址：张店区新村西路226号张店区政务中心，邮编：255000，Email:</w:t>
      </w:r>
      <w:r>
        <w:rPr>
          <w:rFonts w:hint="default" w:ascii="Times New Roman" w:hAnsi="Times New Roman" w:eastAsia="仿宋_GB2312" w:cs="Times New Roman"/>
          <w:sz w:val="32"/>
          <w:szCs w:val="32"/>
          <w:lang w:val="en-US" w:eastAsia="zh-CN"/>
        </w:rPr>
        <w:t>zdqkjjbgs@zb.shandong.cn</w:t>
      </w:r>
      <w:r>
        <w:rPr>
          <w:rFonts w:hint="default" w:ascii="Times New Roman" w:hAnsi="Times New Roman" w:eastAsia="仿宋_GB2312" w:cs="Times New Roman"/>
          <w:sz w:val="32"/>
          <w:szCs w:val="32"/>
        </w:rPr>
        <w:t>，联系电话：0533-2869907。</w:t>
      </w:r>
    </w:p>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政府信息公开工作基本情况</w:t>
      </w:r>
    </w:p>
    <w:p>
      <w:pPr>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2019年，在区委、区政府的领导下，张店区科学技术局认真开展政府信息公开工作，全面落实“五公开”工作机制。以公开、便民、勤政、廉洁、高效为基本要求，优化政务服务，</w:t>
      </w:r>
      <w:r>
        <w:rPr>
          <w:rFonts w:hint="eastAsia" w:ascii="仿宋_GB2312" w:hAnsi="仿宋_GB2312" w:eastAsia="仿宋_GB2312" w:cs="仿宋_GB2312"/>
          <w:sz w:val="32"/>
          <w:szCs w:val="32"/>
          <w:lang w:eastAsia="zh-CN"/>
        </w:rPr>
        <w:t>全局</w:t>
      </w:r>
      <w:r>
        <w:rPr>
          <w:rFonts w:hint="eastAsia" w:ascii="仿宋_GB2312" w:hAnsi="仿宋_GB2312" w:eastAsia="仿宋_GB2312" w:cs="仿宋_GB2312"/>
          <w:sz w:val="32"/>
          <w:szCs w:val="32"/>
        </w:rPr>
        <w:t>政府信息公开工作运行正常</w:t>
      </w:r>
      <w:r>
        <w:rPr>
          <w:rFonts w:hint="eastAsia" w:ascii="仿宋_GB2312" w:hAnsi="仿宋_GB2312" w:eastAsia="仿宋_GB2312" w:cs="仿宋_GB2312"/>
          <w:sz w:val="32"/>
          <w:szCs w:val="32"/>
          <w:lang w:eastAsia="zh-CN"/>
        </w:rPr>
        <w:t>。</w:t>
      </w:r>
    </w:p>
    <w:p>
      <w:pPr>
        <w:numPr>
          <w:ilvl w:val="0"/>
          <w:numId w:val="2"/>
        </w:numPr>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加强组织领导，落实公开责任。区科技局党组高度重视信息公开工作，及时调整政务公开工作领导小组，明确了职责分工。政务公开工作领导小组定期召开例会，主要</w:t>
      </w:r>
    </w:p>
    <w:p>
      <w:pPr>
        <w:numPr>
          <w:numId w:val="0"/>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领导每半年听取一次工作汇报，确保政务信息和政务公开工作取得实效。开展政务公开培训，年初制定《区科技局</w:t>
      </w:r>
      <w:r>
        <w:rPr>
          <w:rFonts w:hint="eastAsia" w:ascii="仿宋_GB2312" w:hAnsi="仿宋_GB2312" w:eastAsia="仿宋_GB2312" w:cs="仿宋_GB2312"/>
          <w:sz w:val="32"/>
          <w:szCs w:val="32"/>
          <w:lang w:val="en-US" w:eastAsia="zh-CN"/>
        </w:rPr>
        <w:t>政务</w:t>
      </w:r>
    </w:p>
    <w:p>
      <w:pPr>
        <w:numPr>
          <w:ilvl w:val="0"/>
          <w:numId w:val="0"/>
        </w:numPr>
        <w:rPr>
          <w:rFonts w:hint="eastAsia" w:ascii="仿宋_GB2312" w:hAnsi="仿宋_GB2312" w:eastAsia="仿宋_GB2312" w:cs="仿宋_GB2312"/>
          <w:sz w:val="32"/>
          <w:szCs w:val="32"/>
          <w:lang w:eastAsia="zh-CN"/>
        </w:rPr>
      </w:pPr>
      <w:r>
        <w:drawing>
          <wp:anchor distT="0" distB="0" distL="114300" distR="114300" simplePos="0" relativeHeight="251660288" behindDoc="0" locked="0" layoutInCell="1" allowOverlap="1">
            <wp:simplePos x="0" y="0"/>
            <wp:positionH relativeFrom="column">
              <wp:posOffset>222885</wp:posOffset>
            </wp:positionH>
            <wp:positionV relativeFrom="paragraph">
              <wp:posOffset>122555</wp:posOffset>
            </wp:positionV>
            <wp:extent cx="4915535" cy="3525520"/>
            <wp:effectExtent l="0" t="0" r="18415" b="177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915535" cy="352552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信息公开培训计划</w:t>
      </w:r>
      <w:r>
        <w:rPr>
          <w:rFonts w:hint="eastAsia" w:ascii="仿宋_GB2312" w:hAnsi="仿宋_GB2312" w:eastAsia="仿宋_GB2312" w:cs="仿宋_GB2312"/>
          <w:sz w:val="32"/>
          <w:szCs w:val="32"/>
          <w:lang w:eastAsia="zh-CN"/>
        </w:rPr>
        <w:t>》，不断增强干部的政务公开意识和业务</w:t>
      </w:r>
    </w:p>
    <w:p>
      <w:pPr>
        <w:numPr>
          <w:ilvl w:val="0"/>
          <w:numId w:val="0"/>
        </w:numPr>
        <w:rPr>
          <w:rFonts w:hint="eastAsia" w:ascii="仿宋_GB2312" w:hAnsi="仿宋_GB2312" w:eastAsia="仿宋_GB2312" w:cs="仿宋_GB2312"/>
          <w:sz w:val="32"/>
          <w:szCs w:val="32"/>
          <w:lang w:eastAsia="zh-CN"/>
        </w:rPr>
      </w:pPr>
      <w:r>
        <w:drawing>
          <wp:anchor distT="0" distB="0" distL="114300" distR="114300" simplePos="0" relativeHeight="251661312" behindDoc="0" locked="0" layoutInCell="1" allowOverlap="1">
            <wp:simplePos x="0" y="0"/>
            <wp:positionH relativeFrom="column">
              <wp:posOffset>207645</wp:posOffset>
            </wp:positionH>
            <wp:positionV relativeFrom="paragraph">
              <wp:posOffset>1113155</wp:posOffset>
            </wp:positionV>
            <wp:extent cx="4627880" cy="3846830"/>
            <wp:effectExtent l="0" t="0" r="1270" b="127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627880" cy="384683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水平。通过全员宣传培训、业务能力培训、保密重点培训、组织经验交流等多方面、多维度的培训课程，切实加强了对培训方案的落实和参培人员管理，保障了培训质量。</w:t>
      </w:r>
    </w:p>
    <w:p>
      <w:pPr>
        <w:numPr>
          <w:ilvl w:val="0"/>
          <w:numId w:val="2"/>
        </w:numPr>
        <w:ind w:firstLine="640"/>
        <w:rPr>
          <w:rFonts w:hint="eastAsia" w:ascii="仿宋_GB2312" w:hAnsi="仿宋_GB2312" w:eastAsia="仿宋_GB2312" w:cs="仿宋_GB2312"/>
          <w:sz w:val="32"/>
          <w:szCs w:val="32"/>
          <w:lang w:eastAsia="zh-CN"/>
        </w:rPr>
      </w:pPr>
      <w:r>
        <w:drawing>
          <wp:anchor distT="0" distB="0" distL="114300" distR="114300" simplePos="0" relativeHeight="251658240" behindDoc="0" locked="0" layoutInCell="1" allowOverlap="1">
            <wp:simplePos x="0" y="0"/>
            <wp:positionH relativeFrom="column">
              <wp:posOffset>-159385</wp:posOffset>
            </wp:positionH>
            <wp:positionV relativeFrom="paragraph">
              <wp:posOffset>1711960</wp:posOffset>
            </wp:positionV>
            <wp:extent cx="5539740" cy="5060950"/>
            <wp:effectExtent l="0" t="0" r="381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39740" cy="506095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深化公开内容，打造阳光政府。围绕中央、省、市、区政务公开工作重点，将公开的政府信息划分为</w:t>
      </w:r>
      <w:r>
        <w:rPr>
          <w:rFonts w:hint="eastAsia" w:ascii="仿宋_GB2312" w:hAnsi="仿宋_GB2312" w:eastAsia="仿宋_GB2312" w:cs="仿宋_GB2312"/>
          <w:sz w:val="32"/>
          <w:szCs w:val="32"/>
          <w:lang w:val="en-US" w:eastAsia="zh-CN"/>
        </w:rPr>
        <w:t>16个类别，制定了《2019年张店区科技局政务公开工作实施方案》。围绕科技创新、新旧动能转换、权责清单、建议提案办理结</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果等重大部署；围绕机构改革、财政预决算、规划计划等重点领域；围绕政府会议、法规公文、政策解读等方面做了安排部署。对部门业务工作及时公开，将区内申报英才计划、科学技术奖等情况予以公示，更好保障人民群众的知情权、参与权、表达权和监督权，让人民群众有更好的获得感、幸</w:t>
      </w:r>
    </w:p>
    <w:p>
      <w:pPr>
        <w:numPr>
          <w:ilvl w:val="0"/>
          <w:numId w:val="0"/>
        </w:numPr>
        <w:rPr>
          <w:rFonts w:hint="eastAsia" w:ascii="仿宋_GB2312" w:hAnsi="仿宋_GB2312" w:eastAsia="仿宋_GB2312" w:cs="仿宋_GB2312"/>
          <w:sz w:val="32"/>
          <w:szCs w:val="32"/>
          <w:lang w:eastAsia="zh-CN"/>
        </w:rPr>
      </w:pPr>
      <w:r>
        <w:drawing>
          <wp:anchor distT="0" distB="0" distL="114300" distR="114300" simplePos="0" relativeHeight="251659264" behindDoc="0" locked="0" layoutInCell="1" allowOverlap="1">
            <wp:simplePos x="0" y="0"/>
            <wp:positionH relativeFrom="column">
              <wp:posOffset>-18415</wp:posOffset>
            </wp:positionH>
            <wp:positionV relativeFrom="paragraph">
              <wp:posOffset>276860</wp:posOffset>
            </wp:positionV>
            <wp:extent cx="4943475" cy="4424680"/>
            <wp:effectExtent l="0" t="0" r="9525" b="1397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943475" cy="442468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福感、安全感。</w:t>
      </w:r>
    </w:p>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主动公开政府信息情况</w:t>
      </w:r>
    </w:p>
    <w:p>
      <w:pPr>
        <w:numPr>
          <w:ilvl w:val="0"/>
          <w:numId w:val="0"/>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2019年，区科技局坚持把张店区人民政府网站作为第一公开平台，优化了栏目设置，根据《条例》等有关规定，以及时、完整、准确为原则，及时在网站公开重要科技创新、高新技术企业、科技型中小企业等方面的相关政策及执行情况。本年度通过门户网站、“张店科技”微信公众号新增公开发布信息数达93条。</w:t>
      </w:r>
    </w:p>
    <w:p>
      <w:pPr>
        <w:numPr>
          <w:ilvl w:val="0"/>
          <w:numId w:val="0"/>
        </w:numPr>
        <w:rPr>
          <w:rFonts w:hint="eastAsia" w:ascii="黑体" w:hAnsi="黑体" w:eastAsia="黑体" w:cs="黑体"/>
          <w:sz w:val="32"/>
          <w:szCs w:val="32"/>
          <w:lang w:eastAsia="zh-CN"/>
        </w:rPr>
      </w:pPr>
    </w:p>
    <w:tbl>
      <w:tblPr>
        <w:tblStyle w:val="4"/>
        <w:tblW w:w="8708" w:type="dxa"/>
        <w:jc w:val="center"/>
        <w:shd w:val="clear" w:color="auto" w:fill="FFFFFF" w:themeFill="background1"/>
        <w:tblLayout w:type="fixed"/>
        <w:tblCellMar>
          <w:top w:w="0" w:type="dxa"/>
          <w:left w:w="0" w:type="dxa"/>
          <w:bottom w:w="0" w:type="dxa"/>
          <w:right w:w="0" w:type="dxa"/>
        </w:tblCellMar>
      </w:tblPr>
      <w:tblGrid>
        <w:gridCol w:w="3073"/>
        <w:gridCol w:w="17"/>
        <w:gridCol w:w="2095"/>
        <w:gridCol w:w="1505"/>
        <w:gridCol w:w="2018"/>
      </w:tblGrid>
      <w:tr>
        <w:tblPrEx>
          <w:shd w:val="clear" w:color="auto" w:fill="FFFFFF" w:themeFill="background1"/>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sz w:val="24"/>
              </w:rPr>
            </w:pPr>
            <w:r>
              <w:rPr>
                <w:rFonts w:hint="eastAsia" w:asciiTheme="minorEastAsia" w:hAnsiTheme="minorEastAsia" w:cstheme="minorEastAsia"/>
                <w:color w:val="000000"/>
                <w:kern w:val="0"/>
                <w:sz w:val="24"/>
              </w:rPr>
              <w:t>第二十条第（一）项</w:t>
            </w:r>
          </w:p>
        </w:tc>
      </w:tr>
      <w:tr>
        <w:tblPrEx>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公开数量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对外公开</w:t>
            </w:r>
          </w:p>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总数量</w:t>
            </w:r>
          </w:p>
        </w:tc>
      </w:tr>
      <w:tr>
        <w:tblPrEx>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规章</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r>
      <w:tr>
        <w:tblPrEx>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规范性文件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行政许可</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其他对外管理服务事项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行政处罚</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r>
      <w:tr>
        <w:tblPrEx>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行政强制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行政事业性收费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政府集中采购</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jc w:val="center"/>
              <w:rPr>
                <w:rFonts w:hint="eastAsia" w:eastAsia="宋体" w:asciiTheme="minorEastAsia" w:hAnsi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0</w:t>
            </w:r>
          </w:p>
        </w:tc>
      </w:tr>
    </w:tbl>
    <w:p>
      <w:pPr>
        <w:numPr>
          <w:ilvl w:val="0"/>
          <w:numId w:val="0"/>
        </w:numPr>
        <w:rPr>
          <w:rFonts w:hint="eastAsia" w:ascii="黑体" w:hAnsi="黑体" w:eastAsia="黑体" w:cs="黑体"/>
          <w:sz w:val="32"/>
          <w:szCs w:val="32"/>
          <w:lang w:eastAsia="zh-CN"/>
        </w:rPr>
      </w:pPr>
    </w:p>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收到和处理政府信息公开申请情况</w:t>
      </w:r>
    </w:p>
    <w:p>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一步明确依申请公开制度，对群众依申请公开内容进行核定答复，截至2019年12月31日，共收到自然人依申请公开3件，其中2件给予答复并按自然人要求予以公开，1件不属于科技局业务范围，给予答复并告知救济渠道。办结同意率100%。</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ind w:firstLine="640"/>
        <w:rPr>
          <w:rFonts w:hint="eastAsia" w:ascii="仿宋_GB2312" w:hAnsi="仿宋_GB2312" w:eastAsia="仿宋_GB2312" w:cs="仿宋_GB2312"/>
          <w:sz w:val="32"/>
          <w:szCs w:val="32"/>
          <w:lang w:val="en-US" w:eastAsia="zh-CN"/>
        </w:rPr>
      </w:pPr>
      <w:bookmarkStart w:id="0" w:name="_GoBack"/>
      <w:bookmarkEnd w:id="0"/>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（本列数据的勾稽关系为：第一项加第二项之和，</w:t>
            </w:r>
          </w:p>
          <w:p>
            <w:pPr>
              <w:widowControl/>
              <w:jc w:val="center"/>
              <w:rPr>
                <w:rFonts w:hint="default" w:ascii="Times New Roman" w:hAnsi="Times New Roman" w:cs="Times New Roman"/>
              </w:rPr>
            </w:pPr>
            <w:r>
              <w:rPr>
                <w:rFonts w:hint="default" w:ascii="Times New Roman" w:hAnsi="Times New Roman" w:eastAsia="宋体" w:cs="Times New Roman"/>
                <w:kern w:val="0"/>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hint="default" w:ascii="Times New Roman" w:hAnsi="Times New Roman" w:cs="Times New Roman"/>
              </w:rPr>
            </w:pPr>
            <w:r>
              <w:rPr>
                <w:rFonts w:hint="default" w:ascii="Times New Roman" w:hAnsi="Times New Roman" w:eastAsia="宋体" w:cs="Times New Roman"/>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850"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cs="Times New Roman"/>
              </w:rPr>
            </w:pPr>
            <w:r>
              <w:rPr>
                <w:rFonts w:hint="default" w:ascii="Times New Roman" w:hAnsi="Times New Roman" w:eastAsia="宋体" w:cs="Times New Roman"/>
                <w:kern w:val="0"/>
                <w:sz w:val="20"/>
                <w:szCs w:val="20"/>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hint="default" w:ascii="Times New Roman" w:hAnsi="Times New Roman" w:cs="Times New Roman"/>
              </w:rPr>
            </w:pPr>
            <w:r>
              <w:rPr>
                <w:rFonts w:hint="default" w:ascii="Times New Roman" w:hAnsi="Times New Roman" w:eastAsia="宋体" w:cs="Times New Roman"/>
                <w:kern w:val="0"/>
                <w:sz w:val="20"/>
                <w:szCs w:val="20"/>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cs="Times New Roman"/>
              </w:rPr>
            </w:pPr>
            <w:r>
              <w:rPr>
                <w:rFonts w:hint="default" w:ascii="Times New Roman" w:hAnsi="Times New Roman" w:eastAsia="宋体" w:cs="Times New Roman"/>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850"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rPr>
                <w:rFonts w:hint="default" w:ascii="Times New Roman" w:hAnsi="Times New Roman" w:cs="Times New Roman"/>
              </w:rPr>
            </w:pPr>
            <w:r>
              <w:rPr>
                <w:rFonts w:hint="default" w:ascii="Times New Roman" w:hAnsi="Times New Roman" w:eastAsia="宋体" w:cs="Times New Roman"/>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rPr>
                <w:rFonts w:hint="default" w:ascii="Times New Roman" w:hAnsi="Times New Roman" w:cs="Times New Roman"/>
              </w:rPr>
            </w:pPr>
            <w:r>
              <w:rPr>
                <w:rFonts w:hint="default" w:ascii="Times New Roman" w:hAnsi="Times New Roman" w:eastAsia="宋体" w:cs="Times New Roman"/>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rPr>
                <w:rFonts w:hint="default" w:ascii="Times New Roman" w:hAnsi="Times New Roman" w:cs="Times New Roman"/>
              </w:rPr>
            </w:pPr>
            <w:r>
              <w:rPr>
                <w:rFonts w:hint="default" w:ascii="Times New Roman" w:hAnsi="Times New Roman" w:eastAsia="宋体" w:cs="Times New Roman"/>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rPr>
                <w:rFonts w:hint="default" w:ascii="Times New Roman" w:hAnsi="Times New Roman" w:cs="Times New Roman"/>
              </w:rPr>
            </w:pPr>
            <w:r>
              <w:rPr>
                <w:rFonts w:hint="default" w:ascii="Times New Roman" w:hAnsi="Times New Roman" w:eastAsia="宋体" w:cs="Times New Roman"/>
                <w:kern w:val="0"/>
                <w:sz w:val="20"/>
                <w:szCs w:val="20"/>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rPr>
                <w:rFonts w:hint="default" w:ascii="Times New Roman" w:hAnsi="Times New Roman" w:cs="Times New Roman"/>
              </w:rPr>
            </w:pPr>
            <w:r>
              <w:rPr>
                <w:rFonts w:hint="default" w:ascii="Times New Roman" w:hAnsi="Times New Roman" w:eastAsia="宋体" w:cs="Times New Roman"/>
                <w:kern w:val="0"/>
                <w:sz w:val="20"/>
                <w:szCs w:val="20"/>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cs="Times New Roman"/>
              </w:rPr>
            </w:pPr>
            <w:r>
              <w:rPr>
                <w:rFonts w:hint="default" w:ascii="Times New Roman" w:hAnsi="Times New Roman" w:eastAsia="宋体" w:cs="Times New Roman"/>
                <w:kern w:val="0"/>
                <w:sz w:val="20"/>
                <w:szCs w:val="20"/>
              </w:rPr>
              <w:t>一、本年新收政府信息公开申请数量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cs="Times New Roman"/>
              </w:rPr>
            </w:pPr>
            <w:r>
              <w:rPr>
                <w:rFonts w:hint="default" w:ascii="Times New Roman" w:hAnsi="Times New Roman" w:eastAsia="宋体" w:cs="Times New Roman"/>
                <w:kern w:val="0"/>
                <w:sz w:val="20"/>
                <w:szCs w:val="20"/>
              </w:rPr>
              <w:t>二、上年结转政府信息公开申请数量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r>
              <w:rPr>
                <w:rFonts w:hint="default" w:ascii="Times New Roman" w:hAnsi="Times New Roman" w:eastAsia="宋体" w:cs="Times New Roman"/>
                <w:kern w:val="0"/>
                <w:sz w:val="20"/>
                <w:szCs w:val="20"/>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cs="Times New Roman"/>
              </w:rPr>
            </w:pPr>
            <w:r>
              <w:rPr>
                <w:rFonts w:hint="default" w:ascii="Times New Roman" w:hAnsi="Times New Roman" w:eastAsia="楷体" w:cs="Times New Roman"/>
                <w:kern w:val="0"/>
                <w:sz w:val="20"/>
                <w:szCs w:val="20"/>
              </w:rPr>
              <w:t>（一）予以公开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cs="Times New Roman"/>
              </w:rPr>
            </w:pPr>
            <w:r>
              <w:rPr>
                <w:rFonts w:hint="default" w:ascii="Times New Roman" w:hAnsi="Times New Roman" w:eastAsia="楷体" w:cs="Times New Roman"/>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jc w:val="center"/>
              <w:rPr>
                <w:rFonts w:hint="default" w:ascii="Times New Roman" w:hAnsi="Times New Roman" w:cs="Times New Roman"/>
              </w:rPr>
            </w:pPr>
            <w:r>
              <w:rPr>
                <w:rFonts w:hint="default" w:ascii="Times New Roman" w:hAnsi="Times New Roman" w:eastAsia="楷体" w:cs="Times New Roman"/>
                <w:kern w:val="0"/>
                <w:sz w:val="20"/>
                <w:szCs w:val="20"/>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1.属于国家秘密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2.其他法律行政法规禁止公开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3.危及“三安全一稳定”</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4.保护第三方合法权益</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5.属于三类内部事务信息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6.属于四类过程性信息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7.属于行政执法案卷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8.属于行政查询事项</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jc w:val="center"/>
              <w:rPr>
                <w:rFonts w:hint="default" w:ascii="Times New Roman" w:hAnsi="Times New Roman" w:cs="Times New Roman"/>
              </w:rPr>
            </w:pPr>
            <w:r>
              <w:rPr>
                <w:rFonts w:hint="default" w:ascii="Times New Roman" w:hAnsi="Times New Roman" w:eastAsia="楷体" w:cs="Times New Roman"/>
                <w:kern w:val="0"/>
                <w:sz w:val="20"/>
                <w:szCs w:val="20"/>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1.本机关不掌握相关政府信息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2.没有现成信息需要另行制作</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3.补正后申请内容仍不明确</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jc w:val="center"/>
              <w:rPr>
                <w:rFonts w:hint="default" w:ascii="Times New Roman" w:hAnsi="Times New Roman" w:cs="Times New Roman"/>
              </w:rPr>
            </w:pPr>
            <w:r>
              <w:rPr>
                <w:rFonts w:hint="default" w:ascii="Times New Roman" w:hAnsi="Times New Roman" w:eastAsia="楷体" w:cs="Times New Roman"/>
                <w:kern w:val="0"/>
                <w:sz w:val="20"/>
                <w:szCs w:val="20"/>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1.信访举报投诉类申请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2.重复申请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cs="Times New Roman"/>
              </w:rPr>
            </w:pPr>
            <w:r>
              <w:rPr>
                <w:rFonts w:hint="default" w:ascii="Times New Roman" w:hAnsi="Times New Roman" w:eastAsia="楷体" w:cs="Times New Roman"/>
                <w:kern w:val="0"/>
                <w:sz w:val="20"/>
                <w:szCs w:val="20"/>
              </w:rPr>
              <w:t>3.要求提供公开出版物</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cs="Times New Roman"/>
              </w:rPr>
            </w:pPr>
            <w:r>
              <w:rPr>
                <w:rFonts w:hint="default" w:ascii="Times New Roman" w:hAnsi="Times New Roman" w:eastAsia="楷体" w:cs="Times New Roman"/>
                <w:kern w:val="0"/>
                <w:sz w:val="20"/>
                <w:szCs w:val="20"/>
              </w:rPr>
              <w:t>4.无正当理由大量反复申请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jc w:val="center"/>
              <w:rPr>
                <w:rFonts w:hint="default"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楷体" w:cs="Times New Roman"/>
                <w:kern w:val="0"/>
                <w:sz w:val="20"/>
                <w:szCs w:val="20"/>
              </w:rPr>
            </w:pPr>
            <w:r>
              <w:rPr>
                <w:rFonts w:hint="default" w:ascii="Times New Roman" w:hAnsi="Times New Roman" w:eastAsia="楷体" w:cs="Times New Roman"/>
                <w:kern w:val="0"/>
                <w:sz w:val="20"/>
                <w:szCs w:val="20"/>
              </w:rPr>
              <w:t>5.要求行政机关确认或重新</w:t>
            </w:r>
          </w:p>
          <w:p>
            <w:pPr>
              <w:widowControl/>
              <w:spacing w:line="300" w:lineRule="exact"/>
              <w:ind w:firstLine="200" w:firstLineChars="100"/>
              <w:jc w:val="center"/>
              <w:rPr>
                <w:rFonts w:hint="default" w:ascii="Times New Roman" w:hAnsi="Times New Roman" w:cs="Times New Roman"/>
              </w:rPr>
            </w:pPr>
            <w:r>
              <w:rPr>
                <w:rFonts w:hint="default" w:ascii="Times New Roman" w:hAnsi="Times New Roman" w:eastAsia="楷体" w:cs="Times New Roman"/>
                <w:kern w:val="0"/>
                <w:sz w:val="20"/>
                <w:szCs w:val="20"/>
              </w:rPr>
              <w:t>出具已获取信息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cs="Times New Roman"/>
              </w:rPr>
            </w:pPr>
            <w:r>
              <w:rPr>
                <w:rFonts w:hint="default" w:ascii="Times New Roman" w:hAnsi="Times New Roman" w:eastAsia="楷体" w:cs="Times New Roman"/>
                <w:kern w:val="0"/>
                <w:sz w:val="20"/>
                <w:szCs w:val="20"/>
              </w:rPr>
              <w:t>（六）其他处理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jc w:val="center"/>
              <w:rPr>
                <w:rFonts w:hint="default" w:ascii="Times New Roman" w:hAnsi="Times New Roman" w:cs="Times New Roman"/>
              </w:rPr>
            </w:pPr>
            <w:r>
              <w:rPr>
                <w:rFonts w:hint="default" w:ascii="Times New Roman" w:hAnsi="Times New Roman" w:eastAsia="楷体" w:cs="Times New Roman"/>
                <w:kern w:val="0"/>
                <w:sz w:val="20"/>
                <w:szCs w:val="20"/>
              </w:rPr>
              <w:t>（七）总计</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imes New Roman" w:hAnsi="Times New Roman" w:cs="Times New Roman"/>
              </w:rPr>
            </w:pPr>
            <w:r>
              <w:rPr>
                <w:rFonts w:hint="default" w:ascii="Times New Roman" w:hAnsi="Times New Roman" w:eastAsia="宋体" w:cs="Times New Roman"/>
                <w:kern w:val="0"/>
                <w:sz w:val="20"/>
                <w:szCs w:val="20"/>
              </w:rPr>
              <w:t>四、结转下年度继续办理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default" w:ascii="Times New Roman" w:hAnsi="Times New Roman" w:cs="Times New Roman"/>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0</w:t>
            </w:r>
          </w:p>
        </w:tc>
      </w:tr>
    </w:tbl>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政府信息公开的收费及减免情况</w:t>
      </w:r>
      <w:r>
        <w:rPr>
          <w:rFonts w:hint="eastAsia" w:ascii="黑体" w:hAnsi="黑体" w:eastAsia="黑体" w:cs="黑体"/>
          <w:sz w:val="32"/>
          <w:szCs w:val="32"/>
          <w:lang w:eastAsia="zh-CN"/>
        </w:rPr>
        <w:br w:type="textWrapping"/>
      </w:r>
      <w:r>
        <w:rPr>
          <w:rFonts w:hint="eastAsia" w:ascii="黑体" w:hAnsi="黑体" w:eastAsia="黑体" w:cs="黑体"/>
          <w:sz w:val="32"/>
          <w:szCs w:val="32"/>
          <w:lang w:val="en-US" w:eastAsia="zh-CN"/>
        </w:rPr>
        <w:t xml:space="preserve">   </w:t>
      </w:r>
      <w:r>
        <w:rPr>
          <w:rFonts w:hint="eastAsia" w:ascii="仿宋_GB2312" w:hAnsi="仿宋_GB2312" w:eastAsia="仿宋_GB2312" w:cs="仿宋_GB2312"/>
          <w:sz w:val="32"/>
          <w:szCs w:val="32"/>
          <w:lang w:val="en-US" w:eastAsia="zh-CN"/>
        </w:rPr>
        <w:t xml:space="preserve"> 2019年度，区科学技术局没有收取任何依申请公开信息的费用。</w:t>
      </w:r>
    </w:p>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政府信息公开行政复议、行政诉讼情况</w:t>
      </w:r>
    </w:p>
    <w:p>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2019年度，区科学技术局没有发生因政府信息公开涉及的行政复议、提起行政诉讼情况。</w:t>
      </w: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49" w:leftChars="-71" w:right="-170" w:rightChars="-81"/>
              <w:jc w:val="center"/>
            </w:pPr>
            <w:r>
              <w:rPr>
                <w:rFonts w:hint="eastAsia" w:ascii="宋体" w:hAnsi="宋体" w:eastAsia="宋体" w:cs="宋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pPr>
            <w:r>
              <w:rPr>
                <w:rFonts w:hint="eastAsia" w:ascii="宋体" w:hAnsi="宋体"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pPr>
            <w:r>
              <w:rPr>
                <w:rFonts w:hint="eastAsia" w:ascii="宋体" w:hAnsi="宋体"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18" w:leftChars="-56" w:right="-118" w:rightChars="-56"/>
              <w:jc w:val="center"/>
            </w:pPr>
            <w:r>
              <w:rPr>
                <w:rFonts w:hint="eastAsia" w:ascii="宋体" w:hAnsi="宋体" w:eastAsia="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总</w:t>
            </w:r>
          </w:p>
          <w:p>
            <w:pPr>
              <w:widowControl/>
              <w:spacing w:line="320" w:lineRule="exact"/>
              <w:jc w:val="center"/>
            </w:pPr>
            <w:r>
              <w:rPr>
                <w:rFonts w:hint="eastAsia" w:ascii="宋体" w:hAnsi="宋体" w:eastAsia="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pPr>
            <w:r>
              <w:rPr>
                <w:rFonts w:hint="eastAsia" w:ascii="宋体" w:hAnsi="宋体" w:eastAsia="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hint="eastAsia" w:ascii="宋体" w:hAnsi="宋体" w:eastAsia="宋体" w:cs="宋体"/>
                <w:kern w:val="0"/>
                <w:sz w:val="20"/>
                <w:szCs w:val="20"/>
              </w:rPr>
            </w:pPr>
            <w:r>
              <w:rPr>
                <w:rFonts w:hint="eastAsia" w:ascii="宋体" w:hAnsi="宋体" w:eastAsia="宋体" w:cs="宋体"/>
                <w:kern w:val="0"/>
                <w:sz w:val="20"/>
                <w:szCs w:val="20"/>
              </w:rPr>
              <w:t>其他</w:t>
            </w:r>
          </w:p>
          <w:p>
            <w:pPr>
              <w:widowControl/>
              <w:ind w:left="-126" w:leftChars="-60" w:right="-136" w:rightChars="-65"/>
              <w:jc w:val="center"/>
            </w:pPr>
            <w:r>
              <w:rPr>
                <w:rFonts w:hint="eastAsia" w:ascii="宋体" w:hAnsi="宋体" w:eastAsia="宋体" w:cs="宋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64" w:leftChars="-78" w:right="-153" w:rightChars="-73"/>
              <w:jc w:val="center"/>
            </w:pPr>
            <w:r>
              <w:rPr>
                <w:rFonts w:hint="eastAsia" w:ascii="宋体" w:hAnsi="宋体" w:eastAsia="宋体" w:cs="宋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pPr>
            <w:r>
              <w:rPr>
                <w:rFonts w:hint="eastAsia" w:ascii="宋体" w:hAnsi="宋体"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36" w:leftChars="-65" w:right="-124" w:rightChars="-59"/>
              <w:jc w:val="center"/>
            </w:pPr>
            <w:r>
              <w:rPr>
                <w:rFonts w:hint="eastAsia" w:ascii="宋体" w:hAnsi="宋体" w:eastAsia="宋体" w:cs="宋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其他</w:t>
            </w:r>
          </w:p>
          <w:p>
            <w:pPr>
              <w:widowControl/>
              <w:ind w:left="-173" w:leftChars="-83" w:right="-134" w:rightChars="-64" w:hanging="1"/>
              <w:jc w:val="center"/>
            </w:pPr>
            <w:r>
              <w:rPr>
                <w:rFonts w:hint="eastAsia" w:ascii="宋体" w:hAnsi="宋体" w:eastAsia="宋体" w:cs="宋体"/>
                <w:color w:val="000000"/>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pPr>
            <w:r>
              <w:rPr>
                <w:rFonts w:hint="eastAsia" w:ascii="宋体" w:hAnsi="宋体"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宋体"/>
                <w:lang w:val="en-US" w:eastAsia="zh-CN"/>
              </w:rPr>
            </w:pPr>
            <w:r>
              <w:rPr>
                <w:rFonts w:hint="eastAsia" w:cs="Calibri"/>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宋体"/>
                <w:lang w:val="en-US" w:eastAsia="zh-CN"/>
              </w:rPr>
            </w:pPr>
            <w:r>
              <w:rPr>
                <w:rFonts w:hint="eastAsia" w:cs="Calibri"/>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宋体"/>
                <w:lang w:val="en-US" w:eastAsia="zh-CN"/>
              </w:rPr>
            </w:pPr>
            <w:r>
              <w:rPr>
                <w:rFonts w:hint="eastAsia" w:cs="Calibri"/>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cs="Calibri"/>
                <w:kern w:val="0"/>
                <w:sz w:val="20"/>
                <w:szCs w:val="20"/>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cs="Calibri"/>
                <w:kern w:val="0"/>
                <w:sz w:val="20"/>
                <w:szCs w:val="20"/>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ascii="宋体" w:hAnsi="宋体" w:cs="宋体"/>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ascii="宋体" w:hAnsi="宋体" w:cs="宋体"/>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ascii="宋体" w:hAnsi="宋体" w:cs="宋体"/>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ascii="宋体" w:hAnsi="宋体" w:cs="宋体"/>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ascii="宋体" w:hAnsi="宋体" w:cs="宋体"/>
                <w:color w:val="000000"/>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宋体"/>
                <w:lang w:val="en-US" w:eastAsia="zh-CN"/>
              </w:rPr>
            </w:pPr>
            <w:r>
              <w:rPr>
                <w:rFonts w:hint="eastAsia" w:ascii="宋体" w:hAnsi="宋体" w:cs="宋体"/>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宋体"/>
                <w:lang w:val="en-US" w:eastAsia="zh-CN"/>
              </w:rPr>
            </w:pPr>
            <w:r>
              <w:rPr>
                <w:rFonts w:hint="eastAsia" w:ascii="宋体" w:hAnsi="宋体" w:cs="宋体"/>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ascii="宋体" w:hAnsi="宋体" w:cs="宋体"/>
                <w:color w:val="000000"/>
                <w:kern w:val="0"/>
                <w:sz w:val="20"/>
                <w:szCs w:val="20"/>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宋体"/>
                <w:lang w:val="en-US" w:eastAsia="zh-CN"/>
              </w:rPr>
            </w:pPr>
            <w:r>
              <w:rPr>
                <w:rFonts w:hint="eastAsia" w:ascii="宋体" w:hAnsi="宋体" w:cs="宋体"/>
                <w:kern w:val="0"/>
                <w:sz w:val="20"/>
                <w:szCs w:val="20"/>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宋体" w:eastAsia="宋体"/>
                <w:sz w:val="24"/>
                <w:lang w:val="en-US" w:eastAsia="zh-CN"/>
              </w:rPr>
            </w:pPr>
            <w:r>
              <w:rPr>
                <w:rFonts w:hint="eastAsia" w:ascii="宋体"/>
                <w:sz w:val="24"/>
                <w:lang w:val="en-US" w:eastAsia="zh-CN"/>
              </w:rPr>
              <w:t>0</w:t>
            </w:r>
          </w:p>
        </w:tc>
      </w:tr>
    </w:tbl>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办理人大代表建议、政协委员提案情况</w:t>
      </w:r>
    </w:p>
    <w:p>
      <w:pPr>
        <w:numPr>
          <w:ilvl w:val="0"/>
          <w:numId w:val="0"/>
        </w:numPr>
        <w:ind w:firstLine="420" w:firstLineChars="200"/>
        <w:rPr>
          <w:rFonts w:hint="eastAsia" w:ascii="仿宋_GB2312" w:hAnsi="仿宋_GB2312" w:eastAsia="仿宋_GB2312" w:cs="仿宋_GB2312"/>
          <w:sz w:val="32"/>
          <w:szCs w:val="32"/>
          <w:lang w:eastAsia="zh-CN"/>
        </w:rPr>
      </w:pPr>
      <w:r>
        <w:drawing>
          <wp:anchor distT="0" distB="0" distL="114300" distR="114300" simplePos="0" relativeHeight="251662336" behindDoc="0" locked="0" layoutInCell="1" allowOverlap="1">
            <wp:simplePos x="0" y="0"/>
            <wp:positionH relativeFrom="column">
              <wp:posOffset>386715</wp:posOffset>
            </wp:positionH>
            <wp:positionV relativeFrom="paragraph">
              <wp:posOffset>397510</wp:posOffset>
            </wp:positionV>
            <wp:extent cx="4195445" cy="3917950"/>
            <wp:effectExtent l="0" t="0" r="14605"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195445" cy="391795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区科学技术局2019年承办的人大代表建议</w:t>
      </w:r>
      <w:r>
        <w:rPr>
          <w:rFonts w:hint="eastAsia" w:ascii="仿宋_GB2312" w:hAnsi="仿宋_GB2312" w:eastAsia="仿宋_GB2312" w:cs="仿宋_GB2312"/>
          <w:sz w:val="32"/>
          <w:szCs w:val="32"/>
          <w:lang w:val="en-US" w:eastAsia="zh-CN"/>
        </w:rPr>
        <w:t>1项</w:t>
      </w:r>
      <w:r>
        <w:rPr>
          <w:rFonts w:hint="eastAsia" w:ascii="仿宋_GB2312" w:hAnsi="仿宋_GB2312" w:eastAsia="仿宋_GB2312" w:cs="仿宋_GB2312"/>
          <w:sz w:val="32"/>
          <w:szCs w:val="32"/>
          <w:lang w:eastAsia="zh-CN"/>
        </w:rPr>
        <w:t>、政协提案</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项，均在规定期限内书面答复相关代表及委员，办理情况也在张店区人民政府门户网站公开发布。</w:t>
      </w:r>
    </w:p>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政府信息公开工作存在的主要问题及改进措施</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2019年，张店区科技局政府信息公开工作运行情况良好，取得一定的成绩，但仍存在部分问题和不足，与广大群众的要求还有一定差距，下一步我们将采取以下措施改进：</w:t>
      </w:r>
    </w:p>
    <w:p>
      <w:pPr>
        <w:numPr>
          <w:ilvl w:val="0"/>
          <w:numId w:val="0"/>
        </w:num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一是继续加强政府信息和政务公开工作的领导，完善制度，全力推进政府信息公开工作。二是贯彻实施好《条例》，深化和丰富政府信息和政务公开的内容，注重与群众利益密切相关事项的公示，做到权力事项更加阳光透明。三是创新载体建设，拓宽公开渠道。充分发挥微信公众号新媒体作用，拓宽便民服务通道，以喜闻乐见的形式做好科技政策宣传。四是注重队伍建设，提升能力水平。持续抓好工作人员素质，通过举办培训班和交流活动，提升政府信息公开的业务水平，保障信息公开工作顺利推进。</w:t>
      </w:r>
    </w:p>
    <w:p>
      <w:pPr>
        <w:numPr>
          <w:ilvl w:val="0"/>
          <w:numId w:val="1"/>
        </w:num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其他需要报告的事项</w:t>
      </w:r>
    </w:p>
    <w:p>
      <w:pPr>
        <w:numPr>
          <w:ilvl w:val="0"/>
          <w:numId w:val="0"/>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本单位不存在其他需要报告的内容。</w:t>
      </w:r>
    </w:p>
    <w:p>
      <w:pPr>
        <w:ind w:firstLine="640" w:firstLineChars="200"/>
        <w:rPr>
          <w:rFonts w:hint="eastAsia" w:ascii="Times New Roman" w:hAnsi="Times New Roman" w:eastAsia="仿宋_GB2312" w:cs="Times New Roman"/>
          <w:sz w:val="32"/>
          <w:szCs w:val="32"/>
          <w:lang w:eastAsia="zh-CN"/>
        </w:rPr>
      </w:pPr>
    </w:p>
    <w:sectPr>
      <w:footerReference r:id="rId3" w:type="default"/>
      <w:pgSz w:w="11906" w:h="16838"/>
      <w:pgMar w:top="1327" w:right="1800" w:bottom="1213"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1</w:t>
                          </w:r>
                          <w:r>
                            <w:rPr>
                              <w:rFonts w:hint="default" w:ascii="Times New Roman" w:hAnsi="Times New Roman" w:cs="Times New Roman"/>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i0l3TMICAADWBQAADgAAAAAA&#10;AAABACAAAAAfAQAAZHJzL2Uyb0RvYy54bWxQSwUGAAAAAAYABgBZAQAAUwYAAAAA&#10;">
              <v:fill on="f" focussize="0,0"/>
              <v:stroke on="f" weight="0.5pt"/>
              <v:imagedata o:title=""/>
              <o:lock v:ext="edit" aspectratio="f"/>
              <v:textbox inset="0mm,0mm,0mm,0mm" style="mso-fit-shape-to-text:t;">
                <w:txbxContent>
                  <w:p>
                    <w:pPr>
                      <w:pStyle w:val="2"/>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1</w:t>
                    </w:r>
                    <w:r>
                      <w:rPr>
                        <w:rFonts w:hint="default" w:ascii="Times New Roman" w:hAnsi="Times New Roman" w:cs="Times New Roman"/>
                        <w:sz w:val="21"/>
                        <w:szCs w:val="21"/>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5A21"/>
    <w:multiLevelType w:val="singleLevel"/>
    <w:tmpl w:val="02F85A21"/>
    <w:lvl w:ilvl="0" w:tentative="0">
      <w:start w:val="1"/>
      <w:numFmt w:val="chineseCounting"/>
      <w:suff w:val="nothing"/>
      <w:lvlText w:val="（%1）"/>
      <w:lvlJc w:val="left"/>
      <w:rPr>
        <w:rFonts w:hint="eastAsia"/>
      </w:rPr>
    </w:lvl>
  </w:abstractNum>
  <w:abstractNum w:abstractNumId="1">
    <w:nsid w:val="6A075C0C"/>
    <w:multiLevelType w:val="singleLevel"/>
    <w:tmpl w:val="6A075C0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803274"/>
    <w:rsid w:val="04362736"/>
    <w:rsid w:val="0DC77BB3"/>
    <w:rsid w:val="0EA727E8"/>
    <w:rsid w:val="114805A3"/>
    <w:rsid w:val="1D790411"/>
    <w:rsid w:val="22DB43AB"/>
    <w:rsid w:val="25464047"/>
    <w:rsid w:val="2D803274"/>
    <w:rsid w:val="37A10FCC"/>
    <w:rsid w:val="37EE4D2F"/>
    <w:rsid w:val="3A0F7A08"/>
    <w:rsid w:val="400C3B1F"/>
    <w:rsid w:val="436A0F79"/>
    <w:rsid w:val="4A6C3DFC"/>
    <w:rsid w:val="4BAF27E7"/>
    <w:rsid w:val="4BC26FFC"/>
    <w:rsid w:val="4BF06515"/>
    <w:rsid w:val="4E36542D"/>
    <w:rsid w:val="528572D9"/>
    <w:rsid w:val="589C0FDF"/>
    <w:rsid w:val="58DB12F1"/>
    <w:rsid w:val="5CA84B25"/>
    <w:rsid w:val="5F702C27"/>
    <w:rsid w:val="67994C9E"/>
    <w:rsid w:val="6A380878"/>
    <w:rsid w:val="6DC91C0B"/>
    <w:rsid w:val="70D12ADE"/>
    <w:rsid w:val="71F8757E"/>
    <w:rsid w:val="75F25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2215</Words>
  <Characters>2346</Characters>
  <Lines>0</Lines>
  <Paragraphs>0</Paragraphs>
  <TotalTime>12</TotalTime>
  <ScaleCrop>false</ScaleCrop>
  <LinksUpToDate>false</LinksUpToDate>
  <CharactersWithSpaces>2381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2020-01-19T06:20:00Z</dcterms:created>
  <dc:creator>郑连敏</dc:creator>
  <cp:lastModifiedBy>郑连敏</cp:lastModifiedBy>
  <cp:lastPrinted>2020-01-20T07:56:00Z</cp:lastPrinted>
  <dcterms:modified xsi:type="dcterms:W3CDTF">2020-01-21T00:56:50Z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