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淄博市张店区交通运输局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根据《中华人民共和国政府信息公开条例》有关规定要求，结合工作实际，编制本报告。</w:t>
      </w:r>
      <w:r>
        <w:rPr>
          <w:rFonts w:hint="eastAsia" w:ascii="仿宋_GB2312" w:hAnsi="宋体" w:eastAsia="仿宋_GB2312" w:cs="仿宋_GB2312"/>
          <w:i w:val="0"/>
          <w:iCs w:val="0"/>
          <w:caps w:val="0"/>
          <w:color w:val="333333"/>
          <w:spacing w:val="8"/>
          <w:sz w:val="32"/>
          <w:szCs w:val="32"/>
          <w:shd w:val="clear" w:fill="FFFFFF"/>
          <w:lang w:val="en-US" w:eastAsia="zh-CN"/>
        </w:rPr>
        <w:t>全文包括总体情况、主动公开政府信息情况、收到和处理政府信息公开申请情况、因政府信息公开工作被申请行政复议和提起行政诉讼情况、政府信息公开工作存在的主要问题及改进情况、其他需要报告的事项等六个部分。本报告所列数据的统计时限自2021年1月1日起至2021年12月31日止。本报告电子版可在淄博市张店区人民政府门户网站（www.zhangdian.gov.cn）查阅或下载。如对报告内容有疑问，请与淄博市张店区交通运输局办公室联系（地址：山东省淄博市张店区新村西路19号;邮编:255000;联系电话:0533-2175561）。</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lang w:val="en-US" w:eastAsia="zh-CN"/>
        </w:rPr>
        <w:t>2021年，淄博市张店区交通运输局坚持以习近平新时代中国特色社会主义思想为指导，全面贯彻党的十九大</w:t>
      </w:r>
      <w:bookmarkStart w:id="0" w:name="_GoBack"/>
      <w:bookmarkEnd w:id="0"/>
      <w:r>
        <w:rPr>
          <w:rFonts w:hint="eastAsia" w:ascii="仿宋_GB2312" w:hAnsi="仿宋_GB2312" w:eastAsia="仿宋_GB2312" w:cs="仿宋_GB2312"/>
          <w:sz w:val="32"/>
          <w:szCs w:val="32"/>
          <w:lang w:val="en-US" w:eastAsia="zh-CN"/>
        </w:rPr>
        <w:t>精神，深入贯彻</w:t>
      </w:r>
      <w:r>
        <w:rPr>
          <w:rFonts w:hint="eastAsia" w:ascii="仿宋_GB2312" w:eastAsia="仿宋_GB2312" w:cs="仿宋_GB2312"/>
          <w:sz w:val="32"/>
          <w:szCs w:val="32"/>
          <w:shd w:val="clear" w:color="auto" w:fill="FFFFFF"/>
        </w:rPr>
        <w:t>落实张店区政府信息工作的有关文件精神，依法、及时、准确、有序地开展政府信息公开工作</w:t>
      </w:r>
      <w:r>
        <w:rPr>
          <w:rFonts w:hint="eastAsia" w:ascii="仿宋_GB2312" w:eastAsia="仿宋_GB2312" w:cs="仿宋_GB2312"/>
          <w:sz w:val="32"/>
          <w:szCs w:val="32"/>
          <w:shd w:val="clear" w:color="auto" w:fill="FFFFFF"/>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（一）主动公开情况。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w:t>
      </w:r>
      <w:r>
        <w:rPr>
          <w:rFonts w:hint="eastAsia" w:ascii="仿宋_GB2312" w:hAnsi="仿宋_GB2312" w:eastAsia="仿宋_GB2312" w:cs="仿宋_GB2312"/>
          <w:i w:val="0"/>
          <w:iCs w:val="0"/>
          <w:caps w:val="0"/>
          <w:color w:val="333333"/>
          <w:spacing w:val="8"/>
          <w:sz w:val="32"/>
          <w:szCs w:val="32"/>
          <w:shd w:val="clear" w:fill="FFFFFF"/>
          <w:lang w:eastAsia="zh-CN"/>
        </w:rPr>
        <w:t>淄博市张店区</w:t>
      </w:r>
      <w:r>
        <w:rPr>
          <w:rFonts w:hint="eastAsia" w:ascii="仿宋_GB2312" w:hAnsi="宋体" w:eastAsia="仿宋_GB2312" w:cs="仿宋_GB2312"/>
          <w:i w:val="0"/>
          <w:iCs w:val="0"/>
          <w:caps w:val="0"/>
          <w:color w:val="333333"/>
          <w:spacing w:val="8"/>
          <w:sz w:val="32"/>
          <w:szCs w:val="32"/>
          <w:shd w:val="clear" w:fill="FFFFFF"/>
          <w:lang w:val="en-US" w:eastAsia="zh-CN"/>
        </w:rPr>
        <w:t>交通运输局</w:t>
      </w:r>
      <w:r>
        <w:rPr>
          <w:rFonts w:hint="eastAsia" w:ascii="仿宋_GB2312" w:hAnsi="仿宋_GB2312" w:eastAsia="仿宋_GB2312" w:cs="仿宋_GB2312"/>
          <w:i w:val="0"/>
          <w:iCs w:val="0"/>
          <w:caps w:val="0"/>
          <w:color w:val="333333"/>
          <w:spacing w:val="8"/>
          <w:sz w:val="32"/>
          <w:szCs w:val="32"/>
          <w:shd w:val="clear" w:fill="FFFFFF"/>
        </w:rPr>
        <w:t>公开政务信息</w:t>
      </w:r>
      <w:r>
        <w:rPr>
          <w:rFonts w:hint="eastAsia" w:ascii="仿宋_GB2312" w:hAnsi="仿宋_GB2312" w:eastAsia="仿宋_GB2312" w:cs="仿宋_GB2312"/>
          <w:i w:val="0"/>
          <w:iCs w:val="0"/>
          <w:caps w:val="0"/>
          <w:color w:val="333333"/>
          <w:spacing w:val="8"/>
          <w:sz w:val="32"/>
          <w:szCs w:val="32"/>
          <w:shd w:val="clear" w:fill="FFFFFF"/>
          <w:lang w:val="en-US" w:eastAsia="zh-CN"/>
        </w:rPr>
        <w:t>103</w:t>
      </w:r>
      <w:r>
        <w:rPr>
          <w:rFonts w:hint="eastAsia" w:ascii="仿宋_GB2312" w:hAnsi="仿宋_GB2312" w:eastAsia="仿宋_GB2312" w:cs="仿宋_GB2312"/>
          <w:i w:val="0"/>
          <w:iCs w:val="0"/>
          <w:caps w:val="0"/>
          <w:color w:val="333333"/>
          <w:spacing w:val="8"/>
          <w:sz w:val="32"/>
          <w:szCs w:val="32"/>
          <w:shd w:val="clear" w:fill="FFFFFF"/>
        </w:rPr>
        <w:t>次（条）。其中</w:t>
      </w:r>
      <w:r>
        <w:rPr>
          <w:rFonts w:hint="eastAsia" w:ascii="仿宋_GB2312" w:hAnsi="仿宋_GB2312" w:eastAsia="仿宋_GB2312" w:cs="仿宋_GB2312"/>
          <w:i w:val="0"/>
          <w:iCs w:val="0"/>
          <w:caps w:val="0"/>
          <w:color w:val="333333"/>
          <w:spacing w:val="8"/>
          <w:sz w:val="32"/>
          <w:szCs w:val="32"/>
          <w:shd w:val="clear" w:fill="FFFFFF"/>
          <w:lang w:eastAsia="zh-CN"/>
        </w:rPr>
        <w:t>政策文件</w:t>
      </w:r>
      <w:r>
        <w:rPr>
          <w:rFonts w:hint="eastAsia" w:ascii="仿宋_GB2312" w:hAnsi="仿宋_GB2312" w:eastAsia="仿宋_GB2312" w:cs="仿宋_GB2312"/>
          <w:i w:val="0"/>
          <w:iCs w:val="0"/>
          <w:caps w:val="0"/>
          <w:color w:val="333333"/>
          <w:spacing w:val="8"/>
          <w:sz w:val="32"/>
          <w:szCs w:val="32"/>
          <w:shd w:val="clear" w:fill="FFFFFF"/>
          <w:lang w:val="en-US" w:eastAsia="zh-CN"/>
        </w:rPr>
        <w:t>11条、</w:t>
      </w:r>
      <w:r>
        <w:rPr>
          <w:rFonts w:hint="eastAsia" w:ascii="仿宋_GB2312" w:hAnsi="仿宋_GB2312" w:eastAsia="仿宋_GB2312" w:cs="仿宋_GB2312"/>
          <w:i w:val="0"/>
          <w:iCs w:val="0"/>
          <w:caps w:val="0"/>
          <w:color w:val="333333"/>
          <w:spacing w:val="8"/>
          <w:sz w:val="32"/>
          <w:szCs w:val="32"/>
          <w:shd w:val="clear" w:fill="FFFFFF"/>
          <w:lang w:eastAsia="zh-CN"/>
        </w:rPr>
        <w:t>规划计划</w:t>
      </w:r>
      <w:r>
        <w:rPr>
          <w:rFonts w:hint="eastAsia" w:ascii="仿宋_GB2312" w:hAnsi="仿宋_GB2312" w:eastAsia="仿宋_GB2312" w:cs="仿宋_GB2312"/>
          <w:i w:val="0"/>
          <w:iCs w:val="0"/>
          <w:caps w:val="0"/>
          <w:color w:val="333333"/>
          <w:spacing w:val="8"/>
          <w:sz w:val="32"/>
          <w:szCs w:val="32"/>
          <w:shd w:val="clear" w:fill="FFFFFF"/>
          <w:lang w:val="en-US" w:eastAsia="zh-CN"/>
        </w:rPr>
        <w:t>3条、</w:t>
      </w:r>
      <w:r>
        <w:rPr>
          <w:rFonts w:hint="eastAsia" w:ascii="仿宋_GB2312" w:hAnsi="仿宋_GB2312" w:eastAsia="仿宋_GB2312" w:cs="仿宋_GB2312"/>
          <w:i w:val="0"/>
          <w:iCs w:val="0"/>
          <w:caps w:val="0"/>
          <w:color w:val="333333"/>
          <w:spacing w:val="8"/>
          <w:sz w:val="32"/>
          <w:szCs w:val="32"/>
          <w:shd w:val="clear" w:fill="FFFFFF"/>
        </w:rPr>
        <w:t>会议公开</w:t>
      </w:r>
      <w:r>
        <w:rPr>
          <w:rFonts w:hint="eastAsia" w:ascii="仿宋_GB2312" w:hAnsi="仿宋_GB2312" w:eastAsia="仿宋_GB2312" w:cs="仿宋_GB2312"/>
          <w:i w:val="0"/>
          <w:iCs w:val="0"/>
          <w:caps w:val="0"/>
          <w:color w:val="333333"/>
          <w:spacing w:val="8"/>
          <w:sz w:val="32"/>
          <w:szCs w:val="32"/>
          <w:shd w:val="clear" w:fill="FFFFFF"/>
          <w:lang w:val="en-US" w:eastAsia="zh-CN"/>
        </w:rPr>
        <w:t>10</w:t>
      </w:r>
      <w:r>
        <w:rPr>
          <w:rFonts w:hint="eastAsia" w:ascii="仿宋_GB2312" w:hAnsi="仿宋_GB2312" w:eastAsia="仿宋_GB2312" w:cs="仿宋_GB2312"/>
          <w:i w:val="0"/>
          <w:iCs w:val="0"/>
          <w:caps w:val="0"/>
          <w:color w:val="333333"/>
          <w:spacing w:val="8"/>
          <w:sz w:val="32"/>
          <w:szCs w:val="32"/>
          <w:shd w:val="clear" w:fill="FFFFFF"/>
        </w:rPr>
        <w:t>条、建议提案</w:t>
      </w:r>
      <w:r>
        <w:rPr>
          <w:rFonts w:hint="eastAsia" w:ascii="仿宋_GB2312" w:hAnsi="仿宋_GB2312" w:eastAsia="仿宋_GB2312" w:cs="仿宋_GB2312"/>
          <w:i w:val="0"/>
          <w:iCs w:val="0"/>
          <w:caps w:val="0"/>
          <w:color w:val="333333"/>
          <w:spacing w:val="8"/>
          <w:sz w:val="32"/>
          <w:szCs w:val="32"/>
          <w:shd w:val="clear" w:fill="FFFFFF"/>
          <w:lang w:val="en-US" w:eastAsia="zh-CN"/>
        </w:rPr>
        <w:t>3</w:t>
      </w:r>
      <w:r>
        <w:rPr>
          <w:rFonts w:hint="eastAsia" w:ascii="仿宋_GB2312" w:hAnsi="仿宋_GB2312" w:eastAsia="仿宋_GB2312" w:cs="仿宋_GB2312"/>
          <w:i w:val="0"/>
          <w:iCs w:val="0"/>
          <w:caps w:val="0"/>
          <w:color w:val="333333"/>
          <w:spacing w:val="8"/>
          <w:sz w:val="32"/>
          <w:szCs w:val="32"/>
          <w:shd w:val="clear" w:fill="FFFFFF"/>
        </w:rPr>
        <w:t>条、财政信息</w:t>
      </w:r>
      <w:r>
        <w:rPr>
          <w:rFonts w:hint="eastAsia" w:ascii="仿宋_GB2312" w:hAnsi="仿宋_GB2312" w:eastAsia="仿宋_GB2312" w:cs="仿宋_GB2312"/>
          <w:i w:val="0"/>
          <w:iCs w:val="0"/>
          <w:caps w:val="0"/>
          <w:color w:val="333333"/>
          <w:spacing w:val="8"/>
          <w:sz w:val="32"/>
          <w:szCs w:val="32"/>
          <w:shd w:val="clear" w:fill="FFFFFF"/>
          <w:lang w:val="en-US" w:eastAsia="zh-CN"/>
        </w:rPr>
        <w:t>3</w:t>
      </w:r>
      <w:r>
        <w:rPr>
          <w:rFonts w:hint="eastAsia" w:ascii="仿宋_GB2312" w:hAnsi="仿宋_GB2312" w:eastAsia="仿宋_GB2312" w:cs="仿宋_GB2312"/>
          <w:i w:val="0"/>
          <w:iCs w:val="0"/>
          <w:caps w:val="0"/>
          <w:color w:val="333333"/>
          <w:spacing w:val="8"/>
          <w:sz w:val="32"/>
          <w:szCs w:val="32"/>
          <w:shd w:val="clear" w:fill="FFFFFF"/>
        </w:rPr>
        <w:t>条、</w:t>
      </w:r>
      <w:r>
        <w:rPr>
          <w:rFonts w:hint="eastAsia" w:ascii="仿宋_GB2312" w:hAnsi="仿宋_GB2312" w:eastAsia="仿宋_GB2312" w:cs="仿宋_GB2312"/>
          <w:i w:val="0"/>
          <w:iCs w:val="0"/>
          <w:caps w:val="0"/>
          <w:color w:val="333333"/>
          <w:spacing w:val="8"/>
          <w:sz w:val="32"/>
          <w:szCs w:val="32"/>
          <w:shd w:val="clear" w:fill="FFFFFF"/>
          <w:lang w:val="en-US" w:eastAsia="zh-CN"/>
        </w:rPr>
        <w:t>行政处罚公示31条、</w:t>
      </w:r>
      <w:r>
        <w:rPr>
          <w:rFonts w:hint="eastAsia" w:ascii="仿宋_GB2312" w:hAnsi="仿宋_GB2312" w:eastAsia="仿宋_GB2312" w:cs="仿宋_GB2312"/>
          <w:i w:val="0"/>
          <w:iCs w:val="0"/>
          <w:caps w:val="0"/>
          <w:color w:val="333333"/>
          <w:spacing w:val="8"/>
          <w:sz w:val="32"/>
          <w:szCs w:val="32"/>
          <w:shd w:val="clear" w:fill="FFFFFF"/>
          <w:lang w:eastAsia="zh-CN"/>
        </w:rPr>
        <w:t>重点领域信息公开</w:t>
      </w:r>
      <w:r>
        <w:rPr>
          <w:rFonts w:hint="eastAsia" w:ascii="仿宋_GB2312" w:hAnsi="仿宋_GB2312" w:eastAsia="仿宋_GB2312" w:cs="仿宋_GB2312"/>
          <w:i w:val="0"/>
          <w:iCs w:val="0"/>
          <w:caps w:val="0"/>
          <w:color w:val="333333"/>
          <w:spacing w:val="8"/>
          <w:sz w:val="32"/>
          <w:szCs w:val="32"/>
          <w:shd w:val="clear" w:fill="FFFFFF"/>
          <w:lang w:val="en-US" w:eastAsia="zh-CN"/>
        </w:rPr>
        <w:t>1条、</w:t>
      </w:r>
      <w:r>
        <w:rPr>
          <w:rFonts w:hint="eastAsia" w:ascii="仿宋_GB2312" w:hAnsi="仿宋_GB2312" w:eastAsia="仿宋_GB2312" w:cs="仿宋_GB2312"/>
          <w:i w:val="0"/>
          <w:iCs w:val="0"/>
          <w:caps w:val="0"/>
          <w:color w:val="333333"/>
          <w:spacing w:val="8"/>
          <w:sz w:val="32"/>
          <w:szCs w:val="32"/>
          <w:shd w:val="clear" w:fill="FFFFFF"/>
        </w:rPr>
        <w:t>政策解读</w:t>
      </w:r>
      <w:r>
        <w:rPr>
          <w:rFonts w:hint="eastAsia" w:ascii="仿宋_GB2312" w:hAnsi="仿宋_GB2312" w:eastAsia="仿宋_GB2312" w:cs="仿宋_GB2312"/>
          <w:i w:val="0"/>
          <w:iCs w:val="0"/>
          <w:caps w:val="0"/>
          <w:color w:val="333333"/>
          <w:spacing w:val="8"/>
          <w:sz w:val="32"/>
          <w:szCs w:val="32"/>
          <w:shd w:val="clear" w:fill="FFFFFF"/>
          <w:lang w:val="en-US" w:eastAsia="zh-CN"/>
        </w:rPr>
        <w:t>8</w:t>
      </w:r>
      <w:r>
        <w:rPr>
          <w:rFonts w:hint="eastAsia" w:ascii="仿宋_GB2312" w:hAnsi="仿宋_GB2312" w:eastAsia="仿宋_GB2312" w:cs="仿宋_GB2312"/>
          <w:i w:val="0"/>
          <w:iCs w:val="0"/>
          <w:caps w:val="0"/>
          <w:color w:val="333333"/>
          <w:spacing w:val="8"/>
          <w:sz w:val="32"/>
          <w:szCs w:val="32"/>
          <w:shd w:val="clear" w:fill="FFFFFF"/>
        </w:rPr>
        <w:t>条、</w:t>
      </w:r>
      <w:r>
        <w:rPr>
          <w:rFonts w:hint="eastAsia" w:ascii="仿宋_GB2312" w:hAnsi="仿宋_GB2312" w:eastAsia="仿宋_GB2312" w:cs="仿宋_GB2312"/>
          <w:i w:val="0"/>
          <w:iCs w:val="0"/>
          <w:caps w:val="0"/>
          <w:color w:val="333333"/>
          <w:spacing w:val="8"/>
          <w:sz w:val="32"/>
          <w:szCs w:val="32"/>
          <w:shd w:val="clear" w:fill="FFFFFF"/>
          <w:lang w:eastAsia="zh-CN"/>
        </w:rPr>
        <w:t>互动交流</w:t>
      </w:r>
      <w:r>
        <w:rPr>
          <w:rFonts w:hint="eastAsia" w:ascii="仿宋_GB2312" w:hAnsi="仿宋_GB2312" w:eastAsia="仿宋_GB2312" w:cs="仿宋_GB2312"/>
          <w:i w:val="0"/>
          <w:iCs w:val="0"/>
          <w:caps w:val="0"/>
          <w:color w:val="333333"/>
          <w:spacing w:val="8"/>
          <w:sz w:val="32"/>
          <w:szCs w:val="32"/>
          <w:shd w:val="clear" w:fill="FFFFFF"/>
          <w:lang w:val="en-US" w:eastAsia="zh-CN"/>
        </w:rPr>
        <w:t>1条、</w:t>
      </w:r>
      <w:r>
        <w:rPr>
          <w:rFonts w:hint="eastAsia" w:ascii="仿宋_GB2312" w:hAnsi="仿宋_GB2312" w:eastAsia="仿宋_GB2312" w:cs="仿宋_GB2312"/>
          <w:sz w:val="32"/>
          <w:szCs w:val="32"/>
        </w:rPr>
        <w:t>人事信息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条、业务动态</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条、政务公开保障机制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581525" cy="2752725"/>
            <wp:effectExtent l="0" t="0" r="9525" b="9525"/>
            <wp:docPr id="7" name="图片 7" descr="微信图片_2022030916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309165509"/>
                    <pic:cNvPicPr>
                      <a:picLocks noChangeAspect="1"/>
                    </pic:cNvPicPr>
                  </pic:nvPicPr>
                  <pic:blipFill>
                    <a:blip r:embed="rId4"/>
                    <a:stretch>
                      <a:fillRect/>
                    </a:stretch>
                  </pic:blipFill>
                  <pic:spPr>
                    <a:xfrm>
                      <a:off x="0" y="0"/>
                      <a:ext cx="4581525" cy="2752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rPr>
        <w:t>二）依申请公开情况。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年度无依申请公开的信息。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300990</wp:posOffset>
            </wp:positionH>
            <wp:positionV relativeFrom="paragraph">
              <wp:posOffset>-407670</wp:posOffset>
            </wp:positionV>
            <wp:extent cx="5070475" cy="3200400"/>
            <wp:effectExtent l="0" t="0" r="15875" b="0"/>
            <wp:wrapSquare wrapText="bothSides"/>
            <wp:docPr id="2" name="图片 2" descr="微信截图_2022030216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0302160122"/>
                    <pic:cNvPicPr>
                      <a:picLocks noChangeAspect="1"/>
                    </pic:cNvPicPr>
                  </pic:nvPicPr>
                  <pic:blipFill>
                    <a:blip r:embed="rId5"/>
                    <a:stretch>
                      <a:fillRect/>
                    </a:stretch>
                  </pic:blipFill>
                  <pic:spPr>
                    <a:xfrm>
                      <a:off x="0" y="0"/>
                      <a:ext cx="5070475" cy="3200400"/>
                    </a:xfrm>
                    <a:prstGeom prst="rect">
                      <a:avLst/>
                    </a:prstGeom>
                  </pic:spPr>
                </pic:pic>
              </a:graphicData>
            </a:graphic>
          </wp:anchor>
        </w:drawing>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i w:val="0"/>
          <w:caps w:val="0"/>
          <w:color w:val="000000"/>
          <w:spacing w:val="0"/>
          <w:kern w:val="2"/>
          <w:sz w:val="32"/>
          <w:szCs w:val="32"/>
          <w:shd w:val="clear" w:color="auto" w:fill="FFFFFF"/>
          <w:lang w:val="en-US" w:eastAsia="zh-CN" w:bidi="ar-SA"/>
        </w:rPr>
        <w:t>（三）政府信息管理情况</w:t>
      </w:r>
      <w:r>
        <w:rPr>
          <w:rFonts w:hint="eastAsia" w:ascii="Times New Roman" w:hAnsi="Times New Roman" w:eastAsia="楷体_GB2312" w:cs="楷体_GB2312"/>
          <w:i w:val="0"/>
          <w:caps w:val="0"/>
          <w:color w:val="000000"/>
          <w:spacing w:val="0"/>
          <w:kern w:val="2"/>
          <w:sz w:val="32"/>
          <w:szCs w:val="32"/>
          <w:shd w:val="clear" w:color="auto" w:fill="FFFFFF"/>
          <w:lang w:val="en-US" w:eastAsia="zh-CN" w:bidi="ar-SA"/>
        </w:rPr>
        <w:t>。</w:t>
      </w:r>
      <w:r>
        <w:rPr>
          <w:rFonts w:hint="eastAsia" w:ascii="仿宋_GB2312" w:hAnsi="仿宋_GB2312" w:eastAsia="仿宋_GB2312" w:cs="仿宋_GB2312"/>
          <w:kern w:val="0"/>
          <w:sz w:val="32"/>
          <w:szCs w:val="32"/>
          <w:lang w:val="en-US" w:eastAsia="zh-CN" w:bidi="ar-SA"/>
        </w:rPr>
        <w:t>2021年以来，为全面提升政务公开质量和实效，推动区交通运输局政务公开不断向纵深发展，积极落实《中华人民共和国政府信息公开条例》对于建立公正透明的行</w:t>
      </w:r>
      <w:r>
        <w:rPr>
          <w:rFonts w:hint="eastAsia" w:ascii="仿宋_GB2312" w:hAnsi="仿宋_GB2312" w:eastAsia="仿宋_GB2312" w:cs="仿宋_GB2312"/>
          <w:sz w:val="32"/>
          <w:szCs w:val="32"/>
        </w:rPr>
        <w:t>政管理体制，保障公民、法人和其他组织的知情权利的要求，采取多种措施</w:t>
      </w:r>
      <w:r>
        <w:rPr>
          <w:rFonts w:hint="eastAsia" w:ascii="仿宋_GB2312" w:hAnsi="仿宋_GB2312" w:eastAsia="仿宋_GB2312" w:cs="仿宋_GB2312"/>
          <w:sz w:val="32"/>
          <w:szCs w:val="32"/>
          <w:lang w:eastAsia="zh-CN"/>
        </w:rPr>
        <w:t>加强政府信息公开管理</w:t>
      </w:r>
      <w:r>
        <w:rPr>
          <w:rFonts w:hint="eastAsia" w:ascii="仿宋_GB2312" w:hAnsi="仿宋_GB2312" w:eastAsia="仿宋_GB2312" w:cs="仿宋_GB2312"/>
          <w:sz w:val="32"/>
          <w:szCs w:val="32"/>
        </w:rPr>
        <w:t>，助力政务公开工作全面提升。</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drawing>
          <wp:inline distT="0" distB="0" distL="114300" distR="114300">
            <wp:extent cx="4854575" cy="2920365"/>
            <wp:effectExtent l="0" t="0" r="3175" b="13335"/>
            <wp:docPr id="6" name="图片 6" descr="QQ截图2022030915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20309155833"/>
                    <pic:cNvPicPr>
                      <a:picLocks noChangeAspect="1"/>
                    </pic:cNvPicPr>
                  </pic:nvPicPr>
                  <pic:blipFill>
                    <a:blip r:embed="rId6"/>
                    <a:stretch>
                      <a:fillRect/>
                    </a:stretch>
                  </pic:blipFill>
                  <pic:spPr>
                    <a:xfrm>
                      <a:off x="0" y="0"/>
                      <a:ext cx="4854575" cy="29203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一是建立健全制度机制</w:t>
      </w:r>
      <w:r>
        <w:rPr>
          <w:rFonts w:hint="eastAsia" w:ascii="楷体_GB2312" w:hAnsi="楷体_GB2312" w:eastAsia="楷体_GB2312" w:cs="楷体_GB2312"/>
          <w:sz w:val="32"/>
          <w:szCs w:val="32"/>
          <w:shd w:val="clear" w:color="auto" w:fill="FFFFFF"/>
          <w:lang w:val="en-US" w:eastAsia="zh-CN"/>
        </w:rPr>
        <w:t>。</w:t>
      </w:r>
      <w:r>
        <w:rPr>
          <w:rFonts w:hint="eastAsia" w:ascii="仿宋_GB2312" w:eastAsia="仿宋_GB2312" w:cs="仿宋_GB2312"/>
          <w:sz w:val="32"/>
          <w:szCs w:val="32"/>
          <w:shd w:val="clear" w:color="auto" w:fill="FFFFFF"/>
          <w:lang w:val="en-US" w:eastAsia="zh-CN"/>
        </w:rPr>
        <w:t>重新梳理工作信息范围，对适用工作做出明确分工，及时更新区交通运输局政务公开领导小组人员名单，并对相关管理办法进行修订，对公开范围、主动公开、依申请公开、政府信息管理、监督保障作出全面规定，确保政府信息公开工作有章可循。</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二是及时上传相关政府公开信息。</w:t>
      </w:r>
      <w:r>
        <w:rPr>
          <w:rFonts w:hint="eastAsia" w:ascii="仿宋_GB2312" w:eastAsia="仿宋_GB2312" w:cs="仿宋_GB2312"/>
          <w:sz w:val="32"/>
          <w:szCs w:val="32"/>
          <w:shd w:val="clear" w:color="auto" w:fill="FFFFFF"/>
          <w:lang w:val="en-US" w:eastAsia="zh-CN"/>
        </w:rPr>
        <w:t>充分利用融公开平台，及时准确发布相关政务信息。同时按照要求，增设执法主体、执法职责、权限、执法依据、执法程序等专栏，集中公开行政执法领域专项信息。</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三是稳妥有序推进主动公开。</w:t>
      </w:r>
      <w:r>
        <w:rPr>
          <w:rFonts w:hint="eastAsia" w:ascii="仿宋_GB2312" w:eastAsia="仿宋_GB2312" w:cs="仿宋_GB2312"/>
          <w:sz w:val="32"/>
          <w:szCs w:val="32"/>
          <w:shd w:val="clear" w:color="auto" w:fill="FFFFFF"/>
          <w:lang w:val="en-US" w:eastAsia="zh-CN"/>
        </w:rPr>
        <w:t>通过政务公开平台，主动公开行政规范性文件12件，包括四好农村路建设情况、工作目标、未来五年工作规划情况等。</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四是依法依规做好依申请公开</w:t>
      </w:r>
      <w:r>
        <w:rPr>
          <w:rFonts w:hint="eastAsia" w:ascii="楷体_GB2312" w:hAnsi="楷体_GB2312" w:eastAsia="楷体_GB2312" w:cs="楷体_GB2312"/>
          <w:sz w:val="32"/>
          <w:szCs w:val="32"/>
          <w:shd w:val="clear" w:color="auto" w:fill="FFFFFF"/>
          <w:lang w:val="en-US" w:eastAsia="zh-CN"/>
        </w:rPr>
        <w:t>。</w:t>
      </w:r>
      <w:r>
        <w:rPr>
          <w:rFonts w:hint="eastAsia" w:ascii="仿宋_GB2312" w:eastAsia="仿宋_GB2312" w:cs="仿宋_GB2312"/>
          <w:sz w:val="32"/>
          <w:szCs w:val="32"/>
          <w:shd w:val="clear" w:color="auto" w:fill="FFFFFF"/>
          <w:lang w:val="en-US" w:eastAsia="zh-CN"/>
        </w:rPr>
        <w:t>通过建立政府信息公开申请登记、审核、办理、答复、归档等工作制度，完善工作规范，形成局办公室受理、业务科室办理、局办公室统一回复的工作机制。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cs="仿宋_GB2312"/>
          <w:sz w:val="32"/>
          <w:szCs w:val="32"/>
          <w:shd w:val="clear" w:color="auto" w:fill="FFFFFF"/>
          <w:lang w:val="en-US" w:eastAsia="zh-CN"/>
        </w:rPr>
      </w:pPr>
    </w:p>
    <w:p>
      <w:pPr>
        <w:pStyle w:val="4"/>
        <w:keepNext w:val="0"/>
        <w:keepLines w:val="0"/>
        <w:pageBreakBefore w:val="0"/>
        <w:widowControl/>
        <w:numPr>
          <w:ilvl w:val="0"/>
          <w:numId w:val="0"/>
        </w:numPr>
        <w:suppressLineNumbers w:val="0"/>
        <w:shd w:val="clear" w:color="auto" w:fill="FFFFFF"/>
        <w:kinsoku/>
        <w:wordWrap/>
        <w:overflowPunct/>
        <w:topLinePunct w:val="0"/>
        <w:autoSpaceDN/>
        <w:bidi w:val="0"/>
        <w:adjustRightInd/>
        <w:snapToGrid/>
        <w:spacing w:before="0" w:beforeAutospacing="0" w:after="0" w:afterAutospacing="0" w:line="600" w:lineRule="atLeast"/>
        <w:ind w:left="480" w:leftChars="0" w:right="0" w:rightChars="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w:t>
      </w:r>
      <w:r>
        <w:rPr>
          <w:rFonts w:hint="eastAsia" w:ascii="黑体" w:hAnsi="黑体" w:eastAsia="黑体" w:cs="黑体"/>
          <w:b/>
          <w:bCs/>
          <w:color w:val="333333"/>
          <w:sz w:val="32"/>
          <w:szCs w:val="32"/>
          <w:shd w:val="clear" w:color="auto" w:fill="FFFFFF"/>
        </w:rPr>
        <w:t>主动公开政府信息情况</w:t>
      </w:r>
      <w:r>
        <w:rPr>
          <w:rFonts w:hint="eastAsia" w:ascii="黑体" w:hAnsi="黑体" w:eastAsia="黑体" w:cs="黑体"/>
          <w:b/>
          <w:bCs/>
          <w:color w:val="333333"/>
          <w:sz w:val="32"/>
          <w:szCs w:val="32"/>
          <w:shd w:val="clear" w:color="auto" w:fill="FFFFFF"/>
          <w:lang w:val="en-US" w:eastAsia="zh-CN"/>
        </w:rPr>
        <w:t>统计表</w:t>
      </w:r>
    </w:p>
    <w:tbl>
      <w:tblPr>
        <w:tblStyle w:val="5"/>
        <w:tblW w:w="5000" w:type="pct"/>
        <w:tblInd w:w="-28" w:type="dxa"/>
        <w:tblLayout w:type="autofit"/>
        <w:tblCellMar>
          <w:top w:w="15" w:type="dxa"/>
          <w:left w:w="15" w:type="dxa"/>
          <w:bottom w:w="15" w:type="dxa"/>
          <w:right w:w="15" w:type="dxa"/>
        </w:tblCellMar>
      </w:tblPr>
      <w:tblGrid>
        <w:gridCol w:w="1849"/>
        <w:gridCol w:w="780"/>
        <w:gridCol w:w="1380"/>
        <w:gridCol w:w="2370"/>
        <w:gridCol w:w="2137"/>
      </w:tblGrid>
      <w:tr>
        <w:tblPrEx>
          <w:tblCellMar>
            <w:top w:w="15" w:type="dxa"/>
            <w:left w:w="15" w:type="dxa"/>
            <w:bottom w:w="15" w:type="dxa"/>
            <w:right w:w="15" w:type="dxa"/>
          </w:tblCellMar>
        </w:tblPrEx>
        <w:trPr>
          <w:trHeight w:val="638" w:hRule="atLeast"/>
        </w:trPr>
        <w:tc>
          <w:tcPr>
            <w:tcW w:w="8516"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第二十条第（一）项</w:t>
            </w:r>
          </w:p>
        </w:tc>
      </w:tr>
      <w:tr>
        <w:tblPrEx>
          <w:tblCellMar>
            <w:top w:w="15" w:type="dxa"/>
            <w:left w:w="15" w:type="dxa"/>
            <w:bottom w:w="15" w:type="dxa"/>
            <w:right w:w="15" w:type="dxa"/>
          </w:tblCellMar>
        </w:tblPrEx>
        <w:trPr>
          <w:trHeight w:val="818"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信息内容</w:t>
            </w:r>
          </w:p>
        </w:tc>
        <w:tc>
          <w:tcPr>
            <w:tcW w:w="2160"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本年制</w:t>
            </w:r>
            <w:r>
              <w:rPr>
                <w:rFonts w:hint="eastAsia" w:ascii="仿宋_GB2312" w:eastAsia="仿宋_GB2312" w:cs="仿宋_GB2312"/>
                <w:sz w:val="32"/>
                <w:szCs w:val="32"/>
                <w:lang w:val="en-US" w:eastAsia="zh-CN"/>
              </w:rPr>
              <w:t>发件</w:t>
            </w:r>
            <w:r>
              <w:rPr>
                <w:rFonts w:hint="eastAsia" w:ascii="仿宋_GB2312" w:eastAsia="仿宋_GB2312" w:cs="仿宋_GB2312"/>
                <w:sz w:val="32"/>
                <w:szCs w:val="32"/>
              </w:rPr>
              <w:t>数</w:t>
            </w:r>
          </w:p>
        </w:tc>
        <w:tc>
          <w:tcPr>
            <w:tcW w:w="2370"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本年</w:t>
            </w:r>
            <w:r>
              <w:rPr>
                <w:rFonts w:hint="eastAsia" w:ascii="仿宋_GB2312" w:eastAsia="仿宋_GB2312" w:cs="仿宋_GB2312"/>
                <w:sz w:val="32"/>
                <w:szCs w:val="32"/>
                <w:lang w:val="en-US" w:eastAsia="zh-CN"/>
              </w:rPr>
              <w:t>废止件</w:t>
            </w:r>
            <w:r>
              <w:rPr>
                <w:rFonts w:hint="eastAsia" w:ascii="仿宋_GB2312" w:eastAsia="仿宋_GB2312" w:cs="仿宋_GB2312"/>
                <w:sz w:val="32"/>
                <w:szCs w:val="32"/>
              </w:rPr>
              <w:t>数</w:t>
            </w:r>
          </w:p>
        </w:tc>
        <w:tc>
          <w:tcPr>
            <w:tcW w:w="2137"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lang w:val="en-US" w:eastAsia="zh-CN"/>
              </w:rPr>
              <w:t>现行有效件</w:t>
            </w:r>
            <w:r>
              <w:rPr>
                <w:rFonts w:hint="eastAsia" w:ascii="仿宋_GB2312" w:eastAsia="仿宋_GB2312" w:cs="仿宋_GB2312"/>
                <w:sz w:val="32"/>
                <w:szCs w:val="32"/>
              </w:rPr>
              <w:t>数</w:t>
            </w:r>
          </w:p>
        </w:tc>
      </w:tr>
      <w:tr>
        <w:tblPrEx>
          <w:tblCellMar>
            <w:top w:w="15" w:type="dxa"/>
            <w:left w:w="15" w:type="dxa"/>
            <w:bottom w:w="15" w:type="dxa"/>
            <w:right w:w="15" w:type="dxa"/>
          </w:tblCellMar>
        </w:tblPrEx>
        <w:trPr>
          <w:trHeight w:val="729"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规章</w:t>
            </w:r>
          </w:p>
        </w:tc>
        <w:tc>
          <w:tcPr>
            <w:tcW w:w="2160"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　0　</w:t>
            </w:r>
          </w:p>
        </w:tc>
        <w:tc>
          <w:tcPr>
            <w:tcW w:w="2370"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 0</w:t>
            </w:r>
          </w:p>
        </w:tc>
        <w:tc>
          <w:tcPr>
            <w:tcW w:w="2137"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　0</w:t>
            </w:r>
          </w:p>
        </w:tc>
      </w:tr>
      <w:tr>
        <w:tblPrEx>
          <w:tblCellMar>
            <w:top w:w="15" w:type="dxa"/>
            <w:left w:w="15" w:type="dxa"/>
            <w:bottom w:w="15" w:type="dxa"/>
            <w:right w:w="15" w:type="dxa"/>
          </w:tblCellMar>
        </w:tblPrEx>
        <w:trPr>
          <w:trHeight w:val="405"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规范性文件</w:t>
            </w:r>
          </w:p>
        </w:tc>
        <w:tc>
          <w:tcPr>
            <w:tcW w:w="2160"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　0　</w:t>
            </w:r>
          </w:p>
        </w:tc>
        <w:tc>
          <w:tcPr>
            <w:tcW w:w="2370"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 0</w:t>
            </w:r>
          </w:p>
        </w:tc>
        <w:tc>
          <w:tcPr>
            <w:tcW w:w="2137"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　0</w:t>
            </w:r>
          </w:p>
        </w:tc>
      </w:tr>
      <w:tr>
        <w:tblPrEx>
          <w:tblCellMar>
            <w:top w:w="15" w:type="dxa"/>
            <w:left w:w="15" w:type="dxa"/>
            <w:bottom w:w="15" w:type="dxa"/>
            <w:right w:w="15" w:type="dxa"/>
          </w:tblCellMar>
        </w:tblPrEx>
        <w:trPr>
          <w:trHeight w:val="480" w:hRule="atLeast"/>
        </w:trPr>
        <w:tc>
          <w:tcPr>
            <w:tcW w:w="8516"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第二十条第（五）项</w:t>
            </w:r>
          </w:p>
        </w:tc>
      </w:tr>
      <w:tr>
        <w:tblPrEx>
          <w:tblCellMar>
            <w:top w:w="15" w:type="dxa"/>
            <w:left w:w="15" w:type="dxa"/>
            <w:bottom w:w="15" w:type="dxa"/>
            <w:right w:w="15" w:type="dxa"/>
          </w:tblCellMar>
        </w:tblPrEx>
        <w:trPr>
          <w:trHeight w:val="879"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信息内容</w:t>
            </w:r>
          </w:p>
        </w:tc>
        <w:tc>
          <w:tcPr>
            <w:tcW w:w="6667" w:type="dxa"/>
            <w:gridSpan w:val="4"/>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lang w:val="en-US" w:eastAsia="zh-CN"/>
              </w:rPr>
              <w:t>本</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处理决定</w:t>
            </w:r>
            <w:r>
              <w:rPr>
                <w:rFonts w:hint="eastAsia" w:ascii="仿宋_GB2312" w:eastAsia="仿宋_GB2312" w:cs="仿宋_GB2312"/>
                <w:sz w:val="32"/>
                <w:szCs w:val="32"/>
              </w:rPr>
              <w:t>数量</w:t>
            </w:r>
          </w:p>
        </w:tc>
      </w:tr>
      <w:tr>
        <w:tblPrEx>
          <w:tblCellMar>
            <w:top w:w="15" w:type="dxa"/>
            <w:left w:w="15" w:type="dxa"/>
            <w:bottom w:w="15" w:type="dxa"/>
            <w:right w:w="15" w:type="dxa"/>
          </w:tblCellMar>
        </w:tblPrEx>
        <w:trPr>
          <w:trHeight w:val="802"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行政许可</w:t>
            </w:r>
          </w:p>
        </w:tc>
        <w:tc>
          <w:tcPr>
            <w:tcW w:w="6667" w:type="dxa"/>
            <w:gridSpan w:val="4"/>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rFonts w:hint="default" w:eastAsia="仿宋_GB2312"/>
                <w:sz w:val="32"/>
                <w:szCs w:val="32"/>
                <w:lang w:val="en-US" w:eastAsia="zh-CN"/>
              </w:rPr>
            </w:pPr>
            <w:r>
              <w:rPr>
                <w:rFonts w:hint="eastAsia" w:ascii="仿宋_GB2312" w:eastAsia="仿宋_GB2312" w:cs="仿宋_GB2312"/>
                <w:sz w:val="32"/>
                <w:szCs w:val="32"/>
                <w:lang w:val="en-US" w:eastAsia="zh-CN"/>
              </w:rPr>
              <w:t>0</w:t>
            </w:r>
          </w:p>
        </w:tc>
      </w:tr>
      <w:tr>
        <w:tblPrEx>
          <w:tblCellMar>
            <w:top w:w="15" w:type="dxa"/>
            <w:left w:w="15" w:type="dxa"/>
            <w:bottom w:w="15" w:type="dxa"/>
            <w:right w:w="15" w:type="dxa"/>
          </w:tblCellMar>
        </w:tblPrEx>
        <w:trPr>
          <w:trHeight w:val="495" w:hRule="atLeast"/>
        </w:trPr>
        <w:tc>
          <w:tcPr>
            <w:tcW w:w="8516"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第二十条第（六）项</w:t>
            </w:r>
          </w:p>
        </w:tc>
      </w:tr>
      <w:tr>
        <w:tblPrEx>
          <w:tblCellMar>
            <w:top w:w="15" w:type="dxa"/>
            <w:left w:w="15" w:type="dxa"/>
            <w:bottom w:w="15" w:type="dxa"/>
            <w:right w:w="15" w:type="dxa"/>
          </w:tblCellMar>
        </w:tblPrEx>
        <w:trPr>
          <w:trHeight w:val="779"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信息内容</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lang w:val="en-US" w:eastAsia="zh-CN"/>
              </w:rPr>
              <w:t>本</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处理决定</w:t>
            </w:r>
            <w:r>
              <w:rPr>
                <w:rFonts w:hint="eastAsia" w:ascii="仿宋_GB2312" w:eastAsia="仿宋_GB2312" w:cs="仿宋_GB2312"/>
                <w:sz w:val="32"/>
                <w:szCs w:val="32"/>
              </w:rPr>
              <w:t>数量</w:t>
            </w:r>
          </w:p>
        </w:tc>
      </w:tr>
      <w:tr>
        <w:tblPrEx>
          <w:tblCellMar>
            <w:top w:w="15" w:type="dxa"/>
            <w:left w:w="15" w:type="dxa"/>
            <w:bottom w:w="15" w:type="dxa"/>
            <w:right w:w="15" w:type="dxa"/>
          </w:tblCellMar>
        </w:tblPrEx>
        <w:trPr>
          <w:trHeight w:val="435"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行政处罚</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rFonts w:hint="default" w:eastAsia="宋体"/>
                <w:sz w:val="32"/>
                <w:szCs w:val="32"/>
                <w:lang w:val="en-US" w:eastAsia="zh-CN"/>
              </w:rPr>
            </w:pPr>
            <w:r>
              <w:rPr>
                <w:rFonts w:hint="eastAsia" w:ascii="仿宋_GB2312" w:hAnsi="仿宋_GB2312" w:eastAsia="仿宋_GB2312" w:cs="仿宋_GB2312"/>
                <w:sz w:val="32"/>
                <w:szCs w:val="32"/>
                <w:lang w:val="en-US" w:eastAsia="zh-CN"/>
              </w:rPr>
              <w:t>588</w:t>
            </w:r>
          </w:p>
        </w:tc>
      </w:tr>
      <w:tr>
        <w:tblPrEx>
          <w:tblCellMar>
            <w:top w:w="15" w:type="dxa"/>
            <w:left w:w="15" w:type="dxa"/>
            <w:bottom w:w="15" w:type="dxa"/>
            <w:right w:w="15" w:type="dxa"/>
          </w:tblCellMar>
        </w:tblPrEx>
        <w:trPr>
          <w:trHeight w:val="405"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行政强制</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tblPrEx>
          <w:tblCellMar>
            <w:top w:w="15" w:type="dxa"/>
            <w:left w:w="15" w:type="dxa"/>
            <w:bottom w:w="15" w:type="dxa"/>
            <w:right w:w="15" w:type="dxa"/>
          </w:tblCellMar>
        </w:tblPrEx>
        <w:trPr>
          <w:trHeight w:val="480" w:hRule="atLeast"/>
        </w:trPr>
        <w:tc>
          <w:tcPr>
            <w:tcW w:w="8516"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第二十条第（八）项</w:t>
            </w:r>
          </w:p>
        </w:tc>
      </w:tr>
      <w:tr>
        <w:tblPrEx>
          <w:tblCellMar>
            <w:top w:w="15" w:type="dxa"/>
            <w:left w:w="15" w:type="dxa"/>
            <w:bottom w:w="15" w:type="dxa"/>
            <w:right w:w="15" w:type="dxa"/>
          </w:tblCellMar>
        </w:tblPrEx>
        <w:trPr>
          <w:trHeight w:val="450"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信息内容</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rFonts w:hint="default" w:eastAsia="仿宋_GB2312"/>
                <w:sz w:val="24"/>
                <w:szCs w:val="24"/>
                <w:lang w:val="en-US" w:eastAsia="zh-CN"/>
              </w:rPr>
            </w:pPr>
            <w:r>
              <w:rPr>
                <w:rFonts w:hint="eastAsia" w:ascii="仿宋_GB2312" w:eastAsia="仿宋_GB2312" w:cs="仿宋_GB2312"/>
                <w:sz w:val="32"/>
                <w:szCs w:val="32"/>
              </w:rPr>
              <w:t>本年</w:t>
            </w:r>
            <w:r>
              <w:rPr>
                <w:rFonts w:hint="eastAsia" w:ascii="仿宋_GB2312" w:eastAsia="仿宋_GB2312" w:cs="仿宋_GB2312"/>
                <w:sz w:val="32"/>
                <w:szCs w:val="32"/>
                <w:lang w:val="en-US" w:eastAsia="zh-CN"/>
              </w:rPr>
              <w:t>收费金额（单位：万元）</w:t>
            </w:r>
          </w:p>
        </w:tc>
      </w:tr>
      <w:tr>
        <w:tblPrEx>
          <w:tblCellMar>
            <w:top w:w="15" w:type="dxa"/>
            <w:left w:w="15" w:type="dxa"/>
            <w:bottom w:w="15" w:type="dxa"/>
            <w:right w:w="15" w:type="dxa"/>
          </w:tblCellMar>
        </w:tblPrEx>
        <w:trPr>
          <w:trHeight w:val="954"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行政事业性收费</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 </w:t>
            </w:r>
          </w:p>
        </w:tc>
      </w:tr>
    </w:tbl>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60" w:lineRule="atLeas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color w:val="333333"/>
          <w:sz w:val="32"/>
          <w:szCs w:val="32"/>
          <w:shd w:val="clear" w:color="auto" w:fill="FFFFFF"/>
        </w:rPr>
        <w:t>三、收到和处理政府信息公开申请情况</w:t>
      </w:r>
      <w:r>
        <w:rPr>
          <w:rFonts w:hint="eastAsia" w:ascii="黑体" w:hAnsi="黑体" w:eastAsia="黑体" w:cs="黑体"/>
          <w:b/>
          <w:bCs/>
          <w:color w:val="333333"/>
          <w:sz w:val="32"/>
          <w:szCs w:val="32"/>
          <w:shd w:val="clear" w:color="auto" w:fill="FFFFFF"/>
          <w:lang w:val="en-US" w:eastAsia="zh-CN"/>
        </w:rPr>
        <w:t>统计表</w:t>
      </w:r>
    </w:p>
    <w:tbl>
      <w:tblPr>
        <w:tblStyle w:val="5"/>
        <w:tblW w:w="5000" w:type="pct"/>
        <w:tblInd w:w="-28" w:type="dxa"/>
        <w:tblLayout w:type="autofit"/>
        <w:tblCellMar>
          <w:top w:w="15" w:type="dxa"/>
          <w:left w:w="15" w:type="dxa"/>
          <w:bottom w:w="15" w:type="dxa"/>
          <w:right w:w="15" w:type="dxa"/>
        </w:tblCellMar>
      </w:tblPr>
      <w:tblGrid>
        <w:gridCol w:w="850"/>
        <w:gridCol w:w="1311"/>
        <w:gridCol w:w="2121"/>
        <w:gridCol w:w="746"/>
        <w:gridCol w:w="563"/>
        <w:gridCol w:w="645"/>
        <w:gridCol w:w="563"/>
        <w:gridCol w:w="563"/>
        <w:gridCol w:w="543"/>
        <w:gridCol w:w="611"/>
      </w:tblGrid>
      <w:tr>
        <w:tblPrEx>
          <w:tblCellMar>
            <w:top w:w="15" w:type="dxa"/>
            <w:left w:w="15" w:type="dxa"/>
            <w:bottom w:w="15" w:type="dxa"/>
            <w:right w:w="15" w:type="dxa"/>
          </w:tblCellMar>
        </w:tblPrEx>
        <w:trPr>
          <w:trHeight w:val="420" w:hRule="atLeast"/>
        </w:trPr>
        <w:tc>
          <w:tcPr>
            <w:tcW w:w="4282" w:type="dxa"/>
            <w:gridSpan w:val="3"/>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atLeast"/>
              <w:ind w:left="0" w:right="0"/>
              <w:jc w:val="center"/>
              <w:textAlignment w:val="auto"/>
              <w:rPr>
                <w:sz w:val="24"/>
                <w:szCs w:val="24"/>
              </w:rPr>
            </w:pPr>
            <w:r>
              <w:rPr>
                <w:rFonts w:hint="eastAsia" w:ascii="仿宋_GB2312" w:eastAsia="仿宋_GB2312" w:cs="仿宋_GB2312"/>
                <w:sz w:val="32"/>
                <w:szCs w:val="32"/>
              </w:rPr>
              <w:t>（本列数据的勾稽关系为：第一项加第二项之和，</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atLeast"/>
              <w:ind w:left="0" w:right="0"/>
              <w:jc w:val="center"/>
              <w:textAlignment w:val="auto"/>
              <w:rPr>
                <w:sz w:val="24"/>
                <w:szCs w:val="24"/>
              </w:rPr>
            </w:pPr>
            <w:r>
              <w:rPr>
                <w:rFonts w:hint="eastAsia" w:ascii="仿宋_GB2312" w:eastAsia="仿宋_GB2312" w:cs="仿宋_GB2312"/>
                <w:sz w:val="32"/>
                <w:szCs w:val="32"/>
              </w:rPr>
              <w:t>等于第三项加第四项之和）</w:t>
            </w:r>
          </w:p>
        </w:tc>
        <w:tc>
          <w:tcPr>
            <w:tcW w:w="4234" w:type="dxa"/>
            <w:gridSpan w:val="7"/>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atLeast"/>
              <w:ind w:left="0" w:right="0"/>
              <w:jc w:val="center"/>
              <w:textAlignment w:val="auto"/>
              <w:rPr>
                <w:sz w:val="24"/>
                <w:szCs w:val="24"/>
              </w:rPr>
            </w:pPr>
            <w:r>
              <w:rPr>
                <w:rFonts w:hint="eastAsia" w:ascii="仿宋_GB2312" w:eastAsia="仿宋_GB2312" w:cs="仿宋_GB2312"/>
                <w:sz w:val="32"/>
                <w:szCs w:val="32"/>
              </w:rPr>
              <w:t>申请人情况</w:t>
            </w:r>
          </w:p>
        </w:tc>
      </w:tr>
      <w:tr>
        <w:tblPrEx>
          <w:tblCellMar>
            <w:top w:w="15" w:type="dxa"/>
            <w:left w:w="15" w:type="dxa"/>
            <w:bottom w:w="15" w:type="dxa"/>
            <w:right w:w="15" w:type="dxa"/>
          </w:tblCellMar>
        </w:tblPrEx>
        <w:trPr>
          <w:trHeight w:val="420" w:hRule="atLeast"/>
        </w:trPr>
        <w:tc>
          <w:tcPr>
            <w:tcW w:w="4282" w:type="dxa"/>
            <w:gridSpan w:val="3"/>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746"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自然人</w:t>
            </w:r>
          </w:p>
        </w:tc>
        <w:tc>
          <w:tcPr>
            <w:tcW w:w="2877" w:type="dxa"/>
            <w:gridSpan w:val="5"/>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法人或其他组织</w:t>
            </w:r>
          </w:p>
        </w:tc>
        <w:tc>
          <w:tcPr>
            <w:tcW w:w="611"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总计</w:t>
            </w:r>
          </w:p>
        </w:tc>
      </w:tr>
      <w:tr>
        <w:tblPrEx>
          <w:tblCellMar>
            <w:top w:w="15" w:type="dxa"/>
            <w:left w:w="15" w:type="dxa"/>
            <w:bottom w:w="15" w:type="dxa"/>
            <w:right w:w="15" w:type="dxa"/>
          </w:tblCellMar>
        </w:tblPrEx>
        <w:trPr>
          <w:trHeight w:val="1125" w:hRule="atLeast"/>
        </w:trPr>
        <w:tc>
          <w:tcPr>
            <w:tcW w:w="4282" w:type="dxa"/>
            <w:gridSpan w:val="3"/>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746"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商业企业</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科研机构</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社会公益组织</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法律服务机构</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其他</w:t>
            </w:r>
          </w:p>
        </w:tc>
        <w:tc>
          <w:tcPr>
            <w:tcW w:w="6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1263" w:hRule="atLeast"/>
        </w:trPr>
        <w:tc>
          <w:tcPr>
            <w:tcW w:w="4282" w:type="dxa"/>
            <w:gridSpan w:val="3"/>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一、本年新收政府信息公开申请数量</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1278" w:hRule="atLeast"/>
        </w:trPr>
        <w:tc>
          <w:tcPr>
            <w:tcW w:w="4282" w:type="dxa"/>
            <w:gridSpan w:val="3"/>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二、上年结转政府信息公开申请数量</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numPr>
                <w:ilvl w:val="0"/>
                <w:numId w:val="1"/>
              </w:numPr>
              <w:suppressLineNumbers w:val="0"/>
              <w:spacing w:before="100" w:beforeAutospacing="0" w:after="180" w:afterAutospacing="0" w:line="560" w:lineRule="atLeast"/>
              <w:ind w:left="0" w:right="0"/>
              <w:rPr>
                <w:rFonts w:hint="eastAsia" w:ascii="仿宋_GB2312" w:eastAsia="仿宋_GB2312" w:cs="仿宋_GB2312"/>
                <w:sz w:val="32"/>
                <w:szCs w:val="32"/>
              </w:rPr>
            </w:pPr>
          </w:p>
          <w:p>
            <w:pPr>
              <w:pStyle w:val="4"/>
              <w:keepNext w:val="0"/>
              <w:keepLines w:val="0"/>
              <w:widowControl/>
              <w:numPr>
                <w:ilvl w:val="0"/>
                <w:numId w:val="0"/>
              </w:numPr>
              <w:suppressLineNumbers w:val="0"/>
              <w:spacing w:before="100" w:beforeAutospacing="0" w:after="180" w:afterAutospacing="0" w:line="560" w:lineRule="atLeast"/>
              <w:ind w:right="0" w:rightChars="0"/>
              <w:rPr>
                <w:rFonts w:hint="eastAsia" w:ascii="仿宋_GB2312" w:eastAsia="仿宋_GB2312" w:cs="仿宋_GB2312"/>
                <w:sz w:val="32"/>
                <w:szCs w:val="32"/>
              </w:rPr>
            </w:pPr>
            <w:r>
              <w:rPr>
                <w:rFonts w:hint="eastAsia" w:ascii="仿宋_GB2312" w:eastAsia="仿宋_GB2312" w:cs="仿宋_GB2312"/>
                <w:sz w:val="32"/>
                <w:szCs w:val="32"/>
              </w:rPr>
              <w:t>本</w:t>
            </w:r>
          </w:p>
          <w:p>
            <w:pPr>
              <w:pStyle w:val="4"/>
              <w:keepNext w:val="0"/>
              <w:keepLines w:val="0"/>
              <w:widowControl/>
              <w:numPr>
                <w:ilvl w:val="0"/>
                <w:numId w:val="0"/>
              </w:numPr>
              <w:suppressLineNumbers w:val="0"/>
              <w:spacing w:before="100" w:beforeAutospacing="0" w:after="180" w:afterAutospacing="0" w:line="560" w:lineRule="atLeast"/>
              <w:ind w:right="0" w:rightChars="0"/>
              <w:rPr>
                <w:rFonts w:hint="eastAsia" w:ascii="仿宋_GB2312" w:eastAsia="仿宋_GB2312" w:cs="仿宋_GB2312"/>
                <w:sz w:val="32"/>
                <w:szCs w:val="32"/>
              </w:rPr>
            </w:pPr>
            <w:r>
              <w:rPr>
                <w:rFonts w:hint="eastAsia" w:ascii="仿宋_GB2312" w:eastAsia="仿宋_GB2312" w:cs="仿宋_GB2312"/>
                <w:sz w:val="32"/>
                <w:szCs w:val="32"/>
              </w:rPr>
              <w:t>年</w:t>
            </w:r>
          </w:p>
          <w:p>
            <w:pPr>
              <w:pStyle w:val="4"/>
              <w:keepNext w:val="0"/>
              <w:keepLines w:val="0"/>
              <w:widowControl/>
              <w:numPr>
                <w:ilvl w:val="0"/>
                <w:numId w:val="0"/>
              </w:numPr>
              <w:suppressLineNumbers w:val="0"/>
              <w:spacing w:before="100" w:beforeAutospacing="0" w:after="180" w:afterAutospacing="0" w:line="560" w:lineRule="atLeast"/>
              <w:ind w:right="0" w:rightChars="0"/>
              <w:rPr>
                <w:rFonts w:hint="eastAsia" w:ascii="仿宋_GB2312" w:eastAsia="仿宋_GB2312" w:cs="仿宋_GB2312"/>
                <w:sz w:val="32"/>
                <w:szCs w:val="32"/>
              </w:rPr>
            </w:pPr>
            <w:r>
              <w:rPr>
                <w:rFonts w:hint="eastAsia" w:ascii="仿宋_GB2312" w:eastAsia="仿宋_GB2312" w:cs="仿宋_GB2312"/>
                <w:sz w:val="32"/>
                <w:szCs w:val="32"/>
              </w:rPr>
              <w:t>度</w:t>
            </w:r>
          </w:p>
          <w:p>
            <w:pPr>
              <w:pStyle w:val="4"/>
              <w:keepNext w:val="0"/>
              <w:keepLines w:val="0"/>
              <w:widowControl/>
              <w:numPr>
                <w:ilvl w:val="0"/>
                <w:numId w:val="0"/>
              </w:numPr>
              <w:suppressLineNumbers w:val="0"/>
              <w:spacing w:before="100" w:beforeAutospacing="0" w:after="180" w:afterAutospacing="0" w:line="560" w:lineRule="atLeast"/>
              <w:ind w:right="0" w:rightChars="0"/>
              <w:rPr>
                <w:rFonts w:hint="eastAsia" w:ascii="仿宋_GB2312" w:eastAsia="仿宋_GB2312" w:cs="仿宋_GB2312"/>
                <w:sz w:val="32"/>
                <w:szCs w:val="32"/>
              </w:rPr>
            </w:pPr>
            <w:r>
              <w:rPr>
                <w:rFonts w:hint="eastAsia" w:ascii="仿宋_GB2312" w:eastAsia="仿宋_GB2312" w:cs="仿宋_GB2312"/>
                <w:sz w:val="32"/>
                <w:szCs w:val="32"/>
              </w:rPr>
              <w:t>办</w:t>
            </w:r>
          </w:p>
          <w:p>
            <w:pPr>
              <w:pStyle w:val="4"/>
              <w:keepNext w:val="0"/>
              <w:keepLines w:val="0"/>
              <w:widowControl/>
              <w:numPr>
                <w:ilvl w:val="0"/>
                <w:numId w:val="0"/>
              </w:numPr>
              <w:suppressLineNumbers w:val="0"/>
              <w:spacing w:before="100" w:beforeAutospacing="0" w:after="180" w:afterAutospacing="0" w:line="560" w:lineRule="atLeast"/>
              <w:ind w:right="0" w:rightChars="0"/>
              <w:rPr>
                <w:rFonts w:hint="eastAsia" w:ascii="仿宋_GB2312" w:eastAsia="仿宋_GB2312" w:cs="仿宋_GB2312"/>
                <w:sz w:val="32"/>
                <w:szCs w:val="32"/>
              </w:rPr>
            </w:pPr>
            <w:r>
              <w:rPr>
                <w:rFonts w:hint="eastAsia" w:ascii="仿宋_GB2312" w:eastAsia="仿宋_GB2312" w:cs="仿宋_GB2312"/>
                <w:sz w:val="32"/>
                <w:szCs w:val="32"/>
              </w:rPr>
              <w:t>理</w:t>
            </w:r>
          </w:p>
          <w:p>
            <w:pPr>
              <w:pStyle w:val="4"/>
              <w:keepNext w:val="0"/>
              <w:keepLines w:val="0"/>
              <w:widowControl/>
              <w:numPr>
                <w:ilvl w:val="0"/>
                <w:numId w:val="0"/>
              </w:numPr>
              <w:suppressLineNumbers w:val="0"/>
              <w:spacing w:before="100" w:beforeAutospacing="0" w:after="180" w:afterAutospacing="0" w:line="560" w:lineRule="atLeast"/>
              <w:ind w:right="0" w:rightChars="0"/>
              <w:rPr>
                <w:rFonts w:hint="eastAsia" w:ascii="仿宋_GB2312" w:eastAsia="仿宋_GB2312" w:cs="仿宋_GB2312"/>
                <w:sz w:val="32"/>
                <w:szCs w:val="32"/>
              </w:rPr>
            </w:pPr>
            <w:r>
              <w:rPr>
                <w:rFonts w:hint="eastAsia" w:ascii="仿宋_GB2312" w:eastAsia="仿宋_GB2312" w:cs="仿宋_GB2312"/>
                <w:sz w:val="32"/>
                <w:szCs w:val="32"/>
              </w:rPr>
              <w:t>结</w:t>
            </w:r>
          </w:p>
          <w:p>
            <w:pPr>
              <w:pStyle w:val="4"/>
              <w:keepNext w:val="0"/>
              <w:keepLines w:val="0"/>
              <w:widowControl/>
              <w:numPr>
                <w:ilvl w:val="0"/>
                <w:numId w:val="0"/>
              </w:numPr>
              <w:suppressLineNumbers w:val="0"/>
              <w:spacing w:before="100" w:beforeAutospacing="0" w:after="180" w:afterAutospacing="0" w:line="560" w:lineRule="atLeast"/>
              <w:ind w:right="0" w:rightChars="0"/>
              <w:rPr>
                <w:sz w:val="24"/>
                <w:szCs w:val="24"/>
              </w:rPr>
            </w:pPr>
            <w:r>
              <w:rPr>
                <w:rFonts w:hint="eastAsia" w:ascii="仿宋_GB2312" w:eastAsia="仿宋_GB2312" w:cs="仿宋_GB2312"/>
                <w:sz w:val="32"/>
                <w:szCs w:val="32"/>
              </w:rPr>
              <w:t>果</w:t>
            </w:r>
          </w:p>
        </w:tc>
        <w:tc>
          <w:tcPr>
            <w:tcW w:w="3432" w:type="dxa"/>
            <w:gridSpan w:val="2"/>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（一）予以公开</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3432" w:type="dxa"/>
            <w:gridSpan w:val="2"/>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（二）部分公开（区分处理的，只计这一情形，不计其他情形）</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（三）不予公开</w:t>
            </w: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1.属于国家秘密</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2.其他法律行政法规禁止公开</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xml:space="preserve">0 </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3.危及“三安全一稳定”</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0  </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4.保护第三方合法权益</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5.属于三类内部事务信息</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6.属于四类过程性信息</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7.属于行政执法案卷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8.属于行政查询事项</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（四）无法提供</w:t>
            </w: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1.本机关不掌握相关政府信息</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2.没有现成信息需要另行制作</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3.补正后申请内容仍不明确</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（五）不予处理</w:t>
            </w: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1.信访举报投诉类申请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2.重复申请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3.要求提供公开出版物</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39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4.无正当理由大量反复申请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5.要求行政机关确认或重新出具已获取信息</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437" w:hRule="atLeast"/>
        </w:trPr>
        <w:tc>
          <w:tcPr>
            <w:tcW w:w="85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default" w:ascii="宋体" w:eastAsiaTheme="minorEastAsia"/>
                <w:sz w:val="24"/>
                <w:szCs w:val="24"/>
                <w:lang w:val="en-US" w:eastAsia="zh-CN"/>
              </w:rPr>
            </w:pPr>
            <w:r>
              <w:rPr>
                <w:rFonts w:hint="eastAsia" w:ascii="仿宋_GB2312" w:hAnsi="仿宋_GB2312" w:eastAsia="仿宋_GB2312" w:cs="仿宋_GB2312"/>
                <w:color w:val="000000"/>
                <w:kern w:val="0"/>
                <w:sz w:val="32"/>
                <w:szCs w:val="32"/>
                <w:lang w:val="en-US" w:eastAsia="zh-CN" w:bidi="ar"/>
              </w:rPr>
              <w:t>（六）其他处理</w:t>
            </w: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_GB2312" w:eastAsia="仿宋_GB2312" w:cs="仿宋_GB2312"/>
                <w:sz w:val="32"/>
                <w:szCs w:val="32"/>
              </w:rPr>
            </w:pPr>
            <w:r>
              <w:rPr>
                <w:rFonts w:ascii="仿宋_GB2312" w:hAnsi="仿宋_GB2312" w:eastAsia="仿宋_GB2312" w:cs="仿宋_GB2312"/>
                <w:color w:val="000000"/>
                <w:kern w:val="0"/>
                <w:sz w:val="32"/>
                <w:szCs w:val="32"/>
                <w:lang w:val="en-US" w:eastAsia="zh-CN" w:bidi="ar"/>
              </w:rPr>
              <w:t>1.申请人无正当理由逾期不补正、行政机关不再处理其政府信</w:t>
            </w:r>
            <w:r>
              <w:rPr>
                <w:rFonts w:hint="eastAsia" w:ascii="仿宋_GB2312" w:hAnsi="仿宋_GB2312" w:eastAsia="仿宋_GB2312" w:cs="仿宋_GB2312"/>
                <w:color w:val="000000"/>
                <w:kern w:val="0"/>
                <w:sz w:val="32"/>
                <w:szCs w:val="32"/>
                <w:lang w:val="en-US" w:eastAsia="zh-CN" w:bidi="ar"/>
              </w:rPr>
              <w:t>息公开申请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jc w:val="left"/>
              <w:rPr>
                <w:rFonts w:hint="default" w:ascii="仿宋_GB2312" w:eastAsia="仿宋_GB2312" w:cs="仿宋_GB2312"/>
                <w:sz w:val="32"/>
                <w:szCs w:val="32"/>
                <w:lang w:val="en-US" w:eastAsia="zh-CN"/>
              </w:rPr>
            </w:pPr>
            <w:r>
              <w:rPr>
                <w:rFonts w:ascii="仿宋_GB2312" w:hAnsi="仿宋_GB2312" w:eastAsia="仿宋_GB2312" w:cs="仿宋_GB2312"/>
                <w:color w:val="000000"/>
                <w:kern w:val="0"/>
                <w:sz w:val="32"/>
                <w:szCs w:val="32"/>
                <w:lang w:val="en-US" w:eastAsia="zh-CN" w:bidi="ar"/>
              </w:rPr>
              <w:t>2.申请人逾期未按收费通知要求缴纳费用、行政机关不再</w:t>
            </w:r>
            <w:r>
              <w:rPr>
                <w:rFonts w:hint="eastAsia" w:ascii="仿宋_GB2312" w:hAnsi="仿宋_GB2312" w:eastAsia="仿宋_GB2312" w:cs="仿宋_GB2312"/>
                <w:color w:val="000000"/>
                <w:kern w:val="0"/>
                <w:sz w:val="32"/>
                <w:szCs w:val="32"/>
                <w:lang w:val="en-US" w:eastAsia="zh-CN" w:bidi="ar"/>
              </w:rPr>
              <w:t>处</w:t>
            </w:r>
            <w:r>
              <w:rPr>
                <w:rFonts w:ascii="仿宋_GB2312" w:hAnsi="仿宋_GB2312" w:eastAsia="仿宋_GB2312" w:cs="仿宋_GB2312"/>
                <w:color w:val="000000"/>
                <w:kern w:val="0"/>
                <w:sz w:val="32"/>
                <w:szCs w:val="32"/>
                <w:lang w:val="en-US" w:eastAsia="zh-CN" w:bidi="ar"/>
              </w:rPr>
              <w:t xml:space="preserve">理其政府信息公开申请 </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13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3.其他</w:t>
            </w:r>
          </w:p>
          <w:p>
            <w:pPr>
              <w:keepNext w:val="0"/>
              <w:keepLines w:val="0"/>
              <w:widowControl/>
              <w:suppressLineNumbers w:val="0"/>
              <w:jc w:val="left"/>
              <w:rPr>
                <w:rFonts w:hint="default" w:ascii="仿宋_GB2312" w:hAnsi="仿宋_GB2312" w:eastAsia="仿宋_GB2312" w:cs="仿宋_GB2312"/>
                <w:color w:val="000000"/>
                <w:kern w:val="0"/>
                <w:sz w:val="32"/>
                <w:szCs w:val="32"/>
                <w:lang w:val="en-US" w:eastAsia="zh-CN" w:bidi="ar"/>
              </w:rPr>
            </w:pP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1203" w:hRule="atLeast"/>
        </w:trPr>
        <w:tc>
          <w:tcPr>
            <w:tcW w:w="85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3432" w:type="dxa"/>
            <w:gridSpan w:val="2"/>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jc w:val="left"/>
              <w:rPr>
                <w:rFonts w:hint="default" w:ascii="仿宋_GB2312" w:eastAsia="仿宋_GB2312" w:cs="仿宋_GB2312"/>
                <w:sz w:val="32"/>
                <w:szCs w:val="32"/>
                <w:lang w:val="en-US" w:eastAsia="zh-CN"/>
              </w:rPr>
            </w:pPr>
            <w:r>
              <w:rPr>
                <w:rFonts w:ascii="仿宋_GB2312" w:hAnsi="仿宋_GB2312" w:eastAsia="仿宋_GB2312" w:cs="仿宋_GB2312"/>
                <w:color w:val="000000"/>
                <w:kern w:val="0"/>
                <w:sz w:val="32"/>
                <w:szCs w:val="32"/>
                <w:lang w:val="en-US" w:eastAsia="zh-CN" w:bidi="ar"/>
              </w:rPr>
              <w:t>（七）总计</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right="0"/>
              <w:jc w:val="center"/>
              <w:rPr>
                <w:rFonts w:hint="eastAsia" w:ascii="仿宋_GB2312" w:eastAsia="仿宋_GB2312" w:cs="仿宋_GB2312"/>
                <w:sz w:val="32"/>
                <w:szCs w:val="32"/>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4282" w:type="dxa"/>
            <w:gridSpan w:val="3"/>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jc w:val="left"/>
              <w:rPr>
                <w:rFonts w:hint="default" w:ascii="仿宋_GB2312" w:eastAsia="仿宋_GB2312" w:cs="仿宋_GB2312"/>
                <w:sz w:val="32"/>
                <w:szCs w:val="32"/>
                <w:lang w:val="en-US" w:eastAsia="zh-CN"/>
              </w:rPr>
            </w:pPr>
            <w:r>
              <w:rPr>
                <w:rFonts w:ascii="仿宋_GB2312" w:hAnsi="仿宋_GB2312" w:eastAsia="仿宋_GB2312" w:cs="仿宋_GB2312"/>
                <w:color w:val="000000"/>
                <w:kern w:val="0"/>
                <w:sz w:val="32"/>
                <w:szCs w:val="32"/>
                <w:lang w:val="en-US" w:eastAsia="zh-CN" w:bidi="ar"/>
              </w:rPr>
              <w:t>四、结转下年度继续办理</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leftChars="0" w:right="0" w:rightChars="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leftChars="0" w:right="0" w:rightChars="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leftChars="0" w:right="0" w:rightChars="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leftChars="0" w:right="0" w:rightChars="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leftChars="0" w:right="0" w:rightChars="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leftChars="0" w:right="0" w:rightChars="0"/>
              <w:jc w:val="center"/>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widowControl/>
              <w:suppressLineNumbers w:val="0"/>
              <w:spacing w:before="100" w:beforeAutospacing="0" w:after="180" w:afterAutospacing="0" w:line="560" w:lineRule="atLeast"/>
              <w:ind w:left="0" w:leftChars="0" w:right="0" w:rightChars="0"/>
              <w:jc w:val="center"/>
              <w:rPr>
                <w:rFonts w:hint="eastAsia" w:ascii="仿宋_GB2312" w:eastAsia="仿宋_GB2312" w:cs="仿宋_GB2312"/>
                <w:sz w:val="32"/>
                <w:szCs w:val="32"/>
              </w:rPr>
            </w:pPr>
            <w:r>
              <w:rPr>
                <w:rFonts w:hint="eastAsia" w:ascii="仿宋_GB2312" w:eastAsia="仿宋_GB2312" w:cs="仿宋_GB2312"/>
                <w:sz w:val="32"/>
                <w:szCs w:val="32"/>
              </w:rPr>
              <w:t>0</w:t>
            </w:r>
          </w:p>
        </w:tc>
      </w:tr>
    </w:tbl>
    <w:p>
      <w:pPr>
        <w:pStyle w:val="4"/>
        <w:keepNext w:val="0"/>
        <w:keepLines w:val="0"/>
        <w:widowControl/>
        <w:suppressLineNumbers w:val="0"/>
        <w:shd w:val="clear" w:color="auto" w:fill="FFFFFF"/>
        <w:spacing w:before="0" w:beforeAutospacing="0" w:after="0" w:afterAutospacing="0" w:line="240" w:lineRule="auto"/>
        <w:ind w:right="0"/>
        <w:jc w:val="both"/>
        <w:rPr>
          <w:rFonts w:hint="eastAsia" w:ascii="黑体" w:hAnsi="黑体" w:eastAsia="黑体" w:cs="黑体"/>
          <w:b/>
          <w:bCs/>
          <w:color w:val="333333"/>
          <w:sz w:val="32"/>
          <w:szCs w:val="32"/>
          <w:shd w:val="clear" w:color="auto" w:fill="FFFFFF"/>
        </w:rPr>
      </w:pPr>
    </w:p>
    <w:p>
      <w:pPr>
        <w:pStyle w:val="4"/>
        <w:keepNext w:val="0"/>
        <w:keepLines w:val="0"/>
        <w:widowControl/>
        <w:numPr>
          <w:ilvl w:val="0"/>
          <w:numId w:val="1"/>
        </w:numPr>
        <w:suppressLineNumbers w:val="0"/>
        <w:shd w:val="clear" w:color="auto" w:fill="FFFFFF"/>
        <w:spacing w:before="0" w:beforeAutospacing="0" w:after="0" w:afterAutospacing="0" w:line="240" w:lineRule="auto"/>
        <w:ind w:left="0" w:leftChars="0" w:right="0" w:firstLine="0" w:firstLineChars="0"/>
        <w:jc w:val="both"/>
        <w:rPr>
          <w:rFonts w:hint="eastAsia" w:ascii="黑体" w:hAnsi="黑体" w:eastAsia="黑体" w:cs="黑体"/>
          <w:b/>
          <w:bCs/>
          <w:color w:val="333333"/>
          <w:sz w:val="32"/>
          <w:szCs w:val="32"/>
          <w:shd w:val="clear" w:color="auto" w:fill="FFFFFF"/>
          <w:lang w:val="en-US" w:eastAsia="zh-CN"/>
        </w:rPr>
      </w:pPr>
      <w:r>
        <w:rPr>
          <w:rFonts w:hint="eastAsia" w:ascii="黑体" w:hAnsi="黑体" w:eastAsia="黑体" w:cs="黑体"/>
          <w:b/>
          <w:bCs/>
          <w:color w:val="333333"/>
          <w:sz w:val="32"/>
          <w:szCs w:val="32"/>
          <w:shd w:val="clear" w:color="auto" w:fill="FFFFFF"/>
          <w:lang w:val="en-US" w:eastAsia="zh-CN"/>
        </w:rPr>
        <w:t>因</w:t>
      </w:r>
      <w:r>
        <w:rPr>
          <w:rFonts w:hint="eastAsia" w:ascii="黑体" w:hAnsi="黑体" w:eastAsia="黑体" w:cs="黑体"/>
          <w:b/>
          <w:bCs/>
          <w:color w:val="333333"/>
          <w:sz w:val="32"/>
          <w:szCs w:val="32"/>
          <w:shd w:val="clear" w:color="auto" w:fill="FFFFFF"/>
        </w:rPr>
        <w:t>政府信息公开</w:t>
      </w:r>
      <w:r>
        <w:rPr>
          <w:rFonts w:hint="eastAsia" w:ascii="黑体" w:hAnsi="黑体" w:eastAsia="黑体" w:cs="黑体"/>
          <w:b/>
          <w:bCs/>
          <w:color w:val="333333"/>
          <w:sz w:val="32"/>
          <w:szCs w:val="32"/>
          <w:shd w:val="clear" w:color="auto" w:fill="FFFFFF"/>
          <w:lang w:val="en-US" w:eastAsia="zh-CN"/>
        </w:rPr>
        <w:t>工作被申请</w:t>
      </w:r>
      <w:r>
        <w:rPr>
          <w:rFonts w:hint="eastAsia" w:ascii="黑体" w:hAnsi="黑体" w:eastAsia="黑体" w:cs="黑体"/>
          <w:b/>
          <w:bCs/>
          <w:color w:val="333333"/>
          <w:sz w:val="32"/>
          <w:szCs w:val="32"/>
          <w:shd w:val="clear" w:color="auto" w:fill="FFFFFF"/>
        </w:rPr>
        <w:t>行政复议、</w:t>
      </w:r>
      <w:r>
        <w:rPr>
          <w:rFonts w:hint="eastAsia" w:ascii="黑体" w:hAnsi="黑体" w:eastAsia="黑体" w:cs="黑体"/>
          <w:b/>
          <w:bCs/>
          <w:color w:val="333333"/>
          <w:sz w:val="32"/>
          <w:szCs w:val="32"/>
          <w:shd w:val="clear" w:color="auto" w:fill="FFFFFF"/>
          <w:lang w:val="en-US" w:eastAsia="zh-CN"/>
        </w:rPr>
        <w:t>提起</w:t>
      </w:r>
      <w:r>
        <w:rPr>
          <w:rFonts w:hint="eastAsia" w:ascii="黑体" w:hAnsi="黑体" w:eastAsia="黑体" w:cs="黑体"/>
          <w:b/>
          <w:bCs/>
          <w:color w:val="333333"/>
          <w:sz w:val="32"/>
          <w:szCs w:val="32"/>
          <w:shd w:val="clear" w:color="auto" w:fill="FFFFFF"/>
        </w:rPr>
        <w:t>行政诉讼情况</w:t>
      </w:r>
      <w:r>
        <w:rPr>
          <w:rFonts w:hint="eastAsia" w:ascii="黑体" w:hAnsi="黑体" w:eastAsia="黑体" w:cs="黑体"/>
          <w:b/>
          <w:bCs/>
          <w:color w:val="333333"/>
          <w:sz w:val="32"/>
          <w:szCs w:val="32"/>
          <w:shd w:val="clear" w:color="auto" w:fill="FFFFFF"/>
          <w:lang w:val="en-US" w:eastAsia="zh-CN"/>
        </w:rPr>
        <w:t>统计表</w:t>
      </w:r>
    </w:p>
    <w:tbl>
      <w:tblPr>
        <w:tblStyle w:val="5"/>
        <w:tblW w:w="5000" w:type="pct"/>
        <w:tblInd w:w="-28" w:type="dxa"/>
        <w:tblLayout w:type="autofit"/>
        <w:tblCellMar>
          <w:top w:w="15" w:type="dxa"/>
          <w:left w:w="15" w:type="dxa"/>
          <w:bottom w:w="15" w:type="dxa"/>
          <w:right w:w="15" w:type="dxa"/>
        </w:tblCellMar>
      </w:tblPr>
      <w:tblGrid>
        <w:gridCol w:w="568"/>
        <w:gridCol w:w="560"/>
        <w:gridCol w:w="560"/>
        <w:gridCol w:w="560"/>
        <w:gridCol w:w="585"/>
        <w:gridCol w:w="552"/>
        <w:gridCol w:w="570"/>
        <w:gridCol w:w="570"/>
        <w:gridCol w:w="570"/>
        <w:gridCol w:w="570"/>
        <w:gridCol w:w="570"/>
        <w:gridCol w:w="570"/>
        <w:gridCol w:w="571"/>
        <w:gridCol w:w="571"/>
        <w:gridCol w:w="569"/>
      </w:tblGrid>
      <w:tr>
        <w:tblPrEx>
          <w:tblCellMar>
            <w:top w:w="15" w:type="dxa"/>
            <w:left w:w="15" w:type="dxa"/>
            <w:bottom w:w="15" w:type="dxa"/>
            <w:right w:w="15" w:type="dxa"/>
          </w:tblCellMar>
        </w:tblPrEx>
        <w:trPr>
          <w:trHeight w:val="495" w:hRule="atLeast"/>
        </w:trPr>
        <w:tc>
          <w:tcPr>
            <w:tcW w:w="3014" w:type="dxa"/>
            <w:gridSpan w:val="5"/>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行政复议</w:t>
            </w:r>
          </w:p>
        </w:tc>
        <w:tc>
          <w:tcPr>
            <w:tcW w:w="6050" w:type="dxa"/>
            <w:gridSpan w:val="10"/>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行政诉讼</w:t>
            </w:r>
          </w:p>
        </w:tc>
      </w:tr>
      <w:tr>
        <w:tblPrEx>
          <w:tblCellMar>
            <w:top w:w="15" w:type="dxa"/>
            <w:left w:w="15" w:type="dxa"/>
            <w:bottom w:w="15" w:type="dxa"/>
            <w:right w:w="15" w:type="dxa"/>
          </w:tblCellMar>
        </w:tblPrEx>
        <w:trPr>
          <w:trHeight w:val="540" w:hRule="atLeast"/>
        </w:trPr>
        <w:tc>
          <w:tcPr>
            <w:tcW w:w="605"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结果</w:t>
            </w:r>
          </w:p>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维持</w:t>
            </w:r>
          </w:p>
        </w:tc>
        <w:tc>
          <w:tcPr>
            <w:tcW w:w="590"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结果纠正</w:t>
            </w:r>
          </w:p>
        </w:tc>
        <w:tc>
          <w:tcPr>
            <w:tcW w:w="590"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其他结果</w:t>
            </w:r>
          </w:p>
        </w:tc>
        <w:tc>
          <w:tcPr>
            <w:tcW w:w="590"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尚未</w:t>
            </w:r>
          </w:p>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审结</w:t>
            </w:r>
          </w:p>
        </w:tc>
        <w:tc>
          <w:tcPr>
            <w:tcW w:w="639"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总</w:t>
            </w:r>
          </w:p>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计</w:t>
            </w:r>
          </w:p>
        </w:tc>
        <w:tc>
          <w:tcPr>
            <w:tcW w:w="3009" w:type="dxa"/>
            <w:gridSpan w:val="5"/>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未经复议直接起诉</w:t>
            </w:r>
          </w:p>
        </w:tc>
        <w:tc>
          <w:tcPr>
            <w:tcW w:w="3041" w:type="dxa"/>
            <w:gridSpan w:val="5"/>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复议后起诉</w:t>
            </w:r>
          </w:p>
        </w:tc>
      </w:tr>
      <w:tr>
        <w:tblPrEx>
          <w:tblCellMar>
            <w:top w:w="15" w:type="dxa"/>
            <w:left w:w="15" w:type="dxa"/>
            <w:bottom w:w="15" w:type="dxa"/>
            <w:right w:w="15" w:type="dxa"/>
          </w:tblCellMar>
        </w:tblPrEx>
        <w:trPr>
          <w:trHeight w:val="900" w:hRule="atLeast"/>
        </w:trPr>
        <w:tc>
          <w:tcPr>
            <w:tcW w:w="605"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59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59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59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639"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rPr>
                <w:rFonts w:hint="eastAsia" w:ascii="宋体"/>
                <w:sz w:val="24"/>
                <w:szCs w:val="24"/>
              </w:rPr>
            </w:pPr>
          </w:p>
        </w:tc>
        <w:tc>
          <w:tcPr>
            <w:tcW w:w="57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结果维持</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结果纠正</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其他</w:t>
            </w:r>
          </w:p>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结果</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尚未</w:t>
            </w:r>
          </w:p>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审结</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总计</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结果维持</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结果</w:t>
            </w:r>
          </w:p>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纠正</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其他</w:t>
            </w:r>
          </w:p>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结果</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尚未审结</w:t>
            </w:r>
          </w:p>
        </w:tc>
        <w:tc>
          <w:tcPr>
            <w:tcW w:w="60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jc w:val="center"/>
              <w:rPr>
                <w:sz w:val="24"/>
                <w:szCs w:val="24"/>
              </w:rPr>
            </w:pPr>
            <w:r>
              <w:rPr>
                <w:rFonts w:hint="eastAsia" w:ascii="仿宋_GB2312" w:eastAsia="仿宋_GB2312" w:cs="仿宋_GB2312"/>
                <w:sz w:val="32"/>
                <w:szCs w:val="32"/>
              </w:rPr>
              <w:t>总计</w:t>
            </w:r>
          </w:p>
        </w:tc>
      </w:tr>
      <w:tr>
        <w:tblPrEx>
          <w:tblCellMar>
            <w:top w:w="15" w:type="dxa"/>
            <w:left w:w="15" w:type="dxa"/>
            <w:bottom w:w="15" w:type="dxa"/>
            <w:right w:w="15" w:type="dxa"/>
          </w:tblCellMar>
        </w:tblPrEx>
        <w:tc>
          <w:tcPr>
            <w:tcW w:w="60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59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0 </w:t>
            </w:r>
          </w:p>
        </w:tc>
        <w:tc>
          <w:tcPr>
            <w:tcW w:w="59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0 </w:t>
            </w:r>
          </w:p>
        </w:tc>
        <w:tc>
          <w:tcPr>
            <w:tcW w:w="59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0 </w:t>
            </w:r>
          </w:p>
        </w:tc>
        <w:tc>
          <w:tcPr>
            <w:tcW w:w="63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57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0 </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80" w:afterAutospacing="0" w:line="560" w:lineRule="atLeast"/>
              <w:ind w:left="0" w:right="0"/>
              <w:jc w:val="center"/>
              <w:rPr>
                <w:sz w:val="24"/>
                <w:szCs w:val="24"/>
              </w:rPr>
            </w:pPr>
            <w:r>
              <w:rPr>
                <w:rFonts w:hint="eastAsia" w:ascii="仿宋_GB2312" w:eastAsia="仿宋_GB2312" w:cs="仿宋_GB2312"/>
                <w:sz w:val="32"/>
                <w:szCs w:val="32"/>
              </w:rPr>
              <w:t> 0</w:t>
            </w:r>
          </w:p>
        </w:tc>
        <w:tc>
          <w:tcPr>
            <w:tcW w:w="60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4"/>
              <w:keepNext w:val="0"/>
              <w:keepLines w:val="0"/>
              <w:widowControl/>
              <w:suppressLineNumbers w:val="0"/>
              <w:spacing w:before="100" w:beforeAutospacing="0" w:after="100" w:afterAutospacing="0" w:line="560" w:lineRule="atLeast"/>
              <w:ind w:left="0" w:right="0"/>
              <w:rPr>
                <w:sz w:val="24"/>
                <w:szCs w:val="24"/>
              </w:rPr>
            </w:pPr>
            <w:r>
              <w:rPr>
                <w:rFonts w:hint="eastAsia" w:ascii="仿宋_GB2312" w:eastAsia="仿宋_GB2312" w:cs="仿宋_GB2312"/>
                <w:sz w:val="32"/>
                <w:szCs w:val="32"/>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存在的主要问题及改进情况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lang w:eastAsia="zh-CN"/>
        </w:rPr>
        <w:t>在各级领导关怀下，淄博市</w:t>
      </w:r>
      <w:r>
        <w:rPr>
          <w:rFonts w:hint="eastAsia" w:ascii="仿宋_GB2312" w:hAnsi="仿宋_GB2312" w:eastAsia="仿宋_GB2312" w:cs="仿宋_GB2312"/>
          <w:sz w:val="32"/>
          <w:szCs w:val="32"/>
        </w:rPr>
        <w:t>张店区</w:t>
      </w:r>
      <w:r>
        <w:rPr>
          <w:rFonts w:hint="eastAsia" w:ascii="仿宋_GB2312" w:hAnsi="仿宋_GB2312" w:eastAsia="仿宋_GB2312" w:cs="仿宋_GB2312"/>
          <w:sz w:val="32"/>
          <w:szCs w:val="32"/>
          <w:lang w:val="en-US" w:eastAsia="zh-CN"/>
        </w:rPr>
        <w:t>交通运输局</w:t>
      </w:r>
      <w:r>
        <w:rPr>
          <w:rFonts w:hint="eastAsia" w:ascii="仿宋_GB2312" w:hAnsi="仿宋_GB2312" w:eastAsia="仿宋_GB2312" w:cs="仿宋_GB2312"/>
          <w:sz w:val="32"/>
          <w:szCs w:val="32"/>
        </w:rPr>
        <w:t>政府信息公开工作在加强信息公布、强化平台建设、增强信息公开力度等方面都取得了新进展，但也存在</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公开内容有待充实完善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信息发布</w:t>
      </w:r>
      <w:r>
        <w:rPr>
          <w:rFonts w:hint="eastAsia" w:ascii="仿宋_GB2312" w:hAnsi="仿宋_GB2312" w:eastAsia="仿宋_GB2312" w:cs="仿宋_GB2312"/>
          <w:sz w:val="32"/>
          <w:szCs w:val="32"/>
        </w:rPr>
        <w:t>更新不够及时</w:t>
      </w:r>
      <w:r>
        <w:rPr>
          <w:rFonts w:hint="eastAsia" w:ascii="仿宋_GB2312" w:hAnsi="仿宋_GB2312" w:eastAsia="仿宋_GB2312" w:cs="仿宋_GB2312"/>
          <w:sz w:val="32"/>
          <w:szCs w:val="32"/>
          <w:lang w:eastAsia="zh-CN"/>
        </w:rPr>
        <w:t>的情况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pacing w:val="8"/>
          <w:sz w:val="32"/>
          <w:szCs w:val="32"/>
          <w:shd w:val="clear" w:color="auto" w:fill="FFFFFF"/>
        </w:rPr>
        <w:t>202</w:t>
      </w:r>
      <w:r>
        <w:rPr>
          <w:rFonts w:hint="eastAsia" w:ascii="仿宋_GB2312" w:hAnsi="仿宋_GB2312" w:eastAsia="仿宋_GB2312" w:cs="仿宋_GB2312"/>
          <w:color w:val="333333"/>
          <w:spacing w:val="8"/>
          <w:sz w:val="32"/>
          <w:szCs w:val="32"/>
          <w:shd w:val="clear" w:color="auto" w:fill="FFFFFF"/>
          <w:lang w:val="en-US" w:eastAsia="zh-CN"/>
        </w:rPr>
        <w:t>2</w:t>
      </w:r>
      <w:r>
        <w:rPr>
          <w:rFonts w:hint="eastAsia" w:ascii="仿宋_GB2312" w:hAnsi="仿宋_GB2312" w:eastAsia="仿宋_GB2312" w:cs="仿宋_GB2312"/>
          <w:color w:val="333333"/>
          <w:spacing w:val="8"/>
          <w:sz w:val="32"/>
          <w:szCs w:val="32"/>
          <w:shd w:val="clear" w:color="auto" w:fill="FFFFFF"/>
        </w:rPr>
        <w:t>年将</w:t>
      </w:r>
      <w:r>
        <w:rPr>
          <w:rFonts w:hint="eastAsia" w:ascii="仿宋_GB2312" w:hAnsi="仿宋_GB2312" w:eastAsia="仿宋_GB2312" w:cs="仿宋_GB2312"/>
          <w:sz w:val="32"/>
          <w:szCs w:val="32"/>
        </w:rPr>
        <w:t>重点做好以下几个方面工作：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是进一步</w:t>
      </w:r>
      <w:r>
        <w:rPr>
          <w:rFonts w:hint="eastAsia" w:ascii="仿宋_GB2312" w:hAnsi="仿宋_GB2312" w:eastAsia="仿宋_GB2312" w:cs="仿宋_GB2312"/>
          <w:sz w:val="32"/>
          <w:szCs w:val="32"/>
        </w:rPr>
        <w:t>完善公开内容</w:t>
      </w:r>
      <w:r>
        <w:rPr>
          <w:rFonts w:hint="eastAsia" w:ascii="仿宋_GB2312" w:hAnsi="仿宋_GB2312" w:eastAsia="仿宋_GB2312" w:cs="仿宋_GB2312"/>
          <w:sz w:val="32"/>
          <w:szCs w:val="32"/>
          <w:lang w:eastAsia="zh-CN"/>
        </w:rPr>
        <w:t>。加强所属科室间协作交流，</w:t>
      </w:r>
      <w:r>
        <w:rPr>
          <w:rFonts w:hint="eastAsia" w:ascii="仿宋_GB2312" w:hAnsi="仿宋_GB2312" w:eastAsia="仿宋_GB2312" w:cs="仿宋_GB2312"/>
          <w:sz w:val="32"/>
          <w:szCs w:val="32"/>
        </w:rPr>
        <w:t>主动及时向社会公开可以公开的信息，以确保政府信息公开的完整性、全面性和时效性。</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是进一步健全体制机制。建立健全政府信息公开工作长效机制，定期研究和解决政府信息公开工作中的问题，通过规范和完善相关制度，</w:t>
      </w:r>
      <w:r>
        <w:rPr>
          <w:rFonts w:hint="eastAsia" w:ascii="仿宋_GB2312" w:hAnsi="仿宋_GB2312" w:eastAsia="仿宋_GB2312" w:cs="仿宋_GB2312"/>
          <w:sz w:val="32"/>
          <w:szCs w:val="32"/>
          <w:lang w:eastAsia="zh-CN"/>
        </w:rPr>
        <w:t>打牢</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sz w:val="32"/>
          <w:szCs w:val="32"/>
          <w:lang w:eastAsia="zh-CN"/>
        </w:rPr>
        <w:t>工作基础</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是进一步加强公开力度。拓宽</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渠道，及时更新、维护</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信息，把人民群众普遍关心、涉及人民群众切身利益的问题作为工作重点，依法及时地公开，提高政府信息公开的针对性、服务性</w:t>
      </w:r>
      <w:r>
        <w:rPr>
          <w:rFonts w:hint="eastAsia" w:ascii="仿宋_GB2312" w:hAnsi="仿宋_GB2312" w:eastAsia="仿宋_GB2312" w:cs="仿宋_GB2312"/>
          <w:sz w:val="32"/>
          <w:szCs w:val="32"/>
          <w:lang w:eastAsia="zh-CN"/>
        </w:rPr>
        <w:t>和有</w:t>
      </w:r>
      <w:r>
        <w:rPr>
          <w:rFonts w:hint="eastAsia" w:ascii="仿宋_GB2312" w:hAnsi="仿宋_GB2312" w:eastAsia="仿宋_GB2312" w:cs="仿宋_GB2312"/>
          <w:sz w:val="32"/>
          <w:szCs w:val="32"/>
        </w:rPr>
        <w:t>效性。</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四是进一步完善政府信息公开制度，统筹谋划推进主动公开工作，编制并及时发布政府信息公开信息。</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其他需要报告的事项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rPr>
        <w:t>人大代表建议和政协委员提案办理</w:t>
      </w:r>
      <w:r>
        <w:rPr>
          <w:rFonts w:hint="eastAsia" w:ascii="楷体" w:hAnsi="楷体" w:eastAsia="楷体" w:cs="楷体"/>
          <w:kern w:val="0"/>
          <w:sz w:val="32"/>
          <w:szCs w:val="32"/>
          <w:lang w:eastAsia="zh-CN"/>
        </w:rPr>
        <w:t>及吸收采纳</w:t>
      </w:r>
      <w:r>
        <w:rPr>
          <w:rFonts w:hint="eastAsia" w:ascii="楷体" w:hAnsi="楷体" w:eastAsia="楷体" w:cs="楷体"/>
          <w:kern w:val="0"/>
          <w:sz w:val="32"/>
          <w:szCs w:val="32"/>
        </w:rPr>
        <w:t>情况</w:t>
      </w:r>
      <w:r>
        <w:rPr>
          <w:rFonts w:hint="eastAsia" w:ascii="楷体" w:hAnsi="楷体" w:eastAsia="楷体" w:cs="楷体"/>
          <w:kern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640" w:firstLineChars="200"/>
        <w:textAlignment w:val="auto"/>
        <w:rPr>
          <w:sz w:val="32"/>
          <w:szCs w:val="32"/>
        </w:rPr>
      </w:pPr>
      <w:r>
        <w:rPr>
          <w:rFonts w:ascii="仿宋_GB2312" w:eastAsia="仿宋_GB2312" w:cs="仿宋_GB2312"/>
          <w:sz w:val="32"/>
          <w:szCs w:val="32"/>
        </w:rPr>
        <w:t>2021年，</w:t>
      </w:r>
      <w:r>
        <w:rPr>
          <w:rFonts w:hint="default" w:ascii="仿宋_GB2312" w:eastAsia="仿宋_GB2312" w:cs="仿宋_GB2312"/>
          <w:sz w:val="32"/>
          <w:szCs w:val="32"/>
        </w:rPr>
        <w:t>张店区交通运输局共收到人大代表建议1条，其中，区级人大代表建议1条。办理结果为：列入计划拟解决1件。2021年，张店区交通运输局共收到政协提案2条，其中，区级政协提案2条。办理结果为：列入计划拟解决1件，留作参考1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微软雅黑" w:eastAsia="仿宋_GB2312" w:cs="仿宋_GB2312"/>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cs="仿宋_GB2312"/>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11362"/>
    <w:multiLevelType w:val="singleLevel"/>
    <w:tmpl w:val="8741136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41736"/>
    <w:rsid w:val="015A27C1"/>
    <w:rsid w:val="03F87674"/>
    <w:rsid w:val="05FD0FF6"/>
    <w:rsid w:val="06D460DA"/>
    <w:rsid w:val="0A041736"/>
    <w:rsid w:val="0F020460"/>
    <w:rsid w:val="12814401"/>
    <w:rsid w:val="19C92EAF"/>
    <w:rsid w:val="1A5A3504"/>
    <w:rsid w:val="1AC65589"/>
    <w:rsid w:val="1F306593"/>
    <w:rsid w:val="24311EAA"/>
    <w:rsid w:val="243B793B"/>
    <w:rsid w:val="249748A7"/>
    <w:rsid w:val="26986012"/>
    <w:rsid w:val="271C1C7E"/>
    <w:rsid w:val="2CA87059"/>
    <w:rsid w:val="356607DF"/>
    <w:rsid w:val="3BAA2767"/>
    <w:rsid w:val="4846202D"/>
    <w:rsid w:val="4FC11A85"/>
    <w:rsid w:val="57853233"/>
    <w:rsid w:val="5FBA6D4C"/>
    <w:rsid w:val="68DB550E"/>
    <w:rsid w:val="6A141EAB"/>
    <w:rsid w:val="6AA17226"/>
    <w:rsid w:val="726A345E"/>
    <w:rsid w:val="78B353CC"/>
    <w:rsid w:val="7DC70A22"/>
    <w:rsid w:val="7F17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index 9"/>
    <w:basedOn w:val="1"/>
    <w:next w:val="1"/>
    <w:unhideWhenUsed/>
    <w:qFormat/>
    <w:uiPriority w:val="0"/>
    <w:pPr>
      <w:spacing w:beforeLines="0" w:afterLines="0"/>
      <w:ind w:left="3360"/>
      <w:jc w:val="left"/>
    </w:pPr>
    <w:rPr>
      <w:rFonts w:hint="default" w:ascii="Times New Roman" w:hAnsi="Times New Roman"/>
      <w:sz w:val="21"/>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2022-01-04T00:58:00Z</dcterms:created>
  <dc:creator>高岩</dc:creator>
  <cp:lastModifiedBy>Administrator</cp:lastModifiedBy>
  <dcterms:modified xsi:type="dcterms:W3CDTF">2022-04-19T09:11:34Z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8AAC0DC715BC4CB9AF72321F48DD3FB1</vt:lpwstr>
  </property>
</Properties>
</file>