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宋体" w:hAnsi="宋体" w:eastAsia="宋体" w:cs="宋体"/>
          <w:b/>
          <w:bCs/>
          <w:sz w:val="44"/>
          <w:szCs w:val="44"/>
        </w:rPr>
      </w:pPr>
    </w:p>
    <w:p>
      <w:pPr>
        <w:spacing w:line="600" w:lineRule="exact"/>
        <w:jc w:val="center"/>
        <w:rPr>
          <w:rFonts w:ascii="宋体" w:hAnsi="宋体" w:eastAsia="宋体" w:cs="宋体"/>
          <w:b/>
          <w:bCs/>
          <w:sz w:val="44"/>
          <w:szCs w:val="44"/>
        </w:rPr>
      </w:pPr>
      <w:r>
        <w:rPr>
          <w:rFonts w:hint="eastAsia" w:ascii="宋体" w:hAnsi="宋体" w:eastAsia="宋体" w:cs="宋体"/>
          <w:b/>
          <w:bCs/>
          <w:sz w:val="44"/>
          <w:szCs w:val="44"/>
        </w:rPr>
        <w:t>张店区交通运输局</w:t>
      </w:r>
    </w:p>
    <w:p>
      <w:pPr>
        <w:spacing w:line="600" w:lineRule="exact"/>
        <w:jc w:val="center"/>
        <w:rPr>
          <w:rFonts w:ascii="宋体" w:hAnsi="宋体" w:eastAsia="宋体" w:cs="宋体"/>
          <w:b/>
          <w:bCs/>
          <w:sz w:val="44"/>
          <w:szCs w:val="44"/>
        </w:rPr>
      </w:pPr>
      <w:r>
        <w:rPr>
          <w:rFonts w:hint="eastAsia" w:ascii="宋体" w:hAnsi="宋体" w:eastAsia="宋体" w:cs="宋体"/>
          <w:b/>
          <w:bCs/>
          <w:sz w:val="44"/>
          <w:szCs w:val="44"/>
        </w:rPr>
        <w:t>2021年行政执法总体情况报告</w:t>
      </w:r>
    </w:p>
    <w:p>
      <w:pPr>
        <w:spacing w:line="600" w:lineRule="exact"/>
        <w:ind w:firstLine="640" w:firstLineChars="200"/>
        <w:rPr>
          <w:rFonts w:ascii="仿宋_GB2312" w:hAnsi="仿宋_GB2312" w:eastAsia="仿宋_GB2312" w:cs="仿宋_GB2312"/>
          <w:sz w:val="32"/>
          <w:szCs w:val="32"/>
        </w:rPr>
      </w:pP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2021年，张店区交通运输局认真落实省、市、区有关建设法治政府的相关部署，紧紧围绕局中心工作和法治政府建设目标，进一步规范行政执法行为，提高行政执法水平，交通运输行政执法行为更加规范，为民服务更加便捷高效。现将我局2021年行政执法总体情况报告如下： </w:t>
      </w:r>
    </w:p>
    <w:p>
      <w:pPr>
        <w:spacing w:line="600" w:lineRule="exact"/>
        <w:ind w:firstLine="640" w:firstLineChars="200"/>
        <w:rPr>
          <w:rFonts w:ascii="楷体" w:hAnsi="楷体" w:eastAsia="楷体"/>
          <w:sz w:val="32"/>
          <w:szCs w:val="32"/>
        </w:rPr>
      </w:pPr>
      <w:r>
        <w:rPr>
          <w:rFonts w:hint="eastAsia" w:ascii="黑体" w:hAnsi="黑体" w:eastAsia="黑体" w:cs="黑体"/>
          <w:sz w:val="32"/>
          <w:szCs w:val="32"/>
        </w:rPr>
        <w:t>一、</w:t>
      </w:r>
      <w:r>
        <w:rPr>
          <w:rFonts w:hint="eastAsia" w:ascii="黑体" w:hAnsi="黑体" w:eastAsia="黑体"/>
          <w:sz w:val="32"/>
          <w:szCs w:val="32"/>
        </w:rPr>
        <w:t>优化政务服务</w:t>
      </w:r>
      <w:r>
        <w:rPr>
          <w:rFonts w:hint="eastAsia" w:ascii="黑体" w:hAnsi="黑体" w:eastAsia="黑体" w:cs="楷体_GB2312"/>
          <w:sz w:val="32"/>
          <w:szCs w:val="32"/>
        </w:rPr>
        <w:t>，规范行政行为</w:t>
      </w:r>
    </w:p>
    <w:p>
      <w:pPr>
        <w:spacing w:line="600" w:lineRule="exact"/>
        <w:ind w:firstLine="640" w:firstLineChars="200"/>
        <w:rPr>
          <w:rFonts w:ascii="楷体_GB2312" w:hAnsi="楷体_GB2312" w:eastAsia="楷体_GB2312" w:cs="楷体_GB2312"/>
          <w:sz w:val="32"/>
          <w:szCs w:val="32"/>
        </w:rPr>
      </w:pPr>
      <w:r>
        <w:rPr>
          <w:rFonts w:hint="eastAsia" w:ascii="仿宋_GB2312" w:hAnsi="宋体" w:eastAsia="仿宋_GB2312" w:cs="Arial"/>
          <w:sz w:val="32"/>
          <w:szCs w:val="32"/>
        </w:rPr>
        <w:t>一是</w:t>
      </w:r>
      <w:r>
        <w:rPr>
          <w:rFonts w:hint="eastAsia" w:ascii="仿宋_GB2312" w:hAnsi="宋体" w:eastAsia="仿宋_GB2312" w:cs="宋体"/>
          <w:kern w:val="0"/>
          <w:sz w:val="32"/>
          <w:szCs w:val="32"/>
        </w:rPr>
        <w:t>落实公开承诺服务</w:t>
      </w:r>
      <w:r>
        <w:rPr>
          <w:rFonts w:hint="eastAsia" w:ascii="仿宋_GB2312" w:hAnsi="宋体" w:eastAsia="仿宋_GB2312" w:cs="Arial"/>
          <w:sz w:val="32"/>
          <w:szCs w:val="32"/>
        </w:rPr>
        <w:t>。</w:t>
      </w:r>
      <w:r>
        <w:rPr>
          <w:rFonts w:hint="eastAsia" w:ascii="仿宋_GB2312" w:eastAsia="仿宋_GB2312" w:cs="Arial"/>
          <w:spacing w:val="5"/>
          <w:sz w:val="32"/>
          <w:szCs w:val="32"/>
          <w:shd w:val="clear" w:color="auto" w:fill="FFFFFF"/>
        </w:rPr>
        <w:t>市民中心交通运输窗口</w:t>
      </w:r>
      <w:r>
        <w:rPr>
          <w:rFonts w:hint="eastAsia" w:ascii="仿宋_GB2312" w:hAnsi="宋体" w:eastAsia="仿宋_GB2312" w:cs="宋体"/>
          <w:kern w:val="0"/>
          <w:sz w:val="32"/>
          <w:szCs w:val="32"/>
        </w:rPr>
        <w:t>对工作职责、工作程序、服务标准、办事时限等进行公开承诺，对公开承诺事项，采取上级评，群众议的方式督促落实。</w:t>
      </w:r>
      <w:r>
        <w:rPr>
          <w:rFonts w:hint="eastAsia" w:ascii="仿宋_GB2312" w:hAnsi="宋体" w:eastAsia="仿宋_GB2312"/>
          <w:sz w:val="32"/>
          <w:szCs w:val="32"/>
        </w:rPr>
        <w:t>开展帮办代办服务，加速实行</w:t>
      </w:r>
      <w:r>
        <w:rPr>
          <w:rFonts w:hint="eastAsia" w:ascii="仿宋_GB2312" w:hAnsi="宋体" w:eastAsia="仿宋_GB2312" w:cs="仿宋"/>
          <w:sz w:val="32"/>
          <w:szCs w:val="32"/>
        </w:rPr>
        <w:t>“一窗受理”服务模式。</w:t>
      </w:r>
      <w:r>
        <w:rPr>
          <w:rFonts w:hint="eastAsia" w:ascii="仿宋_GB2312" w:hAnsi="宋体" w:eastAsia="仿宋_GB2312" w:cs="宋体"/>
          <w:kern w:val="0"/>
          <w:sz w:val="32"/>
          <w:szCs w:val="32"/>
        </w:rPr>
        <w:t>设立全天延时服务、周末无休轮班制窗口，</w:t>
      </w:r>
      <w:r>
        <w:rPr>
          <w:rFonts w:hint="eastAsia" w:ascii="仿宋_GB2312" w:hAnsi="宋体" w:eastAsia="仿宋_GB2312" w:cs="Arial"/>
          <w:sz w:val="32"/>
          <w:szCs w:val="32"/>
        </w:rPr>
        <w:t>提升服务效率，</w:t>
      </w:r>
      <w:r>
        <w:rPr>
          <w:rFonts w:hint="eastAsia" w:ascii="仿宋_GB2312" w:hAnsi="宋体" w:eastAsia="仿宋_GB2312" w:cs="Arial"/>
          <w:sz w:val="32"/>
          <w:szCs w:val="32"/>
          <w:shd w:val="clear" w:color="auto" w:fill="FFFFFF"/>
        </w:rPr>
        <w:t>满足企业和群众的办事需求。</w:t>
      </w:r>
    </w:p>
    <w:p>
      <w:pPr>
        <w:pStyle w:val="4"/>
        <w:spacing w:before="0" w:beforeAutospacing="0" w:after="0" w:afterAutospacing="0" w:line="600" w:lineRule="exact"/>
        <w:ind w:firstLine="660" w:firstLineChars="200"/>
        <w:rPr>
          <w:rFonts w:ascii="仿宋_GB2312" w:hAnsi="仿宋_GB2312" w:eastAsia="仿宋_GB2312" w:cs="仿宋_GB2312"/>
          <w:sz w:val="32"/>
          <w:szCs w:val="32"/>
        </w:rPr>
      </w:pPr>
      <w:r>
        <w:rPr>
          <w:rFonts w:hint="eastAsia" w:ascii="仿宋_GB2312" w:eastAsia="仿宋_GB2312" w:cs="Arial"/>
          <w:spacing w:val="5"/>
          <w:sz w:val="32"/>
          <w:szCs w:val="32"/>
          <w:shd w:val="clear" w:color="auto" w:fill="FFFFFF"/>
        </w:rPr>
        <w:t>二是优化流程、提高服务效能。明确岗位责任制，健全落实到人，重点加强一次性告知制、首问负责制和限时办结制，将20个工作日的法定办结时限压缩为1个工作日，并全力推行即时办结。对审批项目制定详细的服务规范和标准，编制工作流程图，理顺内部运行机制，明确每个审批项目的具体经办人、责任人、联系方式和承担责任，做到项目名称、申报材料、审批要件、审批流程、审批时限、审批收费等标准化、规范化，切实保障了群众的监督权和知情权。</w:t>
      </w:r>
      <w:r>
        <w:rPr>
          <w:rFonts w:ascii="仿宋_GB2312" w:hAnsi="仿宋_GB2312" w:eastAsia="仿宋_GB2312" w:cs="仿宋_GB2312"/>
          <w:sz w:val="32"/>
          <w:szCs w:val="32"/>
        </w:rPr>
        <w:t xml:space="preserve"> </w:t>
      </w:r>
    </w:p>
    <w:p>
      <w:pPr>
        <w:spacing w:line="600" w:lineRule="exact"/>
        <w:ind w:firstLine="640" w:firstLineChars="200"/>
        <w:rPr>
          <w:rFonts w:ascii="仿宋_GB2312" w:hAnsi="宋体" w:eastAsia="仿宋_GB2312" w:cs="Arial"/>
          <w:spacing w:val="5"/>
          <w:kern w:val="0"/>
          <w:sz w:val="32"/>
          <w:szCs w:val="32"/>
          <w:shd w:val="clear" w:color="auto" w:fill="FFFFFF"/>
        </w:rPr>
      </w:pPr>
      <w:r>
        <w:rPr>
          <w:rFonts w:hint="eastAsia" w:ascii="仿宋_GB2312" w:eastAsia="仿宋_GB2312" w:cs="Arial"/>
          <w:sz w:val="32"/>
          <w:szCs w:val="32"/>
        </w:rPr>
        <w:t>三是</w:t>
      </w:r>
      <w:r>
        <w:rPr>
          <w:rFonts w:hint="eastAsia" w:ascii="仿宋_GB2312" w:hAnsi="宋体" w:eastAsia="仿宋_GB2312" w:cs="Arial"/>
          <w:spacing w:val="5"/>
          <w:kern w:val="0"/>
          <w:sz w:val="32"/>
          <w:szCs w:val="32"/>
          <w:shd w:val="clear" w:color="auto" w:fill="FFFFFF"/>
        </w:rPr>
        <w:t>全面实行线上线下融合。通过推行网上年审，落实“不见面审批”。深化业务流程再造，实现了“让数据多跑路，让群众少跑路”。通过正面宣传、引导，提升事项网上可办率和办理率及办理深度，让办事群众积极主动网上提交办事申请、咨询、预约等，大幅度提高了网上办事的利用率和影响力。</w:t>
      </w:r>
    </w:p>
    <w:p>
      <w:pPr>
        <w:spacing w:line="600" w:lineRule="exact"/>
        <w:ind w:firstLine="640" w:firstLineChars="200"/>
        <w:rPr>
          <w:rFonts w:ascii="黑体" w:hAnsi="黑体" w:eastAsia="黑体" w:cs="楷体_GB2312"/>
          <w:sz w:val="32"/>
          <w:szCs w:val="32"/>
        </w:rPr>
      </w:pPr>
      <w:r>
        <w:rPr>
          <w:rFonts w:hint="eastAsia" w:ascii="黑体" w:hAnsi="黑体" w:eastAsia="黑体" w:cs="楷体_GB2312"/>
          <w:sz w:val="32"/>
          <w:szCs w:val="32"/>
        </w:rPr>
        <w:t>二、加强执法队伍建设，提高执法队伍素质和能力</w:t>
      </w:r>
    </w:p>
    <w:p>
      <w:pPr>
        <w:spacing w:line="600" w:lineRule="exact"/>
        <w:ind w:firstLine="640" w:firstLineChars="200"/>
        <w:rPr>
          <w:rFonts w:ascii="黑体" w:hAnsi="黑体" w:eastAsia="黑体" w:cs="楷体_GB2312"/>
          <w:sz w:val="32"/>
          <w:szCs w:val="32"/>
        </w:rPr>
      </w:pPr>
      <w:r>
        <w:rPr>
          <w:rFonts w:hint="eastAsia" w:ascii="仿宋_GB2312" w:eastAsia="仿宋_GB2312"/>
          <w:sz w:val="32"/>
          <w:szCs w:val="32"/>
        </w:rPr>
        <w:t>一是强化行政执法证件管理。严格实行行政执法人员持证上岗和资格管理制度，及时完成执法证件的新办、审验和注销工作。一是完成1名行政执法证件满2年人员的证件年审工作；二是完成4名执法人员行政执法证件新申领工作。</w:t>
      </w:r>
    </w:p>
    <w:p>
      <w:pPr>
        <w:spacing w:line="600" w:lineRule="exact"/>
        <w:ind w:firstLine="640"/>
        <w:rPr>
          <w:rFonts w:ascii="仿宋_GB2312" w:eastAsia="仿宋_GB2312"/>
          <w:sz w:val="32"/>
          <w:szCs w:val="32"/>
        </w:rPr>
      </w:pPr>
      <w:r>
        <w:rPr>
          <w:rFonts w:hint="eastAsia" w:ascii="仿宋_GB2312" w:eastAsia="仿宋_GB2312"/>
          <w:sz w:val="32"/>
          <w:szCs w:val="32"/>
        </w:rPr>
        <w:t>二是注重提高执法人员素质和能力。</w:t>
      </w:r>
      <w:r>
        <w:rPr>
          <w:rFonts w:hint="eastAsia" w:ascii="仿宋_GB2312" w:hAnsi="仿宋_GB2312" w:eastAsia="仿宋_GB2312" w:cs="仿宋_GB2312"/>
          <w:sz w:val="32"/>
          <w:szCs w:val="32"/>
        </w:rPr>
        <w:t>领导干部带头学法，</w:t>
      </w:r>
      <w:r>
        <w:rPr>
          <w:rFonts w:hint="eastAsia" w:ascii="仿宋_GB2312" w:hAnsi="仿宋" w:eastAsia="仿宋_GB2312" w:cs="仿宋_GB2312"/>
          <w:sz w:val="32"/>
          <w:szCs w:val="32"/>
        </w:rPr>
        <w:t>局党组结合理论中心组学习开展习近平主席关于依法治国相关论述和法律知识学习。</w:t>
      </w:r>
      <w:r>
        <w:rPr>
          <w:rFonts w:hint="eastAsia" w:ascii="仿宋_GB2312" w:eastAsia="仿宋_GB2312"/>
          <w:sz w:val="32"/>
          <w:szCs w:val="32"/>
        </w:rPr>
        <w:t>结合执法工作的实际情况，张店区交通运输监察大队制定学习教育培训计划，对《中华人民共和国道路运输条例》《中华人民共和国行政处罚法》《中华人民共和国行政复议法》《中华人民共和国行政诉讼法》《中华人民共和国国家赔偿法》《中华人民共和国安全生产法》《民法典》等相关法律法规进行认真学习。通过学习培训，交通执法队伍整体素质得到显著提高。</w:t>
      </w:r>
    </w:p>
    <w:p>
      <w:pPr>
        <w:spacing w:line="560" w:lineRule="exact"/>
        <w:ind w:firstLine="640"/>
        <w:rPr>
          <w:rFonts w:ascii="仿宋_GB2312" w:eastAsia="仿宋_GB2312" w:cs="Arial"/>
          <w:sz w:val="32"/>
          <w:szCs w:val="32"/>
        </w:rPr>
      </w:pPr>
      <w:r>
        <w:rPr>
          <w:rFonts w:hint="eastAsia" w:ascii="仿宋_GB2312" w:eastAsia="仿宋_GB2312"/>
          <w:sz w:val="32"/>
          <w:szCs w:val="32"/>
        </w:rPr>
        <w:t xml:space="preserve"> 三是</w:t>
      </w:r>
      <w:r>
        <w:rPr>
          <w:rFonts w:hint="eastAsia" w:ascii="仿宋_GB2312" w:eastAsia="仿宋_GB2312" w:cs="Arial"/>
          <w:sz w:val="32"/>
          <w:szCs w:val="32"/>
        </w:rPr>
        <w:t>强化窗口工作人员管理。</w:t>
      </w:r>
      <w:r>
        <w:rPr>
          <w:rFonts w:hint="eastAsia" w:ascii="仿宋_GB2312" w:eastAsia="仿宋_GB2312"/>
          <w:sz w:val="32"/>
          <w:szCs w:val="32"/>
        </w:rPr>
        <w:t>规范礼仪标准、提高服务效率和加强素质教育，</w:t>
      </w:r>
      <w:r>
        <w:rPr>
          <w:rFonts w:hint="eastAsia" w:ascii="仿宋_GB2312" w:eastAsia="仿宋_GB2312" w:cs="Arial"/>
          <w:sz w:val="32"/>
          <w:szCs w:val="32"/>
        </w:rPr>
        <w:t>全体工作人员勤奋工作、热情服务，全年在市民中心办件总量22530件，约占全市的15%，实现了零差错、零投诉、零复议、零诉讼。积极参与政务服务“好差评”工作，窗口承诺件按时办结率100%，群众满意度率也达到100%。</w:t>
      </w:r>
    </w:p>
    <w:p>
      <w:pPr>
        <w:spacing w:line="600" w:lineRule="exact"/>
        <w:rPr>
          <w:rFonts w:ascii="黑体" w:hAnsi="黑体" w:eastAsia="黑体" w:cs="Arial"/>
          <w:sz w:val="32"/>
          <w:szCs w:val="32"/>
        </w:rPr>
      </w:pPr>
      <w:r>
        <w:rPr>
          <w:rFonts w:hint="eastAsia" w:ascii="黑体" w:hAnsi="黑体" w:eastAsia="黑体" w:cs="Arial"/>
          <w:sz w:val="32"/>
          <w:szCs w:val="32"/>
        </w:rPr>
        <w:t>三、规范行政执法行为，强化行政执法监督</w:t>
      </w:r>
    </w:p>
    <w:p>
      <w:pPr>
        <w:spacing w:line="600" w:lineRule="exact"/>
        <w:rPr>
          <w:rFonts w:ascii="仿宋_GB2312" w:eastAsia="仿宋_GB2312" w:cs="Arial"/>
          <w:sz w:val="32"/>
          <w:szCs w:val="32"/>
        </w:rPr>
      </w:pPr>
      <w:r>
        <w:rPr>
          <w:rFonts w:hint="eastAsia" w:ascii="仿宋_GB2312" w:eastAsia="仿宋_GB2312" w:cs="Arial"/>
          <w:sz w:val="32"/>
          <w:szCs w:val="32"/>
        </w:rPr>
        <w:t xml:space="preserve">    一是规范行政处罚。</w:t>
      </w:r>
      <w:r>
        <w:rPr>
          <w:rFonts w:ascii="仿宋_GB2312" w:eastAsia="仿宋_GB2312" w:cs="Arial"/>
          <w:sz w:val="32"/>
          <w:szCs w:val="32"/>
        </w:rPr>
        <w:t>20</w:t>
      </w:r>
      <w:r>
        <w:rPr>
          <w:rFonts w:hint="eastAsia" w:ascii="仿宋_GB2312" w:eastAsia="仿宋_GB2312" w:cs="Arial"/>
          <w:sz w:val="32"/>
          <w:szCs w:val="32"/>
        </w:rPr>
        <w:t>21年，共办理行政处罚案件588件，结案率99.8%，收缴罚没款684600元，责令停产停业111件，吊销道路运输证3件。目前，绝大部分执法案</w:t>
      </w:r>
      <w:r>
        <w:rPr>
          <w:rFonts w:hint="eastAsia" w:ascii="仿宋_GB2312" w:eastAsia="仿宋_GB2312"/>
          <w:sz w:val="32"/>
          <w:szCs w:val="32"/>
        </w:rPr>
        <w:t>卷都能做到执法主体适当，认定事实清楚，证据确实充分，适用法律准确，程序合法，执法卷宗和文书规范整洁，归档有序。</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二是组织开展执法监督检查工作。组织人员对执法单位行政执法工作开展情况、行政许可有关内容公示公开情况、执法人员入企检查执法规范情况进行重点检查，对检查中发现的问题及时向被检查单位进行反馈。能立即整改的问题当场进行纠正，不能当场整改的问题，明确目标，落实责任，限期进行整改。</w:t>
      </w:r>
    </w:p>
    <w:p>
      <w:pPr>
        <w:spacing w:line="600" w:lineRule="exact"/>
        <w:ind w:firstLine="640" w:firstLineChars="200"/>
        <w:rPr>
          <w:rFonts w:ascii="仿宋_GB2312" w:hAnsi="仿宋_GB2312" w:eastAsia="仿宋_GB2312" w:cs="仿宋_GB2312"/>
          <w:sz w:val="32"/>
          <w:szCs w:val="32"/>
        </w:rPr>
      </w:pPr>
      <w:r>
        <w:rPr>
          <w:rFonts w:hint="eastAsia" w:ascii="仿宋_GB2312" w:eastAsia="仿宋_GB2312"/>
          <w:sz w:val="32"/>
          <w:szCs w:val="32"/>
        </w:rPr>
        <w:t>三是开展行政执法评议考核工作。组织人员</w:t>
      </w:r>
      <w:r>
        <w:rPr>
          <w:rFonts w:hint="eastAsia" w:ascii="仿宋_GB2312" w:hAnsi="仿宋_GB2312" w:eastAsia="仿宋_GB2312" w:cs="仿宋_GB2312"/>
          <w:sz w:val="32"/>
          <w:szCs w:val="32"/>
        </w:rPr>
        <w:t>通过听取基层执法人员意见和建议、查阅台账资料、组织执法人员考试、开展案卷评查等方式，</w:t>
      </w:r>
      <w:r>
        <w:rPr>
          <w:rFonts w:hint="eastAsia" w:ascii="仿宋_GB2312" w:eastAsia="仿宋_GB2312"/>
          <w:sz w:val="32"/>
          <w:szCs w:val="32"/>
        </w:rPr>
        <w:t>对机关科室、局属各单位</w:t>
      </w:r>
      <w:r>
        <w:rPr>
          <w:rFonts w:hint="eastAsia" w:ascii="仿宋_GB2312" w:hAnsi="仿宋_GB2312" w:eastAsia="仿宋_GB2312" w:cs="仿宋_GB2312"/>
          <w:sz w:val="32"/>
          <w:szCs w:val="32"/>
        </w:rPr>
        <w:t>办理行政许可、实施行政处罚、行政强制、处理投诉举报、开展执法监督以及推进执法信息化建设、提升执法队伍素质情况进行评议督导。对发现的普遍存在问题，进行系统梳理、研究分析、提出解决措施；对个别存在的重大问题，进行专门督办，督促有关单位整改。</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是拓宽群众监督渠道，完善群众举报投诉制度。在继续落实好“首问责任制”、考核通报制度等一系列行之有效制度的基础上，我局主动向社会公开投诉举报电话，制定督办工作机制，通过回访、二次回访等形式检查督促各有关承办单位提高投诉办理质量和效率，将督办任务落实到科室、责任人，形成全员抓督办、促落实的格局。</w:t>
      </w:r>
    </w:p>
    <w:p>
      <w:pPr>
        <w:spacing w:line="600" w:lineRule="exact"/>
        <w:ind w:firstLine="640" w:firstLineChars="200"/>
        <w:rPr>
          <w:rFonts w:ascii="黑体" w:hAnsi="黑体" w:eastAsia="黑体" w:cs="楷体_GB2312"/>
          <w:sz w:val="32"/>
          <w:szCs w:val="32"/>
        </w:rPr>
      </w:pPr>
      <w:r>
        <w:rPr>
          <w:rFonts w:hint="eastAsia" w:ascii="黑体" w:hAnsi="黑体" w:eastAsia="黑体" w:cs="楷体_GB2312"/>
          <w:sz w:val="32"/>
          <w:szCs w:val="32"/>
        </w:rPr>
        <w:t xml:space="preserve">四、提高行政机关工作人员法治思维和依法行政能力，落实“谁执法谁普法”普法责任制  </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一是局领导带领工作人员利用检查、督导等时机不定期地到运输企业、社区、村镇广泛开展《中华人民共和国道路运输条例》《中华人民共和国公路法》《山东省道路运输条例》等法律法规的宣贯工作。</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二是</w:t>
      </w:r>
      <w:r>
        <w:rPr>
          <w:rFonts w:hint="eastAsia" w:ascii="仿宋_GB2312" w:hAnsi="仿宋" w:eastAsia="仿宋_GB2312" w:cs="仿宋_GB2312"/>
          <w:sz w:val="32"/>
          <w:szCs w:val="32"/>
        </w:rPr>
        <w:t>在服务窗口人员密集区利用LED显示屏播放法律宣传标语和法律条文，普及法律知识。</w:t>
      </w:r>
      <w:r>
        <w:rPr>
          <w:rFonts w:hint="eastAsia" w:ascii="仿宋_GB2312" w:eastAsia="仿宋_GB2312"/>
          <w:sz w:val="32"/>
          <w:szCs w:val="32"/>
        </w:rPr>
        <w:t>结合安全生产月活动，大力宣传交通运输法律知识。通过印制横幅、发放宣传单、制作宣传展板等形式，直接向社会群众宣传。</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三是通过交通运输执法人员，结合路面执法，当场解答群众询问，宣传相关交通法规。选派交通运输法制宣传人员深入企业，通过现场解答、发放明白纸等方式，为企业答疑解惑。</w:t>
      </w:r>
    </w:p>
    <w:p>
      <w:pPr>
        <w:spacing w:line="600" w:lineRule="exact"/>
        <w:ind w:firstLine="640" w:firstLineChars="200"/>
        <w:rPr>
          <w:rFonts w:ascii="黑体" w:hAnsi="黑体" w:eastAsia="黑体" w:cs="楷体_GB2312"/>
          <w:sz w:val="32"/>
          <w:szCs w:val="32"/>
        </w:rPr>
      </w:pPr>
      <w:r>
        <w:rPr>
          <w:rFonts w:hint="eastAsia" w:ascii="黑体" w:hAnsi="黑体" w:eastAsia="黑体" w:cs="楷体_GB2312"/>
          <w:sz w:val="32"/>
          <w:szCs w:val="32"/>
        </w:rPr>
        <w:t>五、加大行业执法力度，确保行业安全稳定</w:t>
      </w:r>
    </w:p>
    <w:p>
      <w:pPr>
        <w:spacing w:line="60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一是从严整顿和规范道路运输市场秩序。相继开展旅游包车、班线客车、危险品运输车辆专项检查。 “五一”、“十一”期间联合文旅局开展旅游包车重点整治，重点查处旅游包车未持有效的包车客运标志牌、招揽包车合同以外旅客乘车，严厉打击无经营资质车的“黑车”，规范道路客运市场秩序，保障了旅客出行安全。在班线客车违法违规行为整治中，从严查处班线客车不按规定站点停靠、不按规定线路行驶，随意停靠揽客行为。对危险品货物运输整治中，重点查处危化品车辆无资质、介质不符、超限、未配备押运员、安全标志标识不全、未按规定使用GPS定位系统等违法违规行为。</w:t>
      </w:r>
    </w:p>
    <w:p>
      <w:pPr>
        <w:spacing w:line="60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二是深入开展联合治超执法常态化、制度化工作。严格贯彻落实《交通运输部公安部印发&lt;关于治理车辆超限超载联合执法常态化制度化工作的实施意见（试行）的通知&gt;》的文件精神及相关文件制度。结合上级工作要求和我区实际，与张店区交警大队开展超限超载联合执法，并联合制定《张店区治理车辆超限超载联合执法常态化工作实施方案》，进一步加联合执法协作机制。以超限检测站点为依托，开展联合执法，并推动联合执法常态化。组成联合执法队伍，重点突出国省道和货车通行量大的道路，采取定点检查与流动巡逻相结合的方式实行24小时管控，提高治超联合执法的威慑力、影响力。</w:t>
      </w:r>
    </w:p>
    <w:p>
      <w:pPr>
        <w:spacing w:line="600" w:lineRule="exact"/>
        <w:ind w:firstLine="640" w:firstLineChars="200"/>
        <w:rPr>
          <w:rFonts w:ascii="仿宋_GB2312" w:hAnsi="仿宋" w:eastAsia="仿宋_GB2312" w:cs="仿宋_GB2312"/>
          <w:sz w:val="32"/>
          <w:szCs w:val="32"/>
        </w:rPr>
      </w:pPr>
      <w:r>
        <w:rPr>
          <w:rFonts w:hint="eastAsia" w:ascii="仿宋_GB2312" w:hAnsi="仿宋" w:eastAsia="仿宋_GB2312" w:cs="仿宋_GB2312"/>
          <w:sz w:val="32"/>
          <w:szCs w:val="32"/>
        </w:rPr>
        <w:t>三是开展道路运输市场安全生产隐患排查整治工作。根据张店区交通运输局《关于全区交通运输行业安全生产专项整治三年行动工作方案》、《全区交通运输行业火灾隐患大排查大整治大预防暨冬春火灾防控行动方案》积极开展交通运输重点领域专项整治，加大执法检查的力度。道路运输市场领域，加强重点车辆运输安全治理。全面加强旅游客运、长途班线客运安全管理，进一步加强长途客运、旅游包车等重点车辆的安全检查，依法严厉打击非法夹带危险货物等行为。深化货车超限超载治理，严密危险货物运输安全监管，严格规范道路运输，严厉打击非法营运行为。加强汽车维修企业安全隐患排查，严厉查处</w:t>
      </w:r>
      <w:bookmarkStart w:id="0" w:name="_Hlk59136320"/>
      <w:r>
        <w:rPr>
          <w:rFonts w:hint="eastAsia" w:ascii="仿宋_GB2312" w:hAnsi="仿宋" w:eastAsia="仿宋_GB2312" w:cs="仿宋_GB2312"/>
          <w:sz w:val="32"/>
          <w:szCs w:val="32"/>
        </w:rPr>
        <w:t>汽车维修企业</w:t>
      </w:r>
      <w:bookmarkEnd w:id="0"/>
      <w:r>
        <w:rPr>
          <w:rFonts w:hint="eastAsia" w:ascii="仿宋_GB2312" w:hAnsi="仿宋" w:eastAsia="仿宋_GB2312" w:cs="仿宋_GB2312"/>
          <w:sz w:val="32"/>
          <w:szCs w:val="32"/>
        </w:rPr>
        <w:t>非法改装营运车辆行为。</w:t>
      </w:r>
    </w:p>
    <w:p>
      <w:pPr>
        <w:spacing w:line="600" w:lineRule="exact"/>
        <w:ind w:firstLine="1600" w:firstLineChars="500"/>
        <w:rPr>
          <w:rFonts w:ascii="仿宋_GB2312" w:hAnsi="仿宋_GB2312" w:eastAsia="仿宋_GB2312" w:cs="仿宋_GB2312"/>
          <w:sz w:val="32"/>
          <w:szCs w:val="32"/>
        </w:rPr>
      </w:pPr>
    </w:p>
    <w:p>
      <w:pPr>
        <w:spacing w:line="600" w:lineRule="exact"/>
        <w:ind w:firstLine="1600" w:firstLineChars="500"/>
        <w:rPr>
          <w:rFonts w:ascii="仿宋_GB2312" w:hAnsi="仿宋_GB2312" w:eastAsia="仿宋_GB2312" w:cs="仿宋_GB2312"/>
          <w:sz w:val="32"/>
          <w:szCs w:val="32"/>
        </w:rPr>
      </w:pPr>
    </w:p>
    <w:p>
      <w:pPr>
        <w:spacing w:line="600" w:lineRule="exact"/>
        <w:ind w:firstLine="4160" w:firstLineChars="13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2021年12月</w:t>
      </w:r>
      <w:r>
        <w:rPr>
          <w:rFonts w:hint="eastAsia" w:ascii="仿宋_GB2312" w:hAnsi="仿宋_GB2312" w:eastAsia="仿宋_GB2312" w:cs="仿宋_GB2312"/>
          <w:sz w:val="32"/>
          <w:szCs w:val="32"/>
          <w:lang w:val="en-US" w:eastAsia="zh-CN"/>
        </w:rPr>
        <w:t>31</w:t>
      </w:r>
      <w:r>
        <w:rPr>
          <w:rFonts w:hint="eastAsia" w:ascii="仿宋_GB2312" w:hAnsi="仿宋_GB2312" w:eastAsia="仿宋_GB2312" w:cs="仿宋_GB2312"/>
          <w:sz w:val="32"/>
          <w:szCs w:val="32"/>
        </w:rPr>
        <w:t>日</w:t>
      </w:r>
      <w:bookmarkStart w:id="1" w:name="_GoBack"/>
      <w:bookmarkEnd w:id="1"/>
    </w:p>
    <w:sectPr>
      <w:pgSz w:w="11906" w:h="16838"/>
      <w:pgMar w:top="1440" w:right="1633" w:bottom="1440" w:left="1800"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Arial">
    <w:panose1 w:val="020B0604020202020204"/>
    <w:charset w:val="00"/>
    <w:family w:val="swiss"/>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F271E0"/>
    <w:rsid w:val="00046C17"/>
    <w:rsid w:val="000F49AB"/>
    <w:rsid w:val="00101DA7"/>
    <w:rsid w:val="00184509"/>
    <w:rsid w:val="00193672"/>
    <w:rsid w:val="001938F7"/>
    <w:rsid w:val="001A53D2"/>
    <w:rsid w:val="001D157F"/>
    <w:rsid w:val="00204032"/>
    <w:rsid w:val="00276C1B"/>
    <w:rsid w:val="002A19EE"/>
    <w:rsid w:val="002C58CD"/>
    <w:rsid w:val="002E58C6"/>
    <w:rsid w:val="0033089A"/>
    <w:rsid w:val="00373B49"/>
    <w:rsid w:val="0042077A"/>
    <w:rsid w:val="004E12BE"/>
    <w:rsid w:val="00522E5C"/>
    <w:rsid w:val="005D5085"/>
    <w:rsid w:val="006273EC"/>
    <w:rsid w:val="00652B20"/>
    <w:rsid w:val="00655A83"/>
    <w:rsid w:val="007114A7"/>
    <w:rsid w:val="0078544F"/>
    <w:rsid w:val="00794AFB"/>
    <w:rsid w:val="007C3152"/>
    <w:rsid w:val="007C77C2"/>
    <w:rsid w:val="007E4A30"/>
    <w:rsid w:val="00811614"/>
    <w:rsid w:val="00845902"/>
    <w:rsid w:val="008544A0"/>
    <w:rsid w:val="008565A6"/>
    <w:rsid w:val="008C31A1"/>
    <w:rsid w:val="008E6BE4"/>
    <w:rsid w:val="00916BB9"/>
    <w:rsid w:val="009217D5"/>
    <w:rsid w:val="00925F5F"/>
    <w:rsid w:val="009F1601"/>
    <w:rsid w:val="009F2803"/>
    <w:rsid w:val="00A23FE8"/>
    <w:rsid w:val="00A51AC0"/>
    <w:rsid w:val="00AB402F"/>
    <w:rsid w:val="00B40095"/>
    <w:rsid w:val="00B94B58"/>
    <w:rsid w:val="00BB2327"/>
    <w:rsid w:val="00BC0C15"/>
    <w:rsid w:val="00CA231F"/>
    <w:rsid w:val="00CC2841"/>
    <w:rsid w:val="00D07DC6"/>
    <w:rsid w:val="00D424DD"/>
    <w:rsid w:val="00D51B67"/>
    <w:rsid w:val="00D52263"/>
    <w:rsid w:val="00D6102D"/>
    <w:rsid w:val="00D76B14"/>
    <w:rsid w:val="00DA508F"/>
    <w:rsid w:val="00DD43F6"/>
    <w:rsid w:val="00E20DF4"/>
    <w:rsid w:val="00EC049F"/>
    <w:rsid w:val="00EE3182"/>
    <w:rsid w:val="00F2201F"/>
    <w:rsid w:val="00F551B7"/>
    <w:rsid w:val="00F83E7F"/>
    <w:rsid w:val="00FE38AA"/>
    <w:rsid w:val="00FF3FC3"/>
    <w:rsid w:val="03E335ED"/>
    <w:rsid w:val="0B6B127F"/>
    <w:rsid w:val="0F785CFE"/>
    <w:rsid w:val="11D608FD"/>
    <w:rsid w:val="1EBA2F0D"/>
    <w:rsid w:val="1FAE3307"/>
    <w:rsid w:val="20C75403"/>
    <w:rsid w:val="23E2648F"/>
    <w:rsid w:val="26A17598"/>
    <w:rsid w:val="26F271E0"/>
    <w:rsid w:val="40781EC4"/>
    <w:rsid w:val="431C06A0"/>
    <w:rsid w:val="474523BB"/>
    <w:rsid w:val="4802320C"/>
    <w:rsid w:val="49D21E5A"/>
    <w:rsid w:val="5AE31776"/>
    <w:rsid w:val="5F4A22F6"/>
    <w:rsid w:val="60E8443C"/>
    <w:rsid w:val="65230F78"/>
    <w:rsid w:val="6A946A02"/>
    <w:rsid w:val="74FD3EEF"/>
    <w:rsid w:val="79195324"/>
    <w:rsid w:val="7F9D573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0"/>
    <w:pPr>
      <w:widowControl/>
      <w:spacing w:before="100" w:beforeAutospacing="1" w:after="100" w:afterAutospacing="1"/>
      <w:jc w:val="left"/>
    </w:pPr>
    <w:rPr>
      <w:rFonts w:ascii="宋体" w:hAnsi="宋体" w:eastAsia="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440</Words>
  <Characters>2509</Characters>
  <Lines>20</Lines>
  <Paragraphs>5</Paragraphs>
  <TotalTime>2</TotalTime>
  <ScaleCrop>false</ScaleCrop>
  <LinksUpToDate>false</LinksUpToDate>
  <CharactersWithSpaces>2944</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2021-12-17T07:30:00Z</dcterms:created>
  <dc:creator>Administrator</dc:creator>
  <cp:lastModifiedBy>Administrator</cp:lastModifiedBy>
  <cp:lastPrinted>2017-07-18T08:31:00Z</cp:lastPrinted>
  <dcterms:modified xsi:type="dcterms:W3CDTF">2021-12-22T07:41:57Z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4EBCAC2A030D4218ABC34D0174AFB028</vt:lpwstr>
  </property>
</Properties>
</file>