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ascii="微软雅黑" w:hAnsi="微软雅黑" w:eastAsia="微软雅黑" w:cs="微软雅黑"/>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4"/>
          <w:szCs w:val="44"/>
          <w:bdr w:val="none" w:color="auto" w:sz="0" w:space="0"/>
        </w:rPr>
        <w:t>张店区人民政府和平街道办事处</w:t>
      </w:r>
      <w:r>
        <w:rPr>
          <w:rFonts w:hint="default" w:ascii="方正小标宋简体" w:hAnsi="方正小标宋简体" w:eastAsia="方正小标宋简体" w:cs="方正小标宋简体"/>
          <w:i w:val="0"/>
          <w:iCs w:val="0"/>
          <w:caps w:val="0"/>
          <w:color w:val="000000"/>
          <w:spacing w:val="0"/>
          <w:sz w:val="44"/>
          <w:szCs w:val="44"/>
          <w:bdr w:val="none" w:color="auto" w:sz="0" w:space="0"/>
        </w:rPr>
        <w:t>2021年政府信息公开工作年度报告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sz w:val="32"/>
          <w:szCs w:val="32"/>
          <w:bdr w:val="none" w:color="auto" w:sz="0" w:space="0"/>
        </w:rPr>
        <w:t>根据《中华人民共和国政府信息公开条例》第</w:t>
      </w:r>
      <w:r>
        <w:rPr>
          <w:rFonts w:hint="default" w:ascii="仿宋_GB2312" w:hAnsi="微软雅黑" w:eastAsia="仿宋_GB2312" w:cs="仿宋_GB2312"/>
          <w:i w:val="0"/>
          <w:iCs w:val="0"/>
          <w:caps w:val="0"/>
          <w:color w:val="000000"/>
          <w:spacing w:val="0"/>
          <w:sz w:val="32"/>
          <w:szCs w:val="32"/>
          <w:bdr w:val="none" w:color="auto" w:sz="0" w:space="0"/>
        </w:rPr>
        <w:t>五十条的规定和《中华人民共和国政府信息公开工作年度报告格式》(国办公开办函〔2021〕30号)的要求，和平街道办事处编制了《张店区和平街道办事处2021年政府信息公开工作年度报告》。本报告由总体情况，行政机关主动公开政府信息总体情况，行政机关收到和处理政府信息公开申请情况，因政府信息公开工作被申请行政复议、提起行政诉讼情况，政府信息公开工作存在的主要问题及改进情况,其他需要报告的事项六部分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和平街道办事处严格贯彻落实《中华人民共和国政府信息公开条例》的相关要求，高点定位、狠抓落实，在主动公开、依申请公开、政府信息管理、平台建设、监督保障等方面取得了卓有成效的进步。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rPr>
        <w:t>1.主动公开。进一步完善政府信息公开制度建设，对张店区人民政府和平街道办事处政府信息公开指南进行实时更新。2021年</w:t>
      </w:r>
      <w:r>
        <w:rPr>
          <w:rFonts w:hint="default" w:ascii="仿宋_GB2312" w:hAnsi="微软雅黑" w:eastAsia="仿宋_GB2312" w:cs="仿宋_GB2312"/>
          <w:i w:val="0"/>
          <w:iCs w:val="0"/>
          <w:caps w:val="0"/>
          <w:color w:val="000000"/>
          <w:spacing w:val="0"/>
          <w:sz w:val="32"/>
          <w:szCs w:val="32"/>
          <w:bdr w:val="none" w:color="auto" w:sz="0" w:space="0"/>
        </w:rPr>
        <w:t>主动公开政府信息157条，主要类别有履职依据、机构职能、领导信息、重大决策预公开、会议公开、建议提案、行政权力、财政信息、重点领域信息公开、政策解读、人事信息、业务动态等。进一步加强政策解读，做到出台文件与解读内容同时发布。对于群众诉求，确保按时回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lang w:eastAsia="zh-CN"/>
        </w:rPr>
      </w:pPr>
      <w:r>
        <w:rPr>
          <w:rFonts w:hint="eastAsia" w:ascii="微软雅黑" w:hAnsi="微软雅黑" w:eastAsia="微软雅黑" w:cs="微软雅黑"/>
          <w:i w:val="0"/>
          <w:iCs w:val="0"/>
          <w:caps w:val="0"/>
          <w:color w:val="000000"/>
          <w:spacing w:val="0"/>
          <w:sz w:val="24"/>
          <w:szCs w:val="24"/>
          <w:lang w:eastAsia="zh-CN"/>
        </w:rPr>
        <w:drawing>
          <wp:inline distT="0" distB="0" distL="114300" distR="114300">
            <wp:extent cx="4657725" cy="2828925"/>
            <wp:effectExtent l="0" t="0" r="9525" b="9525"/>
            <wp:docPr id="3" name="图片 3" descr="62289c413f963d17a234d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2289c413f963d17a234d22a"/>
                    <pic:cNvPicPr>
                      <a:picLocks noChangeAspect="1"/>
                    </pic:cNvPicPr>
                  </pic:nvPicPr>
                  <pic:blipFill>
                    <a:blip r:embed="rId4"/>
                    <a:stretch>
                      <a:fillRect/>
                    </a:stretch>
                  </pic:blipFill>
                  <pic:spPr>
                    <a:xfrm>
                      <a:off x="0" y="0"/>
                      <a:ext cx="4657725" cy="282892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2.依申请公开。2021年收到依申请公开事项2件，主要涉及城西新村片区城市更新项目和世纪路商场路路口东南角恒基花苑西门沿街房户外广告牌规划问题，全部按时答复，未收取任何材料费用，未收到政府信息公开行政复议、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3.政府信息管理。细化工作制度，加强政务公开工作领导小组建设，及时更新主动公开基本目录。对于拟发布的信息进行多次审核，并最终交由专人上传政府网站。向相关群众、企业等精准推送政务公开信息，设置一键查询功能，不断提升服务的自觉性和便利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drawing>
          <wp:inline distT="0" distB="0" distL="114300" distR="114300">
            <wp:extent cx="4762500" cy="35623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762500" cy="35623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4.政务信息公开平台建设。加强本单位政府网站建设，做到实时更新、全面公开。融合和平街道便民服务平台和和平街道党建两个政务新媒体，丰富政务公开形式。设立和平街道办事处和和平街道党群服务中心两个政府信息公开查阅点，切实做好线下便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5.监督保障。和平街道政务公开领导小组负责对本单位政务公开工作进行监督，每季度进行例行检查。政务公开领导小组下设办公室，设在和平街道党政办，由党工委副书记担任办公室主任，四名党政办工作人员担任政务公开专职人员。2021年共举办4次政务公开培训，有效提高了相关工作人员的业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所列数据的统计期限是2021年1月1日至2021年12月31日。本报告电子版可以在淄博市张店区人民政府门户网站（www.zhangdian.gov.cn）查阅或下载。如对报告内容有疑问，请与张店区和平街道办事处党政办公室联系（地址：张店区南西四路16号，邮编：255000，电话：0533-2216633，传真：0533-2216633，电子邮箱：zdqhpjd@zb.shandong.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rPr>
        <w:t>二、主动公开政府信息情况</w:t>
      </w:r>
    </w:p>
    <w:tbl>
      <w:tblPr>
        <w:tblW w:w="8708" w:type="dxa"/>
        <w:tblInd w:w="0" w:type="dxa"/>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autofit"/>
        <w:tblCellMar>
          <w:top w:w="0" w:type="dxa"/>
          <w:left w:w="0" w:type="dxa"/>
          <w:bottom w:w="0" w:type="dxa"/>
          <w:right w:w="0" w:type="dxa"/>
        </w:tblCellMar>
      </w:tblPr>
      <w:tblGrid>
        <w:gridCol w:w="2373"/>
        <w:gridCol w:w="1800"/>
        <w:gridCol w:w="1863"/>
        <w:gridCol w:w="2672"/>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CellMar>
            <w:top w:w="0" w:type="dxa"/>
            <w:left w:w="0" w:type="dxa"/>
            <w:bottom w:w="0" w:type="dxa"/>
            <w:right w:w="0" w:type="dxa"/>
          </w:tblCellMar>
        </w:tblPrEx>
        <w:trPr>
          <w:trHeight w:val="594" w:hRule="atLeast"/>
        </w:trPr>
        <w:tc>
          <w:tcPr>
            <w:tcW w:w="8708"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第二十条第（一）项</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0" w:type="dxa"/>
            <w:bottom w:w="0" w:type="dxa"/>
            <w:right w:w="0" w:type="dxa"/>
          </w:tblCellMar>
        </w:tblPrEx>
        <w:trPr>
          <w:trHeight w:val="866" w:hRule="atLeast"/>
        </w:trPr>
        <w:tc>
          <w:tcPr>
            <w:tcW w:w="23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信息内容</w:t>
            </w:r>
          </w:p>
        </w:tc>
        <w:tc>
          <w:tcPr>
            <w:tcW w:w="180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本年制发件数</w:t>
            </w:r>
          </w:p>
        </w:tc>
        <w:tc>
          <w:tcPr>
            <w:tcW w:w="186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本年废止件数</w:t>
            </w:r>
          </w:p>
        </w:tc>
        <w:tc>
          <w:tcPr>
            <w:tcW w:w="26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现行有效件数</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CellMar>
            <w:top w:w="0" w:type="dxa"/>
            <w:left w:w="0" w:type="dxa"/>
            <w:bottom w:w="0" w:type="dxa"/>
            <w:right w:w="0" w:type="dxa"/>
          </w:tblCellMar>
        </w:tblPrEx>
        <w:trPr>
          <w:trHeight w:val="399" w:hRule="atLeast"/>
        </w:trPr>
        <w:tc>
          <w:tcPr>
            <w:tcW w:w="23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宋体" w:hAnsi="宋体" w:eastAsia="宋体" w:cs="宋体"/>
                <w:i w:val="0"/>
                <w:iCs w:val="0"/>
                <w:caps w:val="0"/>
                <w:color w:val="000000"/>
                <w:spacing w:val="0"/>
                <w:sz w:val="24"/>
                <w:szCs w:val="24"/>
                <w:bdr w:val="none" w:color="auto" w:sz="0" w:space="0"/>
              </w:rPr>
              <w:t>规章</w:t>
            </w:r>
          </w:p>
        </w:tc>
        <w:tc>
          <w:tcPr>
            <w:tcW w:w="180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0</w:t>
            </w:r>
          </w:p>
        </w:tc>
        <w:tc>
          <w:tcPr>
            <w:tcW w:w="186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 0</w:t>
            </w:r>
          </w:p>
        </w:tc>
        <w:tc>
          <w:tcPr>
            <w:tcW w:w="26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　0</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CellMar>
            <w:top w:w="0" w:type="dxa"/>
            <w:left w:w="0" w:type="dxa"/>
            <w:bottom w:w="0" w:type="dxa"/>
            <w:right w:w="0" w:type="dxa"/>
          </w:tblCellMar>
        </w:tblPrEx>
        <w:trPr>
          <w:trHeight w:val="404" w:hRule="atLeast"/>
        </w:trPr>
        <w:tc>
          <w:tcPr>
            <w:tcW w:w="23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宋体" w:hAnsi="宋体" w:eastAsia="宋体" w:cs="宋体"/>
                <w:i w:val="0"/>
                <w:iCs w:val="0"/>
                <w:caps w:val="0"/>
                <w:color w:val="000000"/>
                <w:spacing w:val="0"/>
                <w:sz w:val="24"/>
                <w:szCs w:val="24"/>
                <w:bdr w:val="none" w:color="auto" w:sz="0" w:space="0"/>
              </w:rPr>
              <w:t>行政规范性文件</w:t>
            </w:r>
          </w:p>
        </w:tc>
        <w:tc>
          <w:tcPr>
            <w:tcW w:w="180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0　</w:t>
            </w:r>
          </w:p>
        </w:tc>
        <w:tc>
          <w:tcPr>
            <w:tcW w:w="186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 0</w:t>
            </w:r>
          </w:p>
        </w:tc>
        <w:tc>
          <w:tcPr>
            <w:tcW w:w="267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 0</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第二十条第（五）项</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CellMar>
            <w:top w:w="0" w:type="dxa"/>
            <w:left w:w="0" w:type="dxa"/>
            <w:bottom w:w="0" w:type="dxa"/>
            <w:right w:w="0" w:type="dxa"/>
          </w:tblCellMar>
        </w:tblPrEx>
        <w:trPr>
          <w:trHeight w:val="516" w:hRule="atLeast"/>
        </w:trPr>
        <w:tc>
          <w:tcPr>
            <w:tcW w:w="23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信息内容</w:t>
            </w:r>
          </w:p>
        </w:tc>
        <w:tc>
          <w:tcPr>
            <w:tcW w:w="63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本年处理决定数量</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CellMar>
            <w:top w:w="0" w:type="dxa"/>
            <w:left w:w="0" w:type="dxa"/>
            <w:bottom w:w="0" w:type="dxa"/>
            <w:right w:w="0" w:type="dxa"/>
          </w:tblCellMar>
        </w:tblPrEx>
        <w:trPr>
          <w:trHeight w:val="608" w:hRule="atLeast"/>
        </w:trPr>
        <w:tc>
          <w:tcPr>
            <w:tcW w:w="23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宋体" w:hAnsi="宋体" w:eastAsia="宋体" w:cs="宋体"/>
                <w:i w:val="0"/>
                <w:iCs w:val="0"/>
                <w:caps w:val="0"/>
                <w:color w:val="000000"/>
                <w:spacing w:val="0"/>
                <w:sz w:val="24"/>
                <w:szCs w:val="24"/>
                <w:bdr w:val="none" w:color="auto" w:sz="0" w:space="0"/>
              </w:rPr>
              <w:t>行政许可</w:t>
            </w:r>
          </w:p>
        </w:tc>
        <w:tc>
          <w:tcPr>
            <w:tcW w:w="63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CellMar>
            <w:top w:w="0" w:type="dxa"/>
            <w:left w:w="0" w:type="dxa"/>
            <w:bottom w:w="0" w:type="dxa"/>
            <w:right w:w="0" w:type="dxa"/>
          </w:tblCellMar>
        </w:tblPrEx>
        <w:trPr>
          <w:trHeight w:val="497" w:hRule="atLeast"/>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第二十条第（六）项</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CellMar>
            <w:top w:w="0" w:type="dxa"/>
            <w:left w:w="0" w:type="dxa"/>
            <w:bottom w:w="0" w:type="dxa"/>
            <w:right w:w="0" w:type="dxa"/>
          </w:tblCellMar>
        </w:tblPrEx>
        <w:trPr>
          <w:trHeight w:val="547" w:hRule="atLeast"/>
        </w:trPr>
        <w:tc>
          <w:tcPr>
            <w:tcW w:w="23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信息内容</w:t>
            </w:r>
          </w:p>
        </w:tc>
        <w:tc>
          <w:tcPr>
            <w:tcW w:w="63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本年处理决定数量</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CellMar>
            <w:top w:w="0" w:type="dxa"/>
            <w:left w:w="0" w:type="dxa"/>
            <w:bottom w:w="0" w:type="dxa"/>
            <w:right w:w="0" w:type="dxa"/>
          </w:tblCellMar>
        </w:tblPrEx>
        <w:trPr>
          <w:trHeight w:val="430" w:hRule="atLeast"/>
        </w:trPr>
        <w:tc>
          <w:tcPr>
            <w:tcW w:w="23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宋体" w:hAnsi="宋体" w:eastAsia="宋体" w:cs="宋体"/>
                <w:i w:val="0"/>
                <w:iCs w:val="0"/>
                <w:caps w:val="0"/>
                <w:color w:val="000000"/>
                <w:spacing w:val="0"/>
                <w:sz w:val="24"/>
                <w:szCs w:val="24"/>
                <w:bdr w:val="none" w:color="auto" w:sz="0" w:space="0"/>
              </w:rPr>
              <w:t>行政处罚</w:t>
            </w:r>
          </w:p>
        </w:tc>
        <w:tc>
          <w:tcPr>
            <w:tcW w:w="63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CellMar>
            <w:top w:w="0" w:type="dxa"/>
            <w:left w:w="0" w:type="dxa"/>
            <w:bottom w:w="0" w:type="dxa"/>
            <w:right w:w="0" w:type="dxa"/>
          </w:tblCellMar>
        </w:tblPrEx>
        <w:trPr>
          <w:trHeight w:val="409" w:hRule="atLeast"/>
        </w:trPr>
        <w:tc>
          <w:tcPr>
            <w:tcW w:w="23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宋体" w:hAnsi="宋体" w:eastAsia="宋体" w:cs="宋体"/>
                <w:i w:val="0"/>
                <w:iCs w:val="0"/>
                <w:caps w:val="0"/>
                <w:color w:val="000000"/>
                <w:spacing w:val="0"/>
                <w:sz w:val="24"/>
                <w:szCs w:val="24"/>
                <w:bdr w:val="none" w:color="auto" w:sz="0" w:space="0"/>
              </w:rPr>
              <w:t>行政强制</w:t>
            </w:r>
          </w:p>
        </w:tc>
        <w:tc>
          <w:tcPr>
            <w:tcW w:w="6335"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0</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CellMar>
            <w:top w:w="0" w:type="dxa"/>
            <w:left w:w="0" w:type="dxa"/>
            <w:bottom w:w="0" w:type="dxa"/>
            <w:right w:w="0" w:type="dxa"/>
          </w:tblCellMar>
        </w:tblPrEx>
        <w:trPr>
          <w:trHeight w:val="474" w:hRule="atLeast"/>
        </w:trPr>
        <w:tc>
          <w:tcPr>
            <w:tcW w:w="8708"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第二十条第（八）项</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CellMar>
            <w:top w:w="0" w:type="dxa"/>
            <w:left w:w="0" w:type="dxa"/>
            <w:bottom w:w="0" w:type="dxa"/>
            <w:right w:w="0" w:type="dxa"/>
          </w:tblCellMar>
        </w:tblPrEx>
        <w:trPr>
          <w:trHeight w:val="447" w:hRule="atLeast"/>
        </w:trPr>
        <w:tc>
          <w:tcPr>
            <w:tcW w:w="23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信息内容</w:t>
            </w:r>
          </w:p>
        </w:tc>
        <w:tc>
          <w:tcPr>
            <w:tcW w:w="633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本年收费金额（单位：万元）</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CellMar>
            <w:top w:w="0" w:type="dxa"/>
            <w:left w:w="0" w:type="dxa"/>
            <w:bottom w:w="0" w:type="dxa"/>
            <w:right w:w="0" w:type="dxa"/>
          </w:tblCellMar>
        </w:tblPrEx>
        <w:trPr>
          <w:trHeight w:val="440" w:hRule="atLeast"/>
        </w:trPr>
        <w:tc>
          <w:tcPr>
            <w:tcW w:w="237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宋体" w:hAnsi="宋体" w:eastAsia="宋体" w:cs="宋体"/>
                <w:i w:val="0"/>
                <w:iCs w:val="0"/>
                <w:caps w:val="0"/>
                <w:color w:val="000000"/>
                <w:spacing w:val="0"/>
                <w:sz w:val="24"/>
                <w:szCs w:val="24"/>
                <w:bdr w:val="none" w:color="auto" w:sz="0" w:space="0"/>
              </w:rPr>
              <w:t>行政事业性收费</w:t>
            </w:r>
          </w:p>
        </w:tc>
        <w:tc>
          <w:tcPr>
            <w:tcW w:w="6335" w:type="dxa"/>
            <w:gridSpan w:val="3"/>
            <w:tcBorders>
              <w:top w:val="nil"/>
              <w:left w:val="nil"/>
              <w:bottom w:val="single" w:color="auto"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i w:val="0"/>
                <w:iCs w:val="0"/>
                <w:caps w:val="0"/>
                <w:color w:val="000000"/>
                <w:spacing w:val="0"/>
                <w:sz w:val="24"/>
                <w:szCs w:val="24"/>
                <w:bdr w:val="none" w:color="auto" w:sz="0" w:space="0"/>
              </w:rPr>
              <w:t>0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rPr>
        <w:t>三、收到和处理政府信息公开申请情况</w:t>
      </w:r>
    </w:p>
    <w:tbl>
      <w:tblPr>
        <w:tblW w:w="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16"/>
        <w:gridCol w:w="1334"/>
        <w:gridCol w:w="2532"/>
        <w:gridCol w:w="791"/>
        <w:gridCol w:w="533"/>
        <w:gridCol w:w="533"/>
        <w:gridCol w:w="533"/>
        <w:gridCol w:w="533"/>
        <w:gridCol w:w="511"/>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3" w:hRule="atLeast"/>
          <w:jc w:val="center"/>
        </w:trPr>
        <w:tc>
          <w:tcPr>
            <w:tcW w:w="4814"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宋体" w:hAnsi="宋体" w:eastAsia="宋体" w:cs="宋体"/>
                <w:sz w:val="20"/>
                <w:szCs w:val="20"/>
                <w:bdr w:val="none" w:color="auto" w:sz="0" w:space="0"/>
              </w:rPr>
              <w:t>（本列数据的勾稽关系为：第一项加第二项之和，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sz w:val="20"/>
                <w:szCs w:val="20"/>
                <w:bdr w:val="none" w:color="auto" w:sz="0" w:space="0"/>
              </w:rPr>
              <w:t>等于第三项加第四项之和）</w:t>
            </w:r>
          </w:p>
        </w:tc>
        <w:tc>
          <w:tcPr>
            <w:tcW w:w="4257"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sz w:val="20"/>
                <w:szCs w:val="20"/>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4814"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sz w:val="20"/>
                <w:szCs w:val="20"/>
                <w:bdr w:val="none" w:color="auto" w:sz="0" w:space="0"/>
              </w:rPr>
              <w:t>自然人</w:t>
            </w:r>
          </w:p>
        </w:tc>
        <w:tc>
          <w:tcPr>
            <w:tcW w:w="2784"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sz w:val="20"/>
                <w:szCs w:val="20"/>
                <w:bdr w:val="none" w:color="auto" w:sz="0" w:space="0"/>
              </w:rPr>
              <w:t>法人或其他组织</w:t>
            </w:r>
          </w:p>
        </w:tc>
        <w:tc>
          <w:tcPr>
            <w:tcW w:w="631"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27" w:hRule="atLeast"/>
          <w:jc w:val="center"/>
        </w:trPr>
        <w:tc>
          <w:tcPr>
            <w:tcW w:w="4814"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4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06" w:right="-107" w:hanging="1"/>
              <w:jc w:val="center"/>
              <w:rPr>
                <w:sz w:val="24"/>
                <w:szCs w:val="24"/>
              </w:rPr>
            </w:pPr>
            <w:r>
              <w:rPr>
                <w:rFonts w:hint="eastAsia" w:ascii="宋体" w:hAnsi="宋体" w:eastAsia="宋体" w:cs="宋体"/>
                <w:sz w:val="20"/>
                <w:szCs w:val="20"/>
                <w:bdr w:val="none" w:color="auto" w:sz="0" w:space="0"/>
              </w:rPr>
              <w:t>商业企业</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07" w:right="-107"/>
              <w:jc w:val="center"/>
              <w:rPr>
                <w:sz w:val="24"/>
                <w:szCs w:val="24"/>
              </w:rPr>
            </w:pPr>
            <w:r>
              <w:rPr>
                <w:rFonts w:hint="eastAsia" w:ascii="宋体" w:hAnsi="宋体" w:eastAsia="宋体" w:cs="宋体"/>
                <w:sz w:val="20"/>
                <w:szCs w:val="20"/>
                <w:bdr w:val="none" w:color="auto" w:sz="0" w:space="0"/>
              </w:rPr>
              <w:t>科研机构</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07" w:right="-107"/>
              <w:jc w:val="center"/>
              <w:rPr>
                <w:sz w:val="24"/>
                <w:szCs w:val="24"/>
              </w:rPr>
            </w:pPr>
            <w:r>
              <w:rPr>
                <w:rFonts w:hint="eastAsia" w:ascii="宋体" w:hAnsi="宋体" w:eastAsia="宋体" w:cs="宋体"/>
                <w:sz w:val="20"/>
                <w:szCs w:val="20"/>
                <w:bdr w:val="none" w:color="auto" w:sz="0" w:space="0"/>
              </w:rPr>
              <w:t>社会公益组织</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06" w:right="-107" w:hanging="1"/>
              <w:jc w:val="center"/>
              <w:rPr>
                <w:sz w:val="24"/>
                <w:szCs w:val="24"/>
              </w:rPr>
            </w:pPr>
            <w:r>
              <w:rPr>
                <w:rFonts w:hint="eastAsia" w:ascii="宋体" w:hAnsi="宋体" w:eastAsia="宋体" w:cs="宋体"/>
                <w:sz w:val="20"/>
                <w:szCs w:val="20"/>
                <w:bdr w:val="none" w:color="auto" w:sz="0" w:space="0"/>
              </w:rPr>
              <w:t>法律服务机构</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3" w:right="-134"/>
              <w:jc w:val="center"/>
              <w:rPr>
                <w:sz w:val="24"/>
                <w:szCs w:val="24"/>
              </w:rPr>
            </w:pPr>
            <w:r>
              <w:rPr>
                <w:rFonts w:hint="eastAsia" w:ascii="宋体" w:hAnsi="宋体" w:eastAsia="宋体" w:cs="宋体"/>
                <w:sz w:val="20"/>
                <w:szCs w:val="20"/>
                <w:bdr w:val="none" w:color="auto" w:sz="0" w:space="0"/>
              </w:rPr>
              <w:t>其他</w:t>
            </w:r>
          </w:p>
        </w:tc>
        <w:tc>
          <w:tcPr>
            <w:tcW w:w="631"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81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宋体" w:hAnsi="宋体" w:eastAsia="宋体" w:cs="宋体"/>
                <w:sz w:val="20"/>
                <w:szCs w:val="20"/>
                <w:bdr w:val="none" w:color="auto" w:sz="0" w:space="0"/>
              </w:rPr>
              <w:t>一、本年新收政府信息公开申请数量</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2</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81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宋体" w:hAnsi="宋体" w:eastAsia="宋体" w:cs="宋体"/>
                <w:sz w:val="20"/>
                <w:szCs w:val="20"/>
                <w:bdr w:val="none" w:color="auto" w:sz="0" w:space="0"/>
              </w:rPr>
              <w:t>二、上年结转政府信息公开申请数量</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rPr>
                <w:sz w:val="24"/>
                <w:szCs w:val="24"/>
              </w:rPr>
            </w:pPr>
            <w:r>
              <w:rPr>
                <w:rFonts w:hint="eastAsia" w:ascii="宋体" w:hAnsi="宋体" w:eastAsia="宋体" w:cs="宋体"/>
                <w:sz w:val="20"/>
                <w:szCs w:val="20"/>
                <w:bdr w:val="none" w:color="auto" w:sz="0" w:space="0"/>
              </w:rPr>
              <w:t>三、本年度办理结果</w:t>
            </w:r>
          </w:p>
        </w:tc>
        <w:tc>
          <w:tcPr>
            <w:tcW w:w="4198"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ascii="楷体" w:hAnsi="楷体" w:eastAsia="楷体" w:cs="楷体"/>
                <w:sz w:val="20"/>
                <w:szCs w:val="20"/>
                <w:bdr w:val="none" w:color="auto" w:sz="0" w:space="0"/>
              </w:rPr>
              <w:t>（一）予以公开</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1</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198"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（二）部分公开（区分处理的，只计这一情形，不计其他情形）</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07" w:right="0"/>
              <w:rPr>
                <w:sz w:val="24"/>
                <w:szCs w:val="24"/>
              </w:rPr>
            </w:pPr>
            <w:r>
              <w:rPr>
                <w:rFonts w:hint="eastAsia" w:ascii="楷体" w:hAnsi="楷体" w:eastAsia="楷体" w:cs="楷体"/>
                <w:sz w:val="20"/>
                <w:szCs w:val="20"/>
                <w:bdr w:val="none" w:color="auto" w:sz="0" w:space="0"/>
              </w:rPr>
              <w:t>（三）不予公开</w:t>
            </w: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1.属于国家秘密</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2.其他法律行政法规禁止公开</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3.危及“三安全一稳定”</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4.保护第三方合法权益</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5.属于三类内部事务信息</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6.属于四类过程性信息</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7.属于行政执法案卷</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8.属于行政查询事项</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07" w:right="0"/>
              <w:rPr>
                <w:sz w:val="24"/>
                <w:szCs w:val="24"/>
              </w:rPr>
            </w:pPr>
            <w:r>
              <w:rPr>
                <w:rFonts w:hint="eastAsia" w:ascii="楷体" w:hAnsi="楷体" w:eastAsia="楷体" w:cs="楷体"/>
                <w:sz w:val="20"/>
                <w:szCs w:val="20"/>
                <w:bdr w:val="none" w:color="auto" w:sz="0" w:space="0"/>
              </w:rPr>
              <w:t>（四）无法提供</w:t>
            </w: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1.本机关不掌握相关政府信息</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1</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2.没有现成信息需要另行制作</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3.补正后申请内容仍不明确</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07" w:right="0"/>
              <w:rPr>
                <w:sz w:val="24"/>
                <w:szCs w:val="24"/>
              </w:rPr>
            </w:pPr>
            <w:r>
              <w:rPr>
                <w:rFonts w:hint="eastAsia" w:ascii="楷体" w:hAnsi="楷体" w:eastAsia="楷体" w:cs="楷体"/>
                <w:sz w:val="20"/>
                <w:szCs w:val="20"/>
                <w:bdr w:val="none" w:color="auto" w:sz="0" w:space="0"/>
              </w:rPr>
              <w:t>（五）不予处理</w:t>
            </w: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1.信访举报投诉类申请</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2.重复申请</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3.要求提供公开出版物</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4.无正当理由大量反复申请</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5.要求行政机关确认或重新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00"/>
              <w:rPr>
                <w:sz w:val="24"/>
                <w:szCs w:val="24"/>
              </w:rPr>
            </w:pPr>
            <w:r>
              <w:rPr>
                <w:rFonts w:hint="eastAsia" w:ascii="楷体" w:hAnsi="楷体" w:eastAsia="楷体" w:cs="楷体"/>
                <w:sz w:val="20"/>
                <w:szCs w:val="20"/>
                <w:bdr w:val="none" w:color="auto" w:sz="0" w:space="0"/>
              </w:rPr>
              <w:t>出具已获取信息</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restart"/>
            <w:tcBorders>
              <w:top w:val="nil"/>
              <w:left w:val="nil"/>
              <w:bottom w:val="outset"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（六）其他处理</w:t>
            </w: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1.申请人无正当理由逾期不补正、行政机关不再处理其政府信息公开申请</w:t>
            </w:r>
          </w:p>
        </w:tc>
        <w:tc>
          <w:tcPr>
            <w:tcW w:w="842" w:type="dxa"/>
            <w:vMerge w:val="restart"/>
            <w:tcBorders>
              <w:top w:val="nil"/>
              <w:left w:val="nil"/>
              <w:bottom w:val="outset"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vMerge w:val="restart"/>
            <w:tcBorders>
              <w:top w:val="nil"/>
              <w:left w:val="nil"/>
              <w:bottom w:val="outset"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vMerge w:val="restart"/>
            <w:tcBorders>
              <w:top w:val="nil"/>
              <w:left w:val="nil"/>
              <w:bottom w:val="outset"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vMerge w:val="restart"/>
            <w:tcBorders>
              <w:top w:val="nil"/>
              <w:left w:val="nil"/>
              <w:bottom w:val="outset"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vMerge w:val="restart"/>
            <w:tcBorders>
              <w:top w:val="nil"/>
              <w:left w:val="nil"/>
              <w:bottom w:val="outset"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vMerge w:val="restart"/>
            <w:tcBorders>
              <w:top w:val="nil"/>
              <w:left w:val="nil"/>
              <w:bottom w:val="outset"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vMerge w:val="restart"/>
            <w:tcBorders>
              <w:top w:val="nil"/>
              <w:left w:val="nil"/>
              <w:bottom w:val="outset"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2.申请人逾期未按收费通知要求缴纳费用，行政机关不再处理其政府信息公开申请</w:t>
            </w:r>
          </w:p>
        </w:tc>
        <w:tc>
          <w:tcPr>
            <w:tcW w:w="842"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2"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2"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2"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2"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6"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31"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2"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405"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3.其他</w:t>
            </w:r>
          </w:p>
        </w:tc>
        <w:tc>
          <w:tcPr>
            <w:tcW w:w="842"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2"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2"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2"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62"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36"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31" w:type="dxa"/>
            <w:vMerge w:val="continue"/>
            <w:tcBorders>
              <w:top w:val="nil"/>
              <w:left w:val="nil"/>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198"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楷体" w:hAnsi="楷体" w:eastAsia="楷体" w:cs="楷体"/>
                <w:sz w:val="20"/>
                <w:szCs w:val="20"/>
                <w:bdr w:val="none" w:color="auto" w:sz="0" w:space="0"/>
              </w:rPr>
              <w:t>（七）总计</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2</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814"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宋体" w:hAnsi="宋体" w:eastAsia="宋体" w:cs="宋体"/>
                <w:sz w:val="20"/>
                <w:szCs w:val="20"/>
                <w:bdr w:val="none" w:color="auto" w:sz="0" w:space="0"/>
              </w:rPr>
              <w:t>四、结转下年度继续办理</w:t>
            </w:r>
          </w:p>
        </w:tc>
        <w:tc>
          <w:tcPr>
            <w:tcW w:w="8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6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53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c>
          <w:tcPr>
            <w:tcW w:w="63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1"/>
                <w:szCs w:val="21"/>
                <w:bdr w:val="none" w:color="auto" w:sz="0" w:space="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rPr>
        <w:t>四、因政府信息公开工作被申请行政复议、提起行政诉讼情况</w:t>
      </w:r>
    </w:p>
    <w:tbl>
      <w:tblPr>
        <w:tblW w:w="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9"/>
        <w:gridCol w:w="539"/>
        <w:gridCol w:w="539"/>
        <w:gridCol w:w="539"/>
        <w:gridCol w:w="593"/>
        <w:gridCol w:w="541"/>
        <w:gridCol w:w="581"/>
        <w:gridCol w:w="581"/>
        <w:gridCol w:w="581"/>
        <w:gridCol w:w="581"/>
        <w:gridCol w:w="581"/>
        <w:gridCol w:w="581"/>
        <w:gridCol w:w="581"/>
        <w:gridCol w:w="582"/>
        <w:gridCol w:w="5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sz w:val="20"/>
                <w:szCs w:val="20"/>
                <w:bdr w:val="none" w:color="auto" w:sz="0" w:space="0"/>
              </w:rPr>
              <w:t>行政复议</w:t>
            </w:r>
          </w:p>
        </w:tc>
        <w:tc>
          <w:tcPr>
            <w:tcW w:w="5997"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sz w:val="20"/>
                <w:szCs w:val="20"/>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49" w:right="-170"/>
              <w:jc w:val="center"/>
              <w:rPr>
                <w:sz w:val="24"/>
                <w:szCs w:val="24"/>
              </w:rPr>
            </w:pPr>
            <w:r>
              <w:rPr>
                <w:rFonts w:hint="eastAsia" w:ascii="宋体" w:hAnsi="宋体" w:eastAsia="宋体" w:cs="宋体"/>
                <w:sz w:val="20"/>
                <w:szCs w:val="20"/>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49" w:right="-170"/>
              <w:jc w:val="center"/>
              <w:rPr>
                <w:sz w:val="24"/>
                <w:szCs w:val="24"/>
              </w:rPr>
            </w:pPr>
            <w:r>
              <w:rPr>
                <w:rFonts w:hint="eastAsia" w:ascii="宋体" w:hAnsi="宋体" w:eastAsia="宋体" w:cs="宋体"/>
                <w:sz w:val="20"/>
                <w:szCs w:val="20"/>
                <w:bdr w:val="none" w:color="auto" w:sz="0" w:space="0"/>
              </w:rPr>
              <w:t>维持</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43" w:right="-132" w:hanging="1"/>
              <w:jc w:val="center"/>
              <w:rPr>
                <w:sz w:val="24"/>
                <w:szCs w:val="24"/>
              </w:rPr>
            </w:pPr>
            <w:r>
              <w:rPr>
                <w:rFonts w:hint="eastAsia" w:ascii="宋体" w:hAnsi="宋体" w:eastAsia="宋体" w:cs="宋体"/>
                <w:sz w:val="20"/>
                <w:szCs w:val="20"/>
                <w:bdr w:val="none" w:color="auto" w:sz="0" w:space="0"/>
              </w:rPr>
              <w:t>结果纠正</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82" w:right="-97"/>
              <w:jc w:val="center"/>
              <w:rPr>
                <w:sz w:val="24"/>
                <w:szCs w:val="24"/>
              </w:rPr>
            </w:pPr>
            <w:r>
              <w:rPr>
                <w:rFonts w:hint="eastAsia" w:ascii="宋体" w:hAnsi="宋体" w:eastAsia="宋体" w:cs="宋体"/>
                <w:sz w:val="20"/>
                <w:szCs w:val="20"/>
                <w:bdr w:val="none" w:color="auto" w:sz="0" w:space="0"/>
              </w:rPr>
              <w:t>其他结果</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18" w:right="-118"/>
              <w:jc w:val="center"/>
              <w:rPr>
                <w:sz w:val="24"/>
                <w:szCs w:val="24"/>
              </w:rPr>
            </w:pPr>
            <w:r>
              <w:rPr>
                <w:rFonts w:hint="eastAsia" w:ascii="宋体" w:hAnsi="宋体" w:eastAsia="宋体" w:cs="宋体"/>
                <w:sz w:val="20"/>
                <w:szCs w:val="20"/>
                <w:bdr w:val="none" w:color="auto" w:sz="0" w:space="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18" w:right="-118"/>
              <w:jc w:val="center"/>
              <w:rPr>
                <w:sz w:val="24"/>
                <w:szCs w:val="24"/>
              </w:rPr>
            </w:pPr>
            <w:r>
              <w:rPr>
                <w:rFonts w:hint="eastAsia" w:ascii="宋体" w:hAnsi="宋体" w:eastAsia="宋体" w:cs="宋体"/>
                <w:sz w:val="20"/>
                <w:szCs w:val="20"/>
                <w:bdr w:val="none" w:color="auto" w:sz="0" w:space="0"/>
              </w:rPr>
              <w:t>审结</w:t>
            </w:r>
          </w:p>
        </w:tc>
        <w:tc>
          <w:tcPr>
            <w:tcW w:w="65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sz w:val="20"/>
                <w:szCs w:val="20"/>
                <w:bdr w:val="none" w:color="auto" w:sz="0" w:space="0"/>
              </w:rPr>
              <w:t>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sz w:val="20"/>
                <w:szCs w:val="20"/>
                <w:bdr w:val="none" w:color="auto" w:sz="0" w:space="0"/>
              </w:rPr>
              <w:t>计</w:t>
            </w:r>
          </w:p>
        </w:tc>
        <w:tc>
          <w:tcPr>
            <w:tcW w:w="2970"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sz w:val="20"/>
                <w:szCs w:val="20"/>
                <w:bdr w:val="none" w:color="auto" w:sz="0" w:space="0"/>
              </w:rPr>
              <w:t>未经复议直接起诉</w:t>
            </w:r>
          </w:p>
        </w:tc>
        <w:tc>
          <w:tcPr>
            <w:tcW w:w="3027"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sz w:val="20"/>
                <w:szCs w:val="20"/>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05" w:right="-126"/>
              <w:jc w:val="center"/>
              <w:rPr>
                <w:sz w:val="24"/>
                <w:szCs w:val="24"/>
              </w:rPr>
            </w:pPr>
            <w:r>
              <w:rPr>
                <w:rFonts w:hint="eastAsia" w:ascii="宋体" w:hAnsi="宋体" w:eastAsia="宋体" w:cs="宋体"/>
                <w:sz w:val="20"/>
                <w:szCs w:val="20"/>
                <w:bdr w:val="none" w:color="auto" w:sz="0" w:space="0"/>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86" w:right="-88"/>
              <w:jc w:val="center"/>
              <w:rPr>
                <w:sz w:val="24"/>
                <w:szCs w:val="24"/>
              </w:rPr>
            </w:pPr>
            <w:r>
              <w:rPr>
                <w:rFonts w:hint="eastAsia" w:ascii="宋体" w:hAnsi="宋体" w:eastAsia="宋体" w:cs="宋体"/>
                <w:sz w:val="20"/>
                <w:szCs w:val="20"/>
                <w:bdr w:val="none" w:color="auto" w:sz="0" w:space="0"/>
              </w:rPr>
              <w:t>结果纠正</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6" w:right="-136"/>
              <w:jc w:val="center"/>
              <w:rPr>
                <w:sz w:val="24"/>
                <w:szCs w:val="24"/>
              </w:rPr>
            </w:pPr>
            <w:r>
              <w:rPr>
                <w:rFonts w:hint="eastAsia" w:ascii="宋体" w:hAnsi="宋体" w:eastAsia="宋体" w:cs="宋体"/>
                <w:sz w:val="20"/>
                <w:szCs w:val="20"/>
                <w:bdr w:val="none" w:color="auto" w:sz="0" w:space="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6" w:right="-136"/>
              <w:jc w:val="center"/>
              <w:rPr>
                <w:sz w:val="24"/>
                <w:szCs w:val="24"/>
              </w:rPr>
            </w:pPr>
            <w:r>
              <w:rPr>
                <w:rFonts w:hint="eastAsia" w:ascii="宋体" w:hAnsi="宋体" w:eastAsia="宋体" w:cs="宋体"/>
                <w:sz w:val="20"/>
                <w:szCs w:val="20"/>
                <w:bdr w:val="none" w:color="auto" w:sz="0" w:space="0"/>
              </w:rPr>
              <w:t>结果</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64" w:right="-153"/>
              <w:jc w:val="center"/>
              <w:rPr>
                <w:sz w:val="24"/>
                <w:szCs w:val="24"/>
              </w:rPr>
            </w:pPr>
            <w:r>
              <w:rPr>
                <w:rFonts w:hint="eastAsia" w:ascii="宋体" w:hAnsi="宋体" w:eastAsia="宋体" w:cs="宋体"/>
                <w:sz w:val="20"/>
                <w:szCs w:val="20"/>
                <w:bdr w:val="none" w:color="auto" w:sz="0" w:space="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64" w:right="-153"/>
              <w:jc w:val="center"/>
              <w:rPr>
                <w:sz w:val="24"/>
                <w:szCs w:val="24"/>
              </w:rPr>
            </w:pPr>
            <w:r>
              <w:rPr>
                <w:rFonts w:hint="eastAsia" w:ascii="宋体" w:hAnsi="宋体" w:eastAsia="宋体" w:cs="宋体"/>
                <w:sz w:val="20"/>
                <w:szCs w:val="20"/>
                <w:bdr w:val="none" w:color="auto" w:sz="0" w:space="0"/>
              </w:rPr>
              <w:t>审结</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sz w:val="20"/>
                <w:szCs w:val="20"/>
                <w:bdr w:val="none" w:color="auto" w:sz="0" w:space="0"/>
              </w:rPr>
              <w:t>总计</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99" w:right="-78"/>
              <w:jc w:val="center"/>
              <w:rPr>
                <w:sz w:val="24"/>
                <w:szCs w:val="24"/>
              </w:rPr>
            </w:pPr>
            <w:r>
              <w:rPr>
                <w:rFonts w:hint="eastAsia" w:ascii="宋体" w:hAnsi="宋体" w:eastAsia="宋体" w:cs="宋体"/>
                <w:sz w:val="20"/>
                <w:szCs w:val="20"/>
                <w:bdr w:val="none" w:color="auto" w:sz="0" w:space="0"/>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36" w:right="-124"/>
              <w:jc w:val="center"/>
              <w:rPr>
                <w:sz w:val="24"/>
                <w:szCs w:val="24"/>
              </w:rPr>
            </w:pPr>
            <w:r>
              <w:rPr>
                <w:rFonts w:hint="eastAsia" w:ascii="宋体" w:hAnsi="宋体" w:eastAsia="宋体" w:cs="宋体"/>
                <w:sz w:val="20"/>
                <w:szCs w:val="20"/>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36" w:right="-124"/>
              <w:jc w:val="center"/>
              <w:rPr>
                <w:sz w:val="24"/>
                <w:szCs w:val="24"/>
              </w:rPr>
            </w:pPr>
            <w:r>
              <w:rPr>
                <w:rFonts w:hint="eastAsia" w:ascii="宋体" w:hAnsi="宋体" w:eastAsia="宋体" w:cs="宋体"/>
                <w:sz w:val="20"/>
                <w:szCs w:val="20"/>
                <w:bdr w:val="none" w:color="auto" w:sz="0" w:space="0"/>
              </w:rPr>
              <w:t>纠正</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73" w:right="-134" w:hanging="1"/>
              <w:jc w:val="center"/>
              <w:rPr>
                <w:sz w:val="24"/>
                <w:szCs w:val="24"/>
              </w:rPr>
            </w:pPr>
            <w:r>
              <w:rPr>
                <w:rFonts w:hint="eastAsia" w:ascii="宋体" w:hAnsi="宋体" w:eastAsia="宋体" w:cs="宋体"/>
                <w:sz w:val="20"/>
                <w:szCs w:val="20"/>
                <w:bdr w:val="none" w:color="auto" w:sz="0" w:space="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73" w:right="-134" w:hanging="1"/>
              <w:jc w:val="center"/>
              <w:rPr>
                <w:sz w:val="24"/>
                <w:szCs w:val="24"/>
              </w:rPr>
            </w:pPr>
            <w:r>
              <w:rPr>
                <w:rFonts w:hint="eastAsia" w:ascii="宋体" w:hAnsi="宋体" w:eastAsia="宋体" w:cs="宋体"/>
                <w:sz w:val="20"/>
                <w:szCs w:val="20"/>
                <w:bdr w:val="none" w:color="auto" w:sz="0" w:space="0"/>
              </w:rPr>
              <w:t>结果</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67" w:right="-105" w:hanging="2"/>
              <w:jc w:val="center"/>
              <w:rPr>
                <w:sz w:val="24"/>
                <w:szCs w:val="24"/>
              </w:rPr>
            </w:pPr>
            <w:r>
              <w:rPr>
                <w:rFonts w:hint="eastAsia" w:ascii="宋体" w:hAnsi="宋体" w:eastAsia="宋体" w:cs="宋体"/>
                <w:sz w:val="20"/>
                <w:szCs w:val="20"/>
                <w:bdr w:val="none" w:color="auto" w:sz="0" w:space="0"/>
              </w:rPr>
              <w:t>尚未审结</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宋体" w:hAnsi="宋体" w:eastAsia="宋体" w:cs="宋体"/>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0"/>
                <w:szCs w:val="20"/>
                <w:bdr w:val="none" w:color="auto" w:sz="0" w:space="0"/>
              </w:rPr>
              <w:t>0</w:t>
            </w:r>
            <w:r>
              <w:rPr>
                <w:rFonts w:ascii="Calibri" w:hAnsi="Calibri" w:cs="Calibri"/>
                <w:sz w:val="20"/>
                <w:szCs w:val="20"/>
                <w:bdr w:val="none" w:color="auto" w:sz="0" w:space="0"/>
              </w:rPr>
              <w:t> </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default" w:ascii="Calibri" w:hAnsi="Calibri" w:cs="Calibri"/>
                <w:sz w:val="20"/>
                <w:szCs w:val="20"/>
                <w:bdr w:val="none" w:color="auto" w:sz="0" w:space="0"/>
              </w:rPr>
              <w:t> </w:t>
            </w:r>
            <w:r>
              <w:rPr>
                <w:rFonts w:hint="eastAsia" w:ascii="宋体" w:hAnsi="宋体" w:eastAsia="宋体" w:cs="宋体"/>
                <w:sz w:val="20"/>
                <w:szCs w:val="20"/>
                <w:bdr w:val="none" w:color="auto" w:sz="0" w:space="0"/>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0"/>
                <w:szCs w:val="20"/>
                <w:bdr w:val="none" w:color="auto" w:sz="0" w:space="0"/>
              </w:rPr>
              <w:t>0</w:t>
            </w:r>
            <w:r>
              <w:rPr>
                <w:rFonts w:hint="default" w:ascii="Calibri" w:hAnsi="Calibri" w:cs="Calibri"/>
                <w:sz w:val="20"/>
                <w:szCs w:val="20"/>
                <w:bdr w:val="none" w:color="auto" w:sz="0" w:space="0"/>
              </w:rPr>
              <w:t> </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default" w:ascii="Calibri" w:hAnsi="Calibri" w:cs="Calibri"/>
                <w:sz w:val="20"/>
                <w:szCs w:val="20"/>
                <w:bdr w:val="none" w:color="auto" w:sz="0" w:space="0"/>
              </w:rPr>
              <w:t> </w:t>
            </w:r>
            <w:r>
              <w:rPr>
                <w:rFonts w:hint="eastAsia" w:ascii="宋体" w:hAnsi="宋体" w:eastAsia="宋体" w:cs="宋体"/>
                <w:sz w:val="20"/>
                <w:szCs w:val="20"/>
                <w:bdr w:val="none" w:color="auto" w:sz="0" w:space="0"/>
              </w:rPr>
              <w:t>0</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0"/>
                <w:szCs w:val="20"/>
                <w:bdr w:val="none" w:color="auto" w:sz="0" w:space="0"/>
              </w:rPr>
              <w:t>0</w:t>
            </w:r>
            <w:r>
              <w:rPr>
                <w:rFonts w:hint="default" w:ascii="Calibri" w:hAnsi="Calibri" w:cs="Calibri"/>
                <w:sz w:val="20"/>
                <w:szCs w:val="20"/>
                <w:bdr w:val="none" w:color="auto" w:sz="0" w:space="0"/>
              </w:rPr>
              <w:t> </w:t>
            </w:r>
          </w:p>
        </w:tc>
        <w:tc>
          <w:tcPr>
            <w:tcW w:w="55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0"/>
                <w:szCs w:val="20"/>
                <w:bdr w:val="none" w:color="auto" w:sz="0" w:space="0"/>
              </w:rPr>
              <w:t> 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0"/>
                <w:szCs w:val="20"/>
                <w:bdr w:val="none" w:color="auto" w:sz="0" w:space="0"/>
              </w:rPr>
              <w:t> 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0"/>
                <w:szCs w:val="20"/>
                <w:bdr w:val="none" w:color="auto" w:sz="0" w:space="0"/>
              </w:rPr>
              <w:t> 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0"/>
                <w:szCs w:val="20"/>
                <w:bdr w:val="none" w:color="auto" w:sz="0" w:space="0"/>
              </w:rPr>
              <w:t>0 </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0"/>
                <w:szCs w:val="20"/>
                <w:bdr w:val="none" w:color="auto" w:sz="0" w:space="0"/>
              </w:rPr>
              <w:t> 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0"/>
                <w:szCs w:val="20"/>
                <w:bdr w:val="none" w:color="auto" w:sz="0" w:space="0"/>
              </w:rPr>
              <w:t> 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0"/>
                <w:szCs w:val="20"/>
                <w:bdr w:val="none" w:color="auto" w:sz="0" w:space="0"/>
              </w:rPr>
              <w:t> 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0"/>
                <w:szCs w:val="20"/>
                <w:bdr w:val="none" w:color="auto" w:sz="0" w:space="0"/>
              </w:rPr>
              <w:t> 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60" w:lineRule="atLeast"/>
              <w:ind w:left="0" w:right="0"/>
              <w:jc w:val="center"/>
              <w:rPr>
                <w:sz w:val="24"/>
                <w:szCs w:val="24"/>
              </w:rPr>
            </w:pPr>
            <w:r>
              <w:rPr>
                <w:rFonts w:hint="eastAsia" w:ascii="宋体" w:hAnsi="宋体" w:eastAsia="宋体" w:cs="宋体"/>
                <w:sz w:val="20"/>
                <w:szCs w:val="20"/>
                <w:bdr w:val="none" w:color="auto" w:sz="0" w:space="0"/>
              </w:rPr>
              <w:t> 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eastAsia" w:ascii="宋体" w:hAnsi="宋体" w:eastAsia="宋体" w:cs="宋体"/>
                <w:sz w:val="20"/>
                <w:szCs w:val="20"/>
                <w:bdr w:val="none" w:color="auto" w:sz="0" w:space="0"/>
              </w:rPr>
              <w:t> 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rPr>
        <w:t>五、政府信息公开存在的主要问题及改进情况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ascii="楷体_GB2312" w:hAnsi="微软雅黑" w:eastAsia="楷体_GB2312" w:cs="楷体_GB2312"/>
          <w:i w:val="0"/>
          <w:iCs w:val="0"/>
          <w:caps w:val="0"/>
          <w:color w:val="000000"/>
          <w:spacing w:val="0"/>
          <w:sz w:val="32"/>
          <w:szCs w:val="32"/>
          <w:bdr w:val="none" w:color="auto" w:sz="0" w:space="0"/>
        </w:rPr>
        <w:t>（一）存在的主要问题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1.依法主动公开意识有待进一步增强。少数干部职工对政府信息公开工作的重要性认识依然不足，怕公开、烦公开等惯性倾向依然存在，影响政务公开工作的落实。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2.信息公开工作质量还需进一步提高。虽然取得了一些进步，但是距离社会公众的愿望还存在较大的差距。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3.政务公开平台信息发布人员对业务知识掌握不够熟练，不能够及时准确的反映政务公开相关工作。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rPr>
        <w:t>（二）针对存在问题改进情况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1.加强培训，广泛宣传，提高依法主动公开的意识。组织广大领导干部参加培训。重点学习《中华人民共和国政府信息公开条例》等有关政务公开的相关法律法规，增强主动公开的意识和能力。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2.对政府信息公开网站进行优化，进一步从公众视角出发，优化政务公开的路径与方式。加大公开力度，切实保障人民群众的知情权、参与权、表达权和监督权，使政务公开提升到一个新的水平。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3.加强对政务公开信息发布人员的培训，培养政务公开信息发布人员学习的主动性和自觉性，从而熟练掌握好平台的使用，不断提高业务能力和业务水平。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rPr>
        <w:t>六、其他需要报告事项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1.依据《政府信息公开信息处理费管理办法》规定，和平街道办事处从未收取信息处理费。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2.严格落实上级年度政务公开工作要点，制定了《和平街道办事处政务公开工作任务清单》，夯实了政务公开工作基础，全面公开了重点领域信息，提高了政策解读质量，强化了公众参与、工作监督和工作保障。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sz w:val="32"/>
          <w:szCs w:val="32"/>
          <w:bdr w:val="none" w:color="auto" w:sz="0" w:space="0"/>
        </w:rPr>
        <w:t>3.2021年收到人大代表建议0件，政协委员提案3件，主要涉及老年人健康、住建等社会民生热点问题，均已解决采纳。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53772"/>
    <w:rsid w:val="108160EB"/>
    <w:rsid w:val="2D085772"/>
    <w:rsid w:val="464B1B2F"/>
    <w:rsid w:val="49996437"/>
    <w:rsid w:val="67A535E2"/>
    <w:rsid w:val="694330B3"/>
    <w:rsid w:val="7B5A6766"/>
    <w:rsid w:val="7D6A1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2625</Words>
  <Characters>2759</Characters>
  <Lines>0</Lines>
  <Paragraphs>0</Paragraphs>
  <TotalTime>23</TotalTime>
  <ScaleCrop>false</ScaleCrop>
  <LinksUpToDate>false</LinksUpToDate>
  <CharactersWithSpaces>2781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2022-04-08T06:40:35Z</dcterms:created>
  <dc:creator>info</dc:creator>
  <cp:lastModifiedBy>WPS_1644907779</cp:lastModifiedBy>
  <dcterms:modified xsi:type="dcterms:W3CDTF">2022-04-08T07:04:10Z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CF08748A6F364FBC9BAE57B069C31229</vt:lpwstr>
  </property>
</Properties>
</file>