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rPr>
        <w:t>张店区人民政府和平街道办事处</w:t>
      </w:r>
      <w:r>
        <w:rPr>
          <w:rFonts w:hint="default" w:ascii="方正小标宋简体" w:hAnsi="方正小标宋简体" w:eastAsia="方正小标宋简体" w:cs="方正小标宋简体"/>
          <w:i w:val="0"/>
          <w:iCs w:val="0"/>
          <w:caps w:val="0"/>
          <w:color w:val="000000"/>
          <w:spacing w:val="0"/>
          <w:sz w:val="44"/>
          <w:szCs w:val="44"/>
          <w:bdr w:val="none" w:color="auto" w:sz="0" w:space="0"/>
        </w:rPr>
        <w:t>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根据《中华人民共和国政府信息公开条例》第</w:t>
      </w:r>
      <w:r>
        <w:rPr>
          <w:rFonts w:hint="default" w:ascii="仿宋_GB2312" w:hAnsi="微软雅黑" w:eastAsia="仿宋_GB2312" w:cs="仿宋_GB2312"/>
          <w:i w:val="0"/>
          <w:iCs w:val="0"/>
          <w:caps w:val="0"/>
          <w:color w:val="000000"/>
          <w:spacing w:val="0"/>
          <w:sz w:val="32"/>
          <w:szCs w:val="32"/>
          <w:bdr w:val="none" w:color="auto" w:sz="0" w:space="0"/>
        </w:rPr>
        <w:t>五十条的规定和《中华人民共和国政府信息公开工作年度报告格式》(国办公开办函〔2021〕30号)的要求，和平街道办事处编制了《张店区和平街道办事处2021年政府信息公开工作年度报告》。本报告由总体情况，行政机关主动公开政府信息总体情况，行政机关收到和处理政府信息公开申请情况，因政府信息公开工作被申请行政复议、提起行政诉讼情况，政府信息公开工作存在的主要问题及改进情况,其他需要报告的事项六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和平街道办事处严格贯彻落实《中华人民共和国政府信息公开条例》的相关要求，高点定位、狠抓落实，在主动公开、依申请公开、政府信息管理、平台建设、监督保障等方面取得了卓有成效的进步。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rPr>
        <w:t>1.主动公开。进一步完善政府信息公开制度建设，对张店区人民政府和平街道办事处政府信息公开指南进行实时更新。2021年</w:t>
      </w:r>
      <w:r>
        <w:rPr>
          <w:rFonts w:hint="default" w:ascii="仿宋_GB2312" w:hAnsi="微软雅黑" w:eastAsia="仿宋_GB2312" w:cs="仿宋_GB2312"/>
          <w:i w:val="0"/>
          <w:iCs w:val="0"/>
          <w:caps w:val="0"/>
          <w:color w:val="000000"/>
          <w:spacing w:val="0"/>
          <w:sz w:val="32"/>
          <w:szCs w:val="32"/>
          <w:bdr w:val="none" w:color="auto" w:sz="0" w:space="0"/>
        </w:rPr>
        <w:t>主动公开政府信息157条，主要类别有履职依据、机构职能、领导信息、重大决策预公开、会议公开、建议提案、行政权力、财政信息、重点领域信息公开、政策解读、人事信息、业务动态等。进一步加强政策解读，做到出台文件与解读内容同时发布。对于群众诉求，确保按时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4657725" cy="2828925"/>
            <wp:effectExtent l="0" t="0" r="9525" b="9525"/>
            <wp:docPr id="3" name="图片 3" descr="62289c413f963d17a234d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289c413f963d17a234d22a"/>
                    <pic:cNvPicPr>
                      <a:picLocks noChangeAspect="1"/>
                    </pic:cNvPicPr>
                  </pic:nvPicPr>
                  <pic:blipFill>
                    <a:blip r:embed="rId4"/>
                    <a:stretch>
                      <a:fillRect/>
                    </a:stretch>
                  </pic:blipFill>
                  <pic:spPr>
                    <a:xfrm>
                      <a:off x="0" y="0"/>
                      <a:ext cx="4657725" cy="282892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2.依申请公开。2021年收到依申请公开事项2件，主要涉及城西新村片区城市更新项目和世纪路商场路路口东南角恒基花苑西门沿街房户外广告牌规划问题，全部按时答复，未收取任何材料费用，未收到政府信息公开行政复议、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3.政府信息管理。细化工作制度，加强政务公开工作领导小组建设，及时更新主动公开基本目录。对于拟发布的信息进行多次审核，并最终交由专人上传政府网站。向相关群众、企业等精准推送政务公开信息，设置一键查询功能，不断提升服务的自觉性和便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drawing>
          <wp:inline distT="0" distB="0" distL="114300" distR="114300">
            <wp:extent cx="4762500" cy="35623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62500" cy="3562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4.政务信息公开平台建设。加强本单位政府网站建设，做到实时更新、全面公开。融合和平街道便民服务平台和和平街道党建两个政务新媒体，丰富政务公开形式。设立和平街道办事处和和平街道党群服务中心两个政府信息公开查阅点，切实做好线下便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5.监督保障。和平街道政务公开领导小组负责对本单位政务公开工作进行监督，每季度进行例行检查。政务公开领导小组下设办公室，设在和平街道党政办，由党工委副书记担任办公室主任，四名党政办工作人员担任政务公开专职人员。2021年共举办4次政务公开培训，有效提高了相关工作人员的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所列数据的统计期限是2021年1月1日至2021年12月31日。本报告电子版可以在淄博市张店区人民政府门户网站（www.zhangdian.gov.cn）查阅或下载。如对报告内容有疑问，请与张店区和平街道办事处党政办公室联系（地址：张店区南西四路16号，邮编：255000，电话：0533-2216633，传真：0533-2216633，电子邮箱：zdqhpjd@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二、主动公开政府信息情况</w:t>
      </w:r>
    </w:p>
    <w:tbl>
      <w:tblPr>
        <w:tblW w:w="8708"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autofit"/>
        <w:tblCellMar>
          <w:top w:w="0" w:type="dxa"/>
          <w:left w:w="0" w:type="dxa"/>
          <w:bottom w:w="0" w:type="dxa"/>
          <w:right w:w="0" w:type="dxa"/>
        </w:tblCellMar>
      </w:tblPr>
      <w:tblGrid>
        <w:gridCol w:w="2373"/>
        <w:gridCol w:w="1800"/>
        <w:gridCol w:w="1863"/>
        <w:gridCol w:w="2672"/>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94" w:hRule="atLeast"/>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866"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18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本年制发件数</w:t>
            </w:r>
          </w:p>
        </w:tc>
        <w:tc>
          <w:tcPr>
            <w:tcW w:w="186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本年废止件数</w:t>
            </w:r>
          </w:p>
        </w:tc>
        <w:tc>
          <w:tcPr>
            <w:tcW w:w="26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现行有效件数</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399"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规章</w:t>
            </w:r>
          </w:p>
        </w:tc>
        <w:tc>
          <w:tcPr>
            <w:tcW w:w="18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186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26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　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行政规范性文件</w:t>
            </w:r>
          </w:p>
        </w:tc>
        <w:tc>
          <w:tcPr>
            <w:tcW w:w="18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　</w:t>
            </w:r>
          </w:p>
        </w:tc>
        <w:tc>
          <w:tcPr>
            <w:tcW w:w="186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26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 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16"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63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608"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行政许可</w:t>
            </w:r>
          </w:p>
        </w:tc>
        <w:tc>
          <w:tcPr>
            <w:tcW w:w="63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97" w:hRule="atLeast"/>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47"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63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30"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行政处罚</w:t>
            </w:r>
          </w:p>
        </w:tc>
        <w:tc>
          <w:tcPr>
            <w:tcW w:w="63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09"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行政强制</w:t>
            </w:r>
          </w:p>
        </w:tc>
        <w:tc>
          <w:tcPr>
            <w:tcW w:w="63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74" w:hRule="atLeast"/>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47"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63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440" w:hRule="atLeast"/>
        </w:trPr>
        <w:tc>
          <w:tcPr>
            <w:tcW w:w="23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i w:val="0"/>
                <w:iCs w:val="0"/>
                <w:caps w:val="0"/>
                <w:color w:val="000000"/>
                <w:spacing w:val="0"/>
                <w:sz w:val="24"/>
                <w:szCs w:val="24"/>
                <w:bdr w:val="none" w:color="auto" w:sz="0" w:space="0"/>
              </w:rPr>
              <w:t>行政事业性收费</w:t>
            </w:r>
          </w:p>
        </w:tc>
        <w:tc>
          <w:tcPr>
            <w:tcW w:w="63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三、收到和处理政府信息公开申请情况</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6"/>
        <w:gridCol w:w="1334"/>
        <w:gridCol w:w="2532"/>
        <w:gridCol w:w="791"/>
        <w:gridCol w:w="533"/>
        <w:gridCol w:w="533"/>
        <w:gridCol w:w="533"/>
        <w:gridCol w:w="533"/>
        <w:gridCol w:w="511"/>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3" w:hRule="atLeast"/>
          <w:jc w:val="center"/>
        </w:trPr>
        <w:tc>
          <w:tcPr>
            <w:tcW w:w="4814"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sz w:val="20"/>
                <w:szCs w:val="20"/>
                <w:bdr w:val="none" w:color="auto" w:sz="0" w:space="0"/>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等于第三项加第四项之和）</w:t>
            </w:r>
          </w:p>
        </w:tc>
        <w:tc>
          <w:tcPr>
            <w:tcW w:w="4257"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4814"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4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自然人</w:t>
            </w:r>
          </w:p>
        </w:tc>
        <w:tc>
          <w:tcPr>
            <w:tcW w:w="2784"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法人或其他组织</w:t>
            </w:r>
          </w:p>
        </w:tc>
        <w:tc>
          <w:tcPr>
            <w:tcW w:w="63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7" w:hRule="atLeast"/>
          <w:jc w:val="center"/>
        </w:trPr>
        <w:tc>
          <w:tcPr>
            <w:tcW w:w="4814"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7" w:hanging="1"/>
              <w:jc w:val="center"/>
              <w:rPr>
                <w:sz w:val="24"/>
                <w:szCs w:val="24"/>
              </w:rPr>
            </w:pPr>
            <w:r>
              <w:rPr>
                <w:rFonts w:hint="eastAsia" w:ascii="宋体" w:hAnsi="宋体" w:eastAsia="宋体" w:cs="宋体"/>
                <w:sz w:val="20"/>
                <w:szCs w:val="20"/>
                <w:bdr w:val="none" w:color="auto" w:sz="0" w:space="0"/>
              </w:rPr>
              <w:t>商业企业</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7" w:right="-107"/>
              <w:jc w:val="center"/>
              <w:rPr>
                <w:sz w:val="24"/>
                <w:szCs w:val="24"/>
              </w:rPr>
            </w:pPr>
            <w:r>
              <w:rPr>
                <w:rFonts w:hint="eastAsia" w:ascii="宋体" w:hAnsi="宋体" w:eastAsia="宋体" w:cs="宋体"/>
                <w:sz w:val="20"/>
                <w:szCs w:val="20"/>
                <w:bdr w:val="none" w:color="auto" w:sz="0" w:space="0"/>
              </w:rPr>
              <w:t>科研机构</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7" w:right="-107"/>
              <w:jc w:val="center"/>
              <w:rPr>
                <w:sz w:val="24"/>
                <w:szCs w:val="24"/>
              </w:rPr>
            </w:pPr>
            <w:r>
              <w:rPr>
                <w:rFonts w:hint="eastAsia" w:ascii="宋体" w:hAnsi="宋体" w:eastAsia="宋体" w:cs="宋体"/>
                <w:sz w:val="20"/>
                <w:szCs w:val="20"/>
                <w:bdr w:val="none" w:color="auto" w:sz="0" w:space="0"/>
              </w:rPr>
              <w:t>社会公益组织</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7" w:hanging="1"/>
              <w:jc w:val="center"/>
              <w:rPr>
                <w:sz w:val="24"/>
                <w:szCs w:val="24"/>
              </w:rPr>
            </w:pPr>
            <w:r>
              <w:rPr>
                <w:rFonts w:hint="eastAsia" w:ascii="宋体" w:hAnsi="宋体" w:eastAsia="宋体" w:cs="宋体"/>
                <w:sz w:val="20"/>
                <w:szCs w:val="20"/>
                <w:bdr w:val="none" w:color="auto" w:sz="0" w:space="0"/>
              </w:rPr>
              <w:t>法律服务机构</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 w:right="-134"/>
              <w:jc w:val="center"/>
              <w:rPr>
                <w:sz w:val="24"/>
                <w:szCs w:val="24"/>
              </w:rPr>
            </w:pPr>
            <w:r>
              <w:rPr>
                <w:rFonts w:hint="eastAsia" w:ascii="宋体" w:hAnsi="宋体" w:eastAsia="宋体" w:cs="宋体"/>
                <w:sz w:val="20"/>
                <w:szCs w:val="20"/>
                <w:bdr w:val="none" w:color="auto" w:sz="0" w:space="0"/>
              </w:rPr>
              <w:t>其他</w:t>
            </w:r>
          </w:p>
        </w:tc>
        <w:tc>
          <w:tcPr>
            <w:tcW w:w="6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81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sz w:val="20"/>
                <w:szCs w:val="20"/>
                <w:bdr w:val="none" w:color="auto" w:sz="0" w:space="0"/>
              </w:rPr>
              <w:t>一、本年新收政府信息公开申请数量</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2</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81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sz w:val="20"/>
                <w:szCs w:val="20"/>
                <w:bdr w:val="none" w:color="auto" w:sz="0" w:space="0"/>
              </w:rPr>
              <w:t>二、上年结转政府信息公开申请数量</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rPr>
                <w:sz w:val="24"/>
                <w:szCs w:val="24"/>
              </w:rPr>
            </w:pPr>
            <w:r>
              <w:rPr>
                <w:rFonts w:hint="eastAsia" w:ascii="宋体" w:hAnsi="宋体" w:eastAsia="宋体" w:cs="宋体"/>
                <w:sz w:val="20"/>
                <w:szCs w:val="20"/>
                <w:bdr w:val="none" w:color="auto" w:sz="0" w:space="0"/>
              </w:rPr>
              <w:t>三、本年度办理结果</w:t>
            </w:r>
          </w:p>
        </w:tc>
        <w:tc>
          <w:tcPr>
            <w:tcW w:w="4198"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ascii="楷体" w:hAnsi="楷体" w:eastAsia="楷体" w:cs="楷体"/>
                <w:sz w:val="20"/>
                <w:szCs w:val="20"/>
                <w:bdr w:val="none" w:color="auto" w:sz="0" w:space="0"/>
              </w:rPr>
              <w:t>（一）予以公开</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1</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198"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（二）部分公开（区分处理的，只计这一情形，不计其他情形）</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7" w:right="0"/>
              <w:rPr>
                <w:sz w:val="24"/>
                <w:szCs w:val="24"/>
              </w:rPr>
            </w:pPr>
            <w:r>
              <w:rPr>
                <w:rFonts w:hint="eastAsia" w:ascii="楷体" w:hAnsi="楷体" w:eastAsia="楷体" w:cs="楷体"/>
                <w:sz w:val="20"/>
                <w:szCs w:val="20"/>
                <w:bdr w:val="none" w:color="auto" w:sz="0" w:space="0"/>
              </w:rPr>
              <w:t>（三）不予公开</w:t>
            </w: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1.属于国家秘密</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2.其他法律行政法规禁止公开</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3.危及“三安全一稳定”</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4.保护第三方合法权益</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5.属于三类内部事务信息</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6.属于四类过程性信息</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7.属于行政执法案卷</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8.属于行政查询事项</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7" w:right="0"/>
              <w:rPr>
                <w:sz w:val="24"/>
                <w:szCs w:val="24"/>
              </w:rPr>
            </w:pPr>
            <w:r>
              <w:rPr>
                <w:rFonts w:hint="eastAsia" w:ascii="楷体" w:hAnsi="楷体" w:eastAsia="楷体" w:cs="楷体"/>
                <w:sz w:val="20"/>
                <w:szCs w:val="20"/>
                <w:bdr w:val="none" w:color="auto" w:sz="0" w:space="0"/>
              </w:rPr>
              <w:t>（四）无法提供</w:t>
            </w: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1.本机关不掌握相关政府信息</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1</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2.没有现成信息需要另行制作</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3.补正后申请内容仍不明确</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7" w:right="0"/>
              <w:rPr>
                <w:sz w:val="24"/>
                <w:szCs w:val="24"/>
              </w:rPr>
            </w:pPr>
            <w:r>
              <w:rPr>
                <w:rFonts w:hint="eastAsia" w:ascii="楷体" w:hAnsi="楷体" w:eastAsia="楷体" w:cs="楷体"/>
                <w:sz w:val="20"/>
                <w:szCs w:val="20"/>
                <w:bdr w:val="none" w:color="auto" w:sz="0" w:space="0"/>
              </w:rPr>
              <w:t>（五）不予处理</w:t>
            </w: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1.信访举报投诉类申请</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2.重复申请</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3.要求提供公开出版物</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4.无正当理由大量反复申请</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00"/>
              <w:rPr>
                <w:sz w:val="24"/>
                <w:szCs w:val="24"/>
              </w:rPr>
            </w:pPr>
            <w:r>
              <w:rPr>
                <w:rFonts w:hint="eastAsia" w:ascii="楷体" w:hAnsi="楷体" w:eastAsia="楷体" w:cs="楷体"/>
                <w:sz w:val="20"/>
                <w:szCs w:val="20"/>
                <w:bdr w:val="none" w:color="auto" w:sz="0" w:space="0"/>
              </w:rPr>
              <w:t>出具已获取信息</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（六）其他处理</w:t>
            </w: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1.申请人无正当理由逾期不补正、行政机关不再处理其政府信息公开申请</w:t>
            </w:r>
          </w:p>
        </w:tc>
        <w:tc>
          <w:tcPr>
            <w:tcW w:w="842"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2.申请人逾期未按收费通知要求缴纳费用，行政机关不再处理其政府信息公开申请</w:t>
            </w:r>
          </w:p>
        </w:tc>
        <w:tc>
          <w:tcPr>
            <w:tcW w:w="84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3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31"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05"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3.其他</w:t>
            </w:r>
          </w:p>
        </w:tc>
        <w:tc>
          <w:tcPr>
            <w:tcW w:w="84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3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31"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198"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楷体" w:hAnsi="楷体" w:eastAsia="楷体" w:cs="楷体"/>
                <w:sz w:val="20"/>
                <w:szCs w:val="20"/>
                <w:bdr w:val="none" w:color="auto" w:sz="0" w:space="0"/>
              </w:rPr>
              <w:t>（七）总计</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2</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81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sz w:val="20"/>
                <w:szCs w:val="20"/>
                <w:bdr w:val="none" w:color="auto" w:sz="0" w:space="0"/>
              </w:rPr>
              <w:t>四、结转下年度继续办理</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c>
          <w:tcPr>
            <w:tcW w:w="6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四、因政府信息公开工作被申请行政复议、提起行政诉讼情况</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9"/>
        <w:gridCol w:w="539"/>
        <w:gridCol w:w="539"/>
        <w:gridCol w:w="539"/>
        <w:gridCol w:w="593"/>
        <w:gridCol w:w="541"/>
        <w:gridCol w:w="581"/>
        <w:gridCol w:w="581"/>
        <w:gridCol w:w="581"/>
        <w:gridCol w:w="581"/>
        <w:gridCol w:w="581"/>
        <w:gridCol w:w="581"/>
        <w:gridCol w:w="581"/>
        <w:gridCol w:w="582"/>
        <w:gridCol w:w="5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49" w:right="-170"/>
              <w:jc w:val="center"/>
              <w:rPr>
                <w:sz w:val="24"/>
                <w:szCs w:val="24"/>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49" w:right="-170"/>
              <w:jc w:val="center"/>
              <w:rPr>
                <w:sz w:val="24"/>
                <w:szCs w:val="24"/>
              </w:rPr>
            </w:pPr>
            <w:r>
              <w:rPr>
                <w:rFonts w:hint="eastAsia" w:ascii="宋体" w:hAnsi="宋体" w:eastAsia="宋体" w:cs="宋体"/>
                <w:sz w:val="20"/>
                <w:szCs w:val="20"/>
                <w:bdr w:val="none" w:color="auto" w:sz="0" w:space="0"/>
              </w:rPr>
              <w:t>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3" w:right="-132" w:hanging="1"/>
              <w:jc w:val="center"/>
              <w:rPr>
                <w:sz w:val="24"/>
                <w:szCs w:val="24"/>
              </w:rPr>
            </w:pPr>
            <w:r>
              <w:rPr>
                <w:rFonts w:hint="eastAsia" w:ascii="宋体" w:hAnsi="宋体" w:eastAsia="宋体" w:cs="宋体"/>
                <w:sz w:val="20"/>
                <w:szCs w:val="20"/>
                <w:bdr w:val="none" w:color="auto" w:sz="0" w:space="0"/>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82" w:right="-97"/>
              <w:jc w:val="center"/>
              <w:rPr>
                <w:sz w:val="24"/>
                <w:szCs w:val="24"/>
              </w:rPr>
            </w:pPr>
            <w:r>
              <w:rPr>
                <w:rFonts w:hint="eastAsia" w:ascii="宋体" w:hAnsi="宋体" w:eastAsia="宋体" w:cs="宋体"/>
                <w:sz w:val="20"/>
                <w:szCs w:val="20"/>
                <w:bdr w:val="none" w:color="auto" w:sz="0" w:space="0"/>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18" w:right="-118"/>
              <w:jc w:val="center"/>
              <w:rPr>
                <w:sz w:val="24"/>
                <w:szCs w:val="24"/>
              </w:rPr>
            </w:pPr>
            <w:r>
              <w:rPr>
                <w:rFonts w:hint="eastAsia" w:ascii="宋体" w:hAnsi="宋体" w:eastAsia="宋体" w:cs="宋体"/>
                <w:sz w:val="20"/>
                <w:szCs w:val="20"/>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18" w:right="-118"/>
              <w:jc w:val="center"/>
              <w:rPr>
                <w:sz w:val="24"/>
                <w:szCs w:val="24"/>
              </w:rPr>
            </w:pPr>
            <w:r>
              <w:rPr>
                <w:rFonts w:hint="eastAsia" w:ascii="宋体" w:hAnsi="宋体" w:eastAsia="宋体" w:cs="宋体"/>
                <w:sz w:val="20"/>
                <w:szCs w:val="20"/>
                <w:bdr w:val="none" w:color="auto" w:sz="0" w:space="0"/>
              </w:rPr>
              <w:t>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5" w:right="-126"/>
              <w:jc w:val="center"/>
              <w:rPr>
                <w:sz w:val="24"/>
                <w:szCs w:val="24"/>
              </w:rPr>
            </w:pPr>
            <w:r>
              <w:rPr>
                <w:rFonts w:hint="eastAsia" w:ascii="宋体" w:hAnsi="宋体" w:eastAsia="宋体" w:cs="宋体"/>
                <w:sz w:val="20"/>
                <w:szCs w:val="20"/>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86" w:right="-88"/>
              <w:jc w:val="center"/>
              <w:rPr>
                <w:sz w:val="24"/>
                <w:szCs w:val="24"/>
              </w:rPr>
            </w:pPr>
            <w:r>
              <w:rPr>
                <w:rFonts w:hint="eastAsia" w:ascii="宋体" w:hAnsi="宋体" w:eastAsia="宋体" w:cs="宋体"/>
                <w:sz w:val="20"/>
                <w:szCs w:val="20"/>
                <w:bdr w:val="none" w:color="auto" w:sz="0" w:space="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6" w:right="-136"/>
              <w:jc w:val="center"/>
              <w:rPr>
                <w:sz w:val="24"/>
                <w:szCs w:val="24"/>
              </w:rPr>
            </w:pPr>
            <w:r>
              <w:rPr>
                <w:rFonts w:hint="eastAsia" w:ascii="宋体" w:hAnsi="宋体" w:eastAsia="宋体" w:cs="宋体"/>
                <w:sz w:val="20"/>
                <w:szCs w:val="20"/>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6" w:right="-136"/>
              <w:jc w:val="center"/>
              <w:rPr>
                <w:sz w:val="24"/>
                <w:szCs w:val="24"/>
              </w:rPr>
            </w:pPr>
            <w:r>
              <w:rPr>
                <w:rFonts w:hint="eastAsia" w:ascii="宋体" w:hAnsi="宋体" w:eastAsia="宋体" w:cs="宋体"/>
                <w:sz w:val="20"/>
                <w:szCs w:val="20"/>
                <w:bdr w:val="none" w:color="auto" w:sz="0" w:space="0"/>
              </w:rPr>
              <w:t>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4" w:right="-153"/>
              <w:jc w:val="center"/>
              <w:rPr>
                <w:sz w:val="24"/>
                <w:szCs w:val="24"/>
              </w:rPr>
            </w:pPr>
            <w:r>
              <w:rPr>
                <w:rFonts w:hint="eastAsia" w:ascii="宋体" w:hAnsi="宋体" w:eastAsia="宋体" w:cs="宋体"/>
                <w:sz w:val="20"/>
                <w:szCs w:val="20"/>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4" w:right="-153"/>
              <w:jc w:val="center"/>
              <w:rPr>
                <w:sz w:val="24"/>
                <w:szCs w:val="24"/>
              </w:rPr>
            </w:pPr>
            <w:r>
              <w:rPr>
                <w:rFonts w:hint="eastAsia" w:ascii="宋体" w:hAnsi="宋体" w:eastAsia="宋体" w:cs="宋体"/>
                <w:sz w:val="20"/>
                <w:szCs w:val="20"/>
                <w:bdr w:val="none" w:color="auto" w:sz="0" w:space="0"/>
              </w:rPr>
              <w:t>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99" w:right="-78"/>
              <w:jc w:val="center"/>
              <w:rPr>
                <w:sz w:val="24"/>
                <w:szCs w:val="24"/>
              </w:rPr>
            </w:pPr>
            <w:r>
              <w:rPr>
                <w:rFonts w:hint="eastAsia" w:ascii="宋体" w:hAnsi="宋体" w:eastAsia="宋体" w:cs="宋体"/>
                <w:sz w:val="20"/>
                <w:szCs w:val="20"/>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6" w:right="-124"/>
              <w:jc w:val="center"/>
              <w:rPr>
                <w:sz w:val="24"/>
                <w:szCs w:val="24"/>
              </w:rPr>
            </w:pPr>
            <w:r>
              <w:rPr>
                <w:rFonts w:hint="eastAsia" w:ascii="宋体" w:hAnsi="宋体" w:eastAsia="宋体" w:cs="宋体"/>
                <w:sz w:val="20"/>
                <w:szCs w:val="20"/>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6" w:right="-124"/>
              <w:jc w:val="center"/>
              <w:rPr>
                <w:sz w:val="24"/>
                <w:szCs w:val="24"/>
              </w:rPr>
            </w:pPr>
            <w:r>
              <w:rPr>
                <w:rFonts w:hint="eastAsia" w:ascii="宋体" w:hAnsi="宋体" w:eastAsia="宋体" w:cs="宋体"/>
                <w:sz w:val="20"/>
                <w:szCs w:val="20"/>
                <w:bdr w:val="none" w:color="auto" w:sz="0" w:space="0"/>
              </w:rPr>
              <w:t>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3" w:right="-134" w:hanging="1"/>
              <w:jc w:val="center"/>
              <w:rPr>
                <w:sz w:val="24"/>
                <w:szCs w:val="24"/>
              </w:rPr>
            </w:pPr>
            <w:r>
              <w:rPr>
                <w:rFonts w:hint="eastAsia" w:ascii="宋体" w:hAnsi="宋体" w:eastAsia="宋体" w:cs="宋体"/>
                <w:sz w:val="20"/>
                <w:szCs w:val="20"/>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3" w:right="-134" w:hanging="1"/>
              <w:jc w:val="center"/>
              <w:rPr>
                <w:sz w:val="24"/>
                <w:szCs w:val="24"/>
              </w:rPr>
            </w:pPr>
            <w:r>
              <w:rPr>
                <w:rFonts w:hint="eastAsia" w:ascii="宋体" w:hAnsi="宋体" w:eastAsia="宋体" w:cs="宋体"/>
                <w:sz w:val="20"/>
                <w:szCs w:val="20"/>
                <w:bdr w:val="none" w:color="auto" w:sz="0" w:space="0"/>
              </w:rPr>
              <w:t>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7" w:right="-105" w:hanging="2"/>
              <w:jc w:val="center"/>
              <w:rPr>
                <w:sz w:val="24"/>
                <w:szCs w:val="24"/>
              </w:rPr>
            </w:pPr>
            <w:r>
              <w:rPr>
                <w:rFonts w:hint="eastAsia" w:ascii="宋体" w:hAnsi="宋体" w:eastAsia="宋体" w:cs="宋体"/>
                <w:sz w:val="20"/>
                <w:szCs w:val="20"/>
                <w:bdr w:val="none" w:color="auto" w:sz="0" w:space="0"/>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宋体" w:hAnsi="宋体" w:eastAsia="宋体" w:cs="宋体"/>
                <w:sz w:val="20"/>
                <w:szCs w:val="20"/>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0</w:t>
            </w:r>
            <w:r>
              <w:rPr>
                <w:rFonts w:ascii="Calibri" w:hAnsi="Calibri" w:cs="Calibri"/>
                <w:sz w:val="20"/>
                <w:szCs w:val="20"/>
                <w:bdr w:val="none" w:color="auto" w:sz="0" w:space="0"/>
              </w:rPr>
              <w:t>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default" w:ascii="Calibri" w:hAnsi="Calibri" w:cs="Calibri"/>
                <w:sz w:val="20"/>
                <w:szCs w:val="20"/>
                <w:bdr w:val="none" w:color="auto" w:sz="0" w:space="0"/>
              </w:rPr>
              <w:t> </w:t>
            </w:r>
            <w:r>
              <w:rPr>
                <w:rFonts w:hint="eastAsia" w:ascii="宋体" w:hAnsi="宋体" w:eastAsia="宋体" w:cs="宋体"/>
                <w:sz w:val="20"/>
                <w:szCs w:val="20"/>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0</w:t>
            </w:r>
            <w:r>
              <w:rPr>
                <w:rFonts w:hint="default" w:ascii="Calibri" w:hAnsi="Calibri" w:cs="Calibri"/>
                <w:sz w:val="20"/>
                <w:szCs w:val="20"/>
                <w:bdr w:val="none" w:color="auto" w:sz="0" w:space="0"/>
              </w:rPr>
              <w:t>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default" w:ascii="Calibri" w:hAnsi="Calibri" w:cs="Calibri"/>
                <w:sz w:val="20"/>
                <w:szCs w:val="20"/>
                <w:bdr w:val="none" w:color="auto" w:sz="0" w:space="0"/>
              </w:rPr>
              <w:t> </w:t>
            </w:r>
            <w:r>
              <w:rPr>
                <w:rFonts w:hint="eastAsia" w:ascii="宋体" w:hAnsi="宋体" w:eastAsia="宋体" w:cs="宋体"/>
                <w:sz w:val="20"/>
                <w:szCs w:val="20"/>
                <w:bdr w:val="none" w:color="auto" w:sz="0" w:space="0"/>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0</w:t>
            </w:r>
            <w:r>
              <w:rPr>
                <w:rFonts w:hint="default" w:ascii="Calibri" w:hAnsi="Calibri" w:cs="Calibri"/>
                <w:sz w:val="20"/>
                <w:szCs w:val="20"/>
                <w:bdr w:val="none" w:color="auto" w:sz="0" w:space="0"/>
              </w:rPr>
              <w:t> </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0" w:lineRule="atLeast"/>
              <w:ind w:left="0" w:right="0"/>
              <w:jc w:val="center"/>
              <w:rPr>
                <w:sz w:val="24"/>
                <w:szCs w:val="24"/>
              </w:rPr>
            </w:pPr>
            <w:r>
              <w:rPr>
                <w:rFonts w:hint="eastAsia" w:ascii="宋体" w:hAnsi="宋体" w:eastAsia="宋体" w:cs="宋体"/>
                <w:sz w:val="20"/>
                <w:szCs w:val="20"/>
                <w:bdr w:val="none" w:color="auto" w:sz="0" w:space="0"/>
              </w:rPr>
              <w:t> 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宋体" w:hAnsi="宋体" w:eastAsia="宋体" w:cs="宋体"/>
                <w:sz w:val="20"/>
                <w:szCs w:val="20"/>
                <w:bdr w:val="none" w:color="auto" w:sz="0" w:space="0"/>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五、政府信息公开存在的主要问题及改进情况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2"/>
          <w:szCs w:val="32"/>
          <w:bdr w:val="none" w:color="auto" w:sz="0" w:space="0"/>
        </w:rPr>
        <w:t>（一）存在的主要问题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1.依法主动公开意识有待进一步增强。少数干部职工对政府信息公开工作的重要性认识依然不足，怕公开、烦公开等惯性倾向依然存在，影响政务公开工作的落实。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2.信息公开工作质量还需进一步提高。虽然取得了一些进步，但是距离社会公众的愿望还存在较大的差距。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3.政务公开平台信息发布人员对业务知识掌握不够熟练，不能够及时准确的反映政务公开相关工作。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rPr>
        <w:t>（二）针对存在问题改进情况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1.加强培训，广泛宣传，提高依法主动公开的意识。组织广大领导干部参加培训。重点学习《中华人民共和国政府信息公开条例》等有关政务公开的相关法律法规，增强主动公开的意识和能力。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2.对政府信息公开网站进行优化，进一步从公众视角出发，优化政务公开的路径与方式。加大公开力度，切实保障人民群众的知情权、参与权、表达权和监督权，使政务公开提升到一个新的水平。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3.加强对政务公开信息发布人员的培训，培养政务公开信息发布人员学习的主动性和自觉性，从而熟练掌握好平台的使用，不断提高业务能力和业务水平。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六、其他需要报告事项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1.依据《政府信息公开信息处理费管理办法》规定，和平街道办事处从未收取信息处理费。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2.严格落实上级年度政务公开工作要点，制定了《和平街道办事处政务公开工作任务清单》，夯实了政务公开工作基础，全面公开了重点领域信息，提高了政策解读质量，强化了公众参与、工作监督和工作保障。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3.2021年收到人大代表建议0件，政协委员提案3件，主要涉及老年人健康、住建等社会民生热点问题，均已解决采纳。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53772"/>
    <w:rsid w:val="108160EB"/>
    <w:rsid w:val="2D085772"/>
    <w:rsid w:val="464B1B2F"/>
    <w:rsid w:val="49996437"/>
    <w:rsid w:val="67A535E2"/>
    <w:rsid w:val="694330B3"/>
    <w:rsid w:val="7B5A6766"/>
    <w:rsid w:val="7D6A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2625</Words>
  <Characters>2759</Characters>
  <Lines>0</Lines>
  <Paragraphs>0</Paragraphs>
  <TotalTime>23</TotalTime>
  <ScaleCrop>false</ScaleCrop>
  <LinksUpToDate>false</LinksUpToDate>
  <CharactersWithSpaces>2781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2022-04-08T06:40:35Z</dcterms:created>
  <dc:creator>info</dc:creator>
  <cp:lastModifiedBy>WPS_1644907779</cp:lastModifiedBy>
  <dcterms:modified xsi:type="dcterms:W3CDTF">2022-04-08T07:04:10Z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CF08748A6F364FBC9BAE57B069C31229</vt:lpwstr>
  </property>
</Properties>
</file>