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</w:rPr>
        <w:t>张店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区</w:t>
      </w: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</w:rPr>
        <w:t>公园街道办事处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</w:rPr>
        <w:t>202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1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</w:rPr>
        <w:t>年政府信息公开工作年度报告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根据《中华人民共和国政府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信息公开条例》《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淄博市张店区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人民政府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办公室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关于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规范编制和按时发布政府信息公开工作年度报告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的通知》要求，结合我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办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年度政府信息公开工作实际，现编制形成了《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张店区公园街道办事处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2021年度政府信息公开工作年度报告》。全文由总体情况、主动公开政府信息情况、收到和处理政府信息公开申请情况、政府信息公开行政复议、行政诉讼情况、存在的主要问题及改进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以及其他需要报告的事项等六个部分组成。本报告中所列数据的统计期限从2021年1月1日至2021年12月31日止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报告电子版可以在淄博市张店区人民政府门户网站查阅或下载（网址：www.zhangdian.gov.cn）。如对报告内容有疑问，请与张店区公园街道办事处党政办公室联系（地址：张店区商场西街12号公园街道办事处，邮编：255000，电话：0533-2286643，传真：0533-2287070，电子邮箱：zdgyb2008@163.com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rPr>
          <w:rFonts w:hint="eastAsia" w:ascii="黑体" w:hAnsi="宋体" w:eastAsia="仿宋" w:cs="黑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总体情况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2021年，我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办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严格遵守《中华人民共和国政府信息公开条例》各项规定，围绕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基层重点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工作，大力推进决策、执行、管理、服务、结果“五公开”，强化重点领域信息公开，着力提高政府信息公开工作能力和水平，全面提升政府信息公开的质量和实效。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 w:rightChars="0" w:firstLine="642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主动公开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方面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2021年，我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办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主动公开政府信息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400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余条，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其中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政府信息公开平台公布政务信息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条，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订阅公众号“印象公园”发布300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余条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；不断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加强新闻发布和政策解读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drawing>
          <wp:inline distT="0" distB="0" distL="114300" distR="114300">
            <wp:extent cx="5272405" cy="4329430"/>
            <wp:effectExtent l="0" t="0" r="4445" b="13970"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32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480"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80000" cy="3810000"/>
            <wp:effectExtent l="4445" t="4445" r="20955" b="1460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480"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 w:rightChars="0" w:firstLine="642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依申请公开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方面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加强制度建设，规范政务公开、依申请公开规范流程。2021年共收到依申请公开事项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件，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与去年数量相比增加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2件，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均在规定时间要求内进行规范答复办理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，办结率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480"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080000" cy="3810000"/>
            <wp:effectExtent l="4445" t="4445" r="20955" b="14605"/>
            <wp:docPr id="4" name="图表 4" descr="7b0a202020202263686172745265734964223a202234353638333034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(三)政府信息管理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方面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坚持以《条例》《通知》为遵循，以公开为常态、不公开为例外，推进行政决策公开、执行公开、管理公开、服务公开和结果公开。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(四)平台建设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方面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作为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公园街道办事处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工作的重要宣传阵地和信息公开渠道，我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办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进一步加强政府网站、政务新媒体建设管理，充分运用网站、微信等新媒体发布通知、公告，持续加大公开力度、深化公开内容。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(五)监督保障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方面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优化信息公开审查流程，推进信息公开审发监管制度建设，健全政府信息依法申请公开登记、审核、办理、答复、归档工作制度。严格执行经办人拟稿、负责人审核的“先审后发”制度，对文字内容、审发程序等实行专人监督和管理，做到目标明确、责任到位。</w:t>
      </w:r>
      <w:r>
        <w:rPr>
          <w:rFonts w:ascii="仿宋_GB2312" w:hAnsi="微软雅黑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   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二、主动公开政府信息情况</w:t>
      </w:r>
    </w:p>
    <w:tbl>
      <w:tblPr>
        <w:tblStyle w:val="3"/>
        <w:tblW w:w="8516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0"/>
        <w:gridCol w:w="2125"/>
        <w:gridCol w:w="1661"/>
        <w:gridCol w:w="183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8"/>
                <w:szCs w:val="28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8"/>
                <w:szCs w:val="28"/>
              </w:rPr>
              <w:t>信息内容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8"/>
                <w:szCs w:val="28"/>
              </w:rPr>
              <w:t>本年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8"/>
                <w:szCs w:val="28"/>
                <w:lang w:val="en-US" w:eastAsia="zh-CN"/>
              </w:rPr>
              <w:t>制发件数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8"/>
                <w:szCs w:val="28"/>
              </w:rPr>
              <w:t>本年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8"/>
                <w:szCs w:val="28"/>
                <w:lang w:val="en-US" w:eastAsia="zh-CN"/>
              </w:rPr>
              <w:t>废止件数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8"/>
                <w:szCs w:val="28"/>
                <w:lang w:val="en-US" w:eastAsia="zh-CN"/>
              </w:rPr>
              <w:t>现行有效件数</w:t>
            </w:r>
          </w:p>
        </w:tc>
      </w:tr>
      <w:t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8"/>
                <w:szCs w:val="28"/>
              </w:rPr>
              <w:t>规章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8"/>
                <w:szCs w:val="28"/>
              </w:rPr>
              <w:t>0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8"/>
                <w:szCs w:val="28"/>
              </w:rPr>
              <w:t>0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8"/>
                <w:szCs w:val="28"/>
              </w:rPr>
              <w:t>规范性文件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8"/>
                <w:szCs w:val="28"/>
              </w:rPr>
              <w:t>0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8"/>
                <w:szCs w:val="28"/>
              </w:rPr>
              <w:t>0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8"/>
                <w:szCs w:val="28"/>
                <w:shd w:val="cle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8"/>
                <w:szCs w:val="28"/>
              </w:rPr>
              <w:t>信息内容</w:t>
            </w:r>
          </w:p>
        </w:tc>
        <w:tc>
          <w:tcPr>
            <w:tcW w:w="5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8"/>
                <w:szCs w:val="28"/>
                <w:lang w:val="en-US"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8"/>
                <w:szCs w:val="28"/>
              </w:rPr>
              <w:t>行政许可</w:t>
            </w:r>
          </w:p>
        </w:tc>
        <w:tc>
          <w:tcPr>
            <w:tcW w:w="5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895</w:t>
            </w:r>
          </w:p>
        </w:tc>
      </w:tr>
      <w:tr>
        <w:tc>
          <w:tcPr>
            <w:tcW w:w="8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8"/>
                <w:szCs w:val="28"/>
              </w:rPr>
              <w:t>第二十条第（六）项</w:t>
            </w:r>
          </w:p>
        </w:tc>
      </w:tr>
      <w:t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8"/>
                <w:szCs w:val="28"/>
              </w:rPr>
              <w:t>信息内容</w:t>
            </w:r>
          </w:p>
        </w:tc>
        <w:tc>
          <w:tcPr>
            <w:tcW w:w="5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8"/>
                <w:szCs w:val="28"/>
                <w:lang w:val="en-US"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8"/>
                <w:szCs w:val="28"/>
              </w:rPr>
              <w:t>行政处罚</w:t>
            </w:r>
          </w:p>
        </w:tc>
        <w:tc>
          <w:tcPr>
            <w:tcW w:w="5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8"/>
                <w:szCs w:val="28"/>
              </w:rPr>
              <w:t>行政强制</w:t>
            </w:r>
          </w:p>
        </w:tc>
        <w:tc>
          <w:tcPr>
            <w:tcW w:w="5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8"/>
                <w:szCs w:val="28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8"/>
                <w:szCs w:val="28"/>
              </w:rPr>
              <w:t>信息内容</w:t>
            </w:r>
          </w:p>
        </w:tc>
        <w:tc>
          <w:tcPr>
            <w:tcW w:w="5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8"/>
                <w:szCs w:val="28"/>
                <w:lang w:val="en-US" w:eastAsia="zh-CN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8"/>
                <w:szCs w:val="28"/>
              </w:rPr>
              <w:t>行政事业性收费</w:t>
            </w:r>
          </w:p>
        </w:tc>
        <w:tc>
          <w:tcPr>
            <w:tcW w:w="5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三、收到和处理政府信息公开申请情况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 </w:t>
      </w:r>
    </w:p>
    <w:tbl>
      <w:tblPr>
        <w:tblStyle w:val="3"/>
        <w:tblW w:w="8516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965"/>
        <w:gridCol w:w="2707"/>
        <w:gridCol w:w="760"/>
        <w:gridCol w:w="589"/>
        <w:gridCol w:w="602"/>
        <w:gridCol w:w="576"/>
        <w:gridCol w:w="576"/>
        <w:gridCol w:w="576"/>
        <w:gridCol w:w="53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2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3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自然人</w:t>
            </w:r>
          </w:p>
        </w:tc>
        <w:tc>
          <w:tcPr>
            <w:tcW w:w="29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法人或其他组织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43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商业企业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科研机构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社会公益组织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法律服务机构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其他</w:t>
            </w: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三、本年度办理结果</w:t>
            </w:r>
          </w:p>
        </w:tc>
        <w:tc>
          <w:tcPr>
            <w:tcW w:w="3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（一）予以公开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（二）部分公开（区分处理的，只记这一情形，不计其他情形）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（三）不予公开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1.属于国家秘密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2.其他法律行政法规禁止公开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3.危及“三安全一稳定”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4.保护第三方合法权益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5.属于三类内部事务信息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6.属于四类过程性信息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7.属于行政执法案卷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8.属于行政查询事项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（四）无法提供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1.本机关不掌握相关政府信息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2.没有现成信息需要另行制作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3.补正后申请内容仍不明确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（五）不予处理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1.信访举报投诉类申请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2.重复申请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3.要求提供公开出版物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4.无正当理由大量反复申请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（六）其他处理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（七）总计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四、结转下年度继续办理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四、政府信息公开行政复议、行政诉讼情况</w:t>
      </w:r>
    </w:p>
    <w:tbl>
      <w:tblPr>
        <w:tblStyle w:val="3"/>
        <w:tblW w:w="8516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521"/>
        <w:gridCol w:w="556"/>
        <w:gridCol w:w="533"/>
        <w:gridCol w:w="422"/>
        <w:gridCol w:w="533"/>
        <w:gridCol w:w="521"/>
        <w:gridCol w:w="521"/>
        <w:gridCol w:w="545"/>
        <w:gridCol w:w="422"/>
        <w:gridCol w:w="534"/>
        <w:gridCol w:w="534"/>
        <w:gridCol w:w="545"/>
        <w:gridCol w:w="534"/>
        <w:gridCol w:w="124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5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行政复议</w:t>
            </w:r>
          </w:p>
        </w:tc>
        <w:tc>
          <w:tcPr>
            <w:tcW w:w="5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结果维持</w:t>
            </w:r>
          </w:p>
        </w:tc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结果纠正</w:t>
            </w:r>
          </w:p>
        </w:tc>
        <w:tc>
          <w:tcPr>
            <w:tcW w:w="5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其他结果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尚未审结</w:t>
            </w:r>
          </w:p>
        </w:tc>
        <w:tc>
          <w:tcPr>
            <w:tcW w:w="4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总计</w:t>
            </w:r>
          </w:p>
        </w:tc>
        <w:tc>
          <w:tcPr>
            <w:tcW w:w="2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未经复议直接起诉</w:t>
            </w:r>
          </w:p>
        </w:tc>
        <w:tc>
          <w:tcPr>
            <w:tcW w:w="33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结果维持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结果纠正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其他结果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尚未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审结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总计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结果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维持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结果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纠正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结果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尚未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审结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  <w:t>（一）存在的主要问题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今年以来，我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办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根据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政府信息公开年度主要任务，在明确需要推进的重点工作、工作要求、保障措施等方面采取了有力措施，确保我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办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政府信息公开工作的正常有序开展。但是也存在一些不足和问题，一是政策解读渠道不够多元，二是信息公开的及时性有待进一步加强。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下一步，我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办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将按照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委、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政府部署安排，结合部门实际，坚持以公开为常态、不公开为例外，不断提升我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办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政务公开工作质量和水平。一是持续丰富公开形式，充分利用新媒体等数字化、信息化作用，进一步拓宽公开途径，让公众看得懂、听得明白。二是提升政策解读形式，确保政策措施在实际中有效地贯彻落实。三是理清职责、深入落实，继续加强政府信息公开日常工作的推进、指导、监督与考核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2021年，我街道未收到人大代表建议和政协提案。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2924F7"/>
    <w:multiLevelType w:val="singleLevel"/>
    <w:tmpl w:val="582924F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false"/>
  <w:bordersDoNotSurroundFooter w:val="false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32503"/>
    <w:rsid w:val="06132503"/>
    <w:rsid w:val="08A81E50"/>
    <w:rsid w:val="0C902533"/>
    <w:rsid w:val="0D6A14CE"/>
    <w:rsid w:val="1E064989"/>
    <w:rsid w:val="5C7B1145"/>
    <w:rsid w:val="5D451001"/>
    <w:rsid w:val="6D535020"/>
    <w:rsid w:val="7DBE59C9"/>
    <w:rsid w:val="B7DFA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&#19979;&#36733;/C:\Users\Lenovo\AppData\Roaming\Kingsoft\wps\addons\pool\win-i386\knewfileruby_1.0.0.12\template\wps\0.doc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false"/>
      <c:spPr>
        <a:noFill/>
        <a:ln>
          <a:noFill/>
        </a:ln>
        <a:effectLst/>
      </c:spPr>
      <c:txPr>
        <a:bodyPr rot="0" spcFirstLastPara="0" vertOverflow="ellipsis" vert="horz" wrap="square" anchor="ctr" anchorCtr="true"/>
        <a:lstStyle/>
        <a:p>
          <a:pPr>
            <a:defRPr lang="zh-CN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false"/>
    <c:plotArea>
      <c:layout/>
      <c:pieChart>
        <c:varyColors val="true"/>
        <c:ser>
          <c:idx val="0"/>
          <c:order val="0"/>
          <c:tx>
            <c:strRef>
              <c:f>Sheet1!$B$1</c:f>
              <c:strCache>
                <c:ptCount val="1"/>
                <c:pt idx="0">
                  <c:v>近三年信息发布数量</c:v>
                </c:pt>
              </c:strCache>
            </c:strRef>
          </c:tx>
          <c:spPr/>
          <c:explosion val="0"/>
          <c:dPt>
            <c:idx val="0"/>
            <c:bubble3D val="false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false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false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false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true"/>
            <c:extLst>
              <c:ext xmlns:c15="http://schemas.microsoft.com/office/drawing/2012/chart" uri="{CE6537A1-D6FC-4f65-9D91-7224C49458BB}">
                <c15:layout/>
                <c15:showLeaderLines val="true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2019年</c:v>
                </c:pt>
                <c:pt idx="1">
                  <c:v>2020年</c:v>
                </c:pt>
                <c:pt idx="2">
                  <c:v>2021年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87</c:v>
                </c:pt>
                <c:pt idx="1">
                  <c:v>175</c:v>
                </c:pt>
                <c:pt idx="2">
                  <c:v>53</c:v>
                </c:pt>
              </c:numCache>
            </c:numRef>
          </c:val>
        </c:ser>
        <c:dLbls>
          <c:showLegendKey val="false"/>
          <c:showVal val="true"/>
          <c:showCatName val="false"/>
          <c:showSerName val="false"/>
          <c:showPercent val="false"/>
          <c:showBubbleSize val="false"/>
          <c:showLeaderLines val="true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false"/>
      <c:spPr>
        <a:noFill/>
        <a:ln>
          <a:noFill/>
        </a:ln>
        <a:effectLst/>
      </c:spPr>
      <c:txPr>
        <a:bodyPr rot="0" spcFirstLastPara="0" vertOverflow="ellipsis" vert="horz" wrap="square" anchor="ctr" anchorCtr="true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true"/>
    <c:dispBlanksAs val="gap"/>
    <c:showDLblsOverMax val="false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 defTabSz="914400">
              <a:defRPr lang="zh-CN" sz="18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t>近三年依申请公开数量</a:t>
            </a:r>
          </a:p>
        </c:rich>
      </c:tx>
      <c:layout>
        <c:manualLayout>
          <c:xMode val="edge"/>
          <c:yMode val="edge"/>
          <c:x val="0.0192056441076561"/>
          <c:y val="0.0308710033076075"/>
        </c:manualLayout>
      </c:layout>
      <c:overlay val="false"/>
      <c:spPr>
        <a:noFill/>
        <a:ln>
          <a:noFill/>
        </a:ln>
        <a:effectLst/>
      </c:spPr>
    </c:title>
    <c:autoTitleDeleted val="false"/>
    <c:plotArea>
      <c:layout>
        <c:manualLayout>
          <c:layoutTarget val="inner"/>
          <c:xMode val="edge"/>
          <c:yMode val="edge"/>
          <c:x val="0.0900312532791253"/>
          <c:y val="0.180255753587582"/>
          <c:w val="0.873734694843312"/>
          <c:h val="0.686161352212451"/>
        </c:manualLayout>
      </c:layout>
      <c:barChart>
        <c:barDir val="col"/>
        <c:grouping val="clustered"/>
        <c:varyColors val="false"/>
        <c:ser>
          <c:idx val="4"/>
          <c:order val="0"/>
          <c:tx>
            <c:strRef>
              <c:f>Sheet1!$B$1</c:f>
              <c:strCache>
                <c:ptCount val="1"/>
                <c:pt idx="0">
                  <c:v/>
                </c:pt>
              </c:strCache>
            </c:strRef>
          </c:tx>
          <c:spPr>
            <a:gradFill>
              <a:gsLst>
                <a:gs pos="0">
                  <a:schemeClr val="accent5"/>
                </a:gs>
                <a:gs pos="100000">
                  <a:schemeClr val="accent5">
                    <a:lumMod val="84000"/>
                  </a:schemeClr>
                </a:gs>
              </a:gsLst>
              <a:lin ang="5400000" scaled="true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false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true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2019年</c:v>
                </c:pt>
                <c:pt idx="1">
                  <c:v>2020年</c:v>
                </c:pt>
                <c:pt idx="2">
                  <c:v>2021年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</c:ser>
        <c:dLbls>
          <c:showLegendKey val="false"/>
          <c:showVal val="true"/>
          <c:showCatName val="false"/>
          <c:showSerName val="false"/>
          <c:showPercent val="false"/>
          <c:showBubbleSize val="false"/>
        </c:dLbls>
        <c:gapWidth val="41"/>
        <c:overlap val="0"/>
        <c:axId val="722001251"/>
        <c:axId val="285280138"/>
      </c:barChart>
      <c:catAx>
        <c:axId val="722001251"/>
        <c:scaling>
          <c:orientation val="minMax"/>
        </c:scaling>
        <c:delete val="false"/>
        <c:axPos val="b"/>
        <c:numFmt formatCode="General" sourceLinked="false"/>
        <c:majorTickMark val="in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</a:p>
        </c:txPr>
        <c:crossAx val="285280138"/>
        <c:crosses val="autoZero"/>
        <c:auto val="true"/>
        <c:lblAlgn val="ctr"/>
        <c:lblOffset val="100"/>
        <c:noMultiLvlLbl val="false"/>
      </c:catAx>
      <c:valAx>
        <c:axId val="285280138"/>
        <c:scaling>
          <c:orientation val="minMax"/>
        </c:scaling>
        <c:delete val="true"/>
        <c:axPos val="l"/>
        <c:numFmt formatCode="General" sourceLinked="true"/>
        <c:majorTickMark val="none"/>
        <c:minorTickMark val="none"/>
        <c:tickLblPos val="nextTo"/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220012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false"/>
      <c:spPr>
        <a:noFill/>
        <a:ln>
          <a:noFill/>
        </a:ln>
        <a:effectLst/>
      </c:spPr>
      <c:txPr>
        <a:bodyPr rot="0" spcFirstLastPara="0" vertOverflow="ellipsis" vert="horz" wrap="square" anchor="ctr" anchorCtr="true"/>
        <a:lstStyle/>
        <a:p>
          <a:pPr>
            <a:defRPr lang="zh-CN"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true"/>
    <c:dispBlanksAs val="gap"/>
    <c:showDLblsOverMax val="false"/>
  </c:chart>
  <c:spPr>
    <a:gradFill flip="none" rotWithShape="true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true"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true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true"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true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true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true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true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7</Pages>
  <Words>2099</Words>
  <Characters>2217</Characters>
  <Lines>0</Lines>
  <Paragraphs>0</Paragraphs>
  <TotalTime>30</TotalTime>
  <ScaleCrop>false</ScaleCrop>
  <LinksUpToDate>false</LinksUpToDate>
  <CharactersWithSpaces>2277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2022-01-07T14:23:00Z</dcterms:created>
  <dc:creator>Lenovo</dc:creator>
  <cp:lastModifiedBy>user</cp:lastModifiedBy>
  <dcterms:modified xsi:type="dcterms:W3CDTF">2025-12-26T15:53:14Z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0DCFA81A7D864E258D2EDF593B90AB22</vt:lpwstr>
  </property>
</Properties>
</file>