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 </w:t>
      </w:r>
      <w:bookmarkStart w:id="0" w:name="_GoBack"/>
      <w:r>
        <w:rPr>
          <w:rStyle w:val="5"/>
          <w:rFonts w:hint="eastAsia" w:ascii="仿宋_GB2312" w:hAnsi="仿宋_GB2312" w:eastAsia="仿宋_GB2312" w:cs="仿宋_GB2312"/>
          <w:sz w:val="44"/>
          <w:szCs w:val="44"/>
        </w:rPr>
        <w:t>张店区工业和信息化局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jc w:val="center"/>
        <w:textAlignment w:val="auto"/>
        <w:rPr>
          <w:rFonts w:hint="eastAsia" w:ascii="仿宋_GB2312" w:hAnsi="仿宋_GB2312" w:eastAsia="仿宋_GB2312" w:cs="仿宋_GB2312"/>
          <w:sz w:val="44"/>
          <w:szCs w:val="44"/>
        </w:rPr>
      </w:pPr>
      <w:r>
        <w:rPr>
          <w:rStyle w:val="5"/>
          <w:rFonts w:hint="eastAsia" w:ascii="仿宋_GB2312" w:hAnsi="仿宋_GB2312" w:eastAsia="仿宋_GB2312" w:cs="仿宋_GB2312"/>
          <w:sz w:val="44"/>
          <w:szCs w:val="44"/>
        </w:rPr>
        <w:t>2019年政府信息公开工作年度报告</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2019年，自全区召开“工作落实年”动员大会以来，我局围绕大会要求及区委、区政府“三三四”工作的总体部署，聚力“双招双引”工业经济运行、新旧动能转换、民营经济高质量发展、两化深度融合、企业家培训等五项重点任务，迅速发力，以实际行动贯彻落实年的各项要求。我局深入贯彻《中华人民共和国政府信息公开条例》和《山东省政府信息公开办法》，加强组织领导，完善体制机制，突出重点，深化政府信息公开工作，拓宽信息公开渠道，政府信息公开工作取得新进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（一）认真贯彻《政府信息公开条例》，切实推进政务公开。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按时发布政府信息公开年度报告，及时更新政府信息公开目录，定期汇总政府信息公开统计数据，并针对舆情民意协助做好政府信息公开回应。在局办公室设立了政府信息公开查询点，为企业和群众提供便捷、高效的政务信息咨询、政府信息查询等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全面深化我局办事公开，及时公开局办事指南、服务事项、收费标准、规章制度、在线服务、社会监督等信息，及时将公众关注度高、公益性强的信息向社会发布，确保信息公开全面、准确。2019年，全区通过张店区新闻网站向社会主动公开各类信息100余条，进一步增强了办事公开透明度，提高了公共管理和服务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3、充分利用政府新闻网打造公共服务平台。我局将政务平台建设工作作为深化我局规范化服务型政府建设的重要举措，健全工作机制，完善工作制度，扎实推进政务信息公开工作。2019年，主动公开政府信息130条。其中：机构领导、设置及人事类信息3条；政策法规、规范性文件信息23条。同时，接受企业经营者电话咨询多达100余起，在全区的工业工作中发挥了积极有效的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（二）、政府信息公开的组织领导和制度建设情况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加强领导，确保信息依法及时公开。区工信局高度重视政务信息公开工作，成立了由主要负责人为组长的政府信息公开领导小组，专职人员1人，兼职人员3人，同时把信息公开列入局全年工作目标考核，确保非涉密、非敏感信息能依法及时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2、遵章守制，确保信息公开的规范化。严格遵照《中华人民共和国保守国家秘密法》等有关法律、法规的规定，确保发布的政务信息具备真实性、时效性与权威性，保证涉密、敏感信息不上网。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3、建章立制，确保信息公开的制度化。积极抓好信息公开工作的落实，制定、贯彻和落实信息公开指南及公开目录，确定了信息公开的具体内容，充分发挥主动公开在信息公开中的主渠道作用，在深化公开内容、建立各项制度、规范公开载体形式、加强基础性建设工作等方面取得了新的进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（三）、重点领域政府信息公开工作推进情况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1、加强行政审批项目和行政许可信息公开。围绕经济运行、投资规划、两化融合等有关工作，及时公开行政审批与行政许可项目信息，尤其行政许可办理情况的信息公开工作，推进审批过程和结果公开。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推进“三公经费”公开制度。认真执行“三公经费”年度预算，加强“三公经费”预算执行过程的管理，定期检查“三公经费”执行情况，在一定范围内定期全面公开单位“三公经费”明细支出，做好相关解释说明，接受社会和群众的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3、推进环境保护信息公开工作。切实做好环境保护热点问题信息公开工作，及时客观准确规范发布有关信息，加大对工业企业节能降耗等方面执法力度，继续做好对加油站环境卫生综合整治工作的信息公开。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4、推进工业安全生产信息公开。重点推进重大事故调查报告公开工作，进一步加强调查处理信息公开。及时准确发布处置的工业生产安全事故抢险救援进展等信息，实现重大事故调查报告全面公开，着力提高信息发布的时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（四）、主动公开政府信息以及公开平台建设情况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政府信息公开工作依托张店工业经济简报、报刊、电视等多种信息公开媒介公开体系，不断加大信息公开力度，丰富信息公开内容。2019年共发布各类信息130余条，主要包括政策规定、办事指南、工作动态等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（五）、政府信息公开申请的办理情况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我局已按要求进行了政府信息公开，本年度未出现政府信息公开权利人向政府信息公开义务人申请公开信息的情况。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（六）、政府信息公开的收费及减免情况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我局严格按照《中华人民共和国政府信息公开条例》的规定公开政府信息，本年度未收取涉及政府信息公开申请的任何费用。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（七）、因政府信息公开申请提起行政复议、行政诉讼的情况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我局全年没有发生因政府信息公开工作引发举报、投诉、申请行政复议或提起行政诉讼的情况。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（八）、政府信息公开保密审查及监督检查情况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2019年度，我局严格按照《中华人民共和国政府信息公开条例》第14条规定，执行保密审查和监督检查，未发现有“公开涉及国家秘密、商业秘密、个人隐私的政府信息”的行为。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（九）、提案建议办理结果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局共收到区人大政协提案议案9件，其中人大建议4件，政协提案5件。我局本着对人大代表、政协委员高度负责的精神，努力提高办理工作质量，不断探索办理工作的新思路、新方法，认真办理、落实代表建议和委员提案，提前完成办理工作。经面商，代表委员对我局主办件答复满意率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（十）、政府信息公开工作存在的主要问题及改进情况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存在的主要问题和困难。一是政府信息公开的形式不够丰富，内容有待继续完善；二是部分科室的政府信息公开意识不够强，信息更新有的不够及时；三是宣传力度不够，部分企业和群众未能有效地利用网站进行所需政府信息的申请和查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改进措施。2020年的政府公开工作，我局将继续按照市局和区委、区政府的要求，采取有力措施，深入推进政府信息公开工作。一是加强制度建设，以社会关注度高、公共利益大的政府信息作为突破口，全面明晰政务公开事项。三是加强培训工作，注重对科室信息员的培训，增强全局干部职工对政府信息公开工作重要性的认识，提高工作人员积极性和业务水平。三是拓宽公开渠道，利用多种手段拓宽公开渠道，大力推进电子政务信息工作，方便群众查询相关信息，并逐步全面实现网上查询，网上办公，网上监督。四是加强宣传和普及力度，提高公众对工业工作和政府信息公开的认知度，不断提高全系统政府信息公开的工作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bdr w:val="none" w:color="auto" w:sz="0" w:space="0"/>
          <w:shd w:val="clear" w:fill="FFFFFF"/>
        </w:rPr>
        <w:t>  二、主动公开政府信息情况</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00"/>
        <w:gridCol w:w="2020"/>
        <w:gridCol w:w="1436"/>
        <w:gridCol w:w="1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5" w:hRule="atLeast"/>
          <w:tblCellSpacing w:w="15" w:type="dxa"/>
        </w:trPr>
        <w:tc>
          <w:tcPr>
            <w:tcW w:w="8715" w:type="dxa"/>
            <w:gridSpan w:val="4"/>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3120"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87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信息内容</w:t>
            </w:r>
          </w:p>
        </w:tc>
        <w:tc>
          <w:tcPr>
            <w:tcW w:w="2145"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本年新制作数量</w:t>
            </w:r>
          </w:p>
        </w:tc>
        <w:tc>
          <w:tcPr>
            <w:tcW w:w="14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本年新公开数量</w:t>
            </w:r>
          </w:p>
        </w:tc>
        <w:tc>
          <w:tcPr>
            <w:tcW w:w="198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12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规章</w:t>
            </w:r>
          </w:p>
        </w:tc>
        <w:tc>
          <w:tcPr>
            <w:tcW w:w="214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1</w:t>
            </w:r>
          </w:p>
        </w:tc>
        <w:tc>
          <w:tcPr>
            <w:tcW w:w="14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1</w:t>
            </w:r>
          </w:p>
        </w:tc>
        <w:tc>
          <w:tcPr>
            <w:tcW w:w="198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120" w:type="dxa"/>
            <w:tcBorders>
              <w:top w:val="nil"/>
              <w:left w:val="nil"/>
              <w:bottom w:val="nil"/>
              <w:right w:val="nil"/>
            </w:tcBorders>
            <w:shd w:val="clear" w:color="auto" w:fill="FFFFFF"/>
            <w:tcMar>
              <w:top w:w="0" w:type="dxa"/>
              <w:left w:w="0" w:type="dxa"/>
              <w:bottom w:w="0" w:type="dxa"/>
              <w:right w:w="0" w:type="dxa"/>
            </w:tcMar>
            <w:vAlign w:val="bottom"/>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规范性文件</w:t>
            </w:r>
          </w:p>
        </w:tc>
        <w:tc>
          <w:tcPr>
            <w:tcW w:w="214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80</w:t>
            </w:r>
          </w:p>
        </w:tc>
        <w:tc>
          <w:tcPr>
            <w:tcW w:w="14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1</w:t>
            </w:r>
          </w:p>
        </w:tc>
        <w:tc>
          <w:tcPr>
            <w:tcW w:w="198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8715" w:type="dxa"/>
            <w:gridSpan w:val="4"/>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3120"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87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信息内容</w:t>
            </w:r>
          </w:p>
        </w:tc>
        <w:tc>
          <w:tcPr>
            <w:tcW w:w="2145"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上一年项目数量</w:t>
            </w:r>
          </w:p>
        </w:tc>
        <w:tc>
          <w:tcPr>
            <w:tcW w:w="1470"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本年增</w:t>
            </w:r>
            <w:r>
              <w:rPr>
                <w:rFonts w:hint="eastAsia" w:ascii="仿宋_GB2312" w:hAnsi="仿宋_GB2312" w:eastAsia="仿宋_GB2312" w:cs="仿宋_GB2312"/>
                <w:color w:val="3D3D3D"/>
                <w:spacing w:val="0"/>
                <w:sz w:val="30"/>
                <w:szCs w:val="30"/>
              </w:rPr>
              <w:t>/</w:t>
            </w:r>
            <w:r>
              <w:rPr>
                <w:rFonts w:hint="eastAsia" w:ascii="仿宋_GB2312" w:hAnsi="仿宋_GB2312" w:eastAsia="仿宋_GB2312" w:cs="仿宋_GB2312"/>
                <w:color w:val="3D3D3D"/>
                <w:spacing w:val="0"/>
                <w:sz w:val="30"/>
                <w:szCs w:val="30"/>
              </w:rPr>
              <w:t>减</w:t>
            </w:r>
          </w:p>
        </w:tc>
        <w:tc>
          <w:tcPr>
            <w:tcW w:w="1980"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312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行政许可</w:t>
            </w:r>
          </w:p>
        </w:tc>
        <w:tc>
          <w:tcPr>
            <w:tcW w:w="214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14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198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12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其他对外管理服务事项</w:t>
            </w:r>
          </w:p>
        </w:tc>
        <w:tc>
          <w:tcPr>
            <w:tcW w:w="214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14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198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8715" w:type="dxa"/>
            <w:gridSpan w:val="4"/>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12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87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信息内容</w:t>
            </w:r>
          </w:p>
        </w:tc>
        <w:tc>
          <w:tcPr>
            <w:tcW w:w="214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上一年项目数量</w:t>
            </w:r>
          </w:p>
        </w:tc>
        <w:tc>
          <w:tcPr>
            <w:tcW w:w="14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本年增</w:t>
            </w:r>
            <w:r>
              <w:rPr>
                <w:rFonts w:hint="eastAsia" w:ascii="仿宋_GB2312" w:hAnsi="仿宋_GB2312" w:eastAsia="仿宋_GB2312" w:cs="仿宋_GB2312"/>
                <w:color w:val="3D3D3D"/>
                <w:spacing w:val="0"/>
                <w:sz w:val="30"/>
                <w:szCs w:val="30"/>
              </w:rPr>
              <w:t>/</w:t>
            </w:r>
            <w:r>
              <w:rPr>
                <w:rFonts w:hint="eastAsia" w:ascii="仿宋_GB2312" w:hAnsi="仿宋_GB2312" w:eastAsia="仿宋_GB2312" w:cs="仿宋_GB2312"/>
                <w:color w:val="3D3D3D"/>
                <w:spacing w:val="0"/>
                <w:sz w:val="30"/>
                <w:szCs w:val="30"/>
              </w:rPr>
              <w:t>减</w:t>
            </w:r>
          </w:p>
        </w:tc>
        <w:tc>
          <w:tcPr>
            <w:tcW w:w="198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12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行政处罚</w:t>
            </w:r>
          </w:p>
        </w:tc>
        <w:tc>
          <w:tcPr>
            <w:tcW w:w="214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14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198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120" w:type="dxa"/>
            <w:tcBorders>
              <w:top w:val="nil"/>
              <w:left w:val="nil"/>
              <w:bottom w:val="nil"/>
              <w:right w:val="nil"/>
            </w:tcBorders>
            <w:shd w:val="clear" w:color="auto" w:fill="FFFFFF"/>
            <w:tcMar>
              <w:top w:w="0" w:type="dxa"/>
              <w:left w:w="0" w:type="dxa"/>
              <w:bottom w:w="0" w:type="dxa"/>
              <w:right w:w="0" w:type="dxa"/>
            </w:tcMar>
            <w:vAlign w:val="bottom"/>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行政强制</w:t>
            </w:r>
          </w:p>
        </w:tc>
        <w:tc>
          <w:tcPr>
            <w:tcW w:w="214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14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198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8715" w:type="dxa"/>
            <w:gridSpan w:val="4"/>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12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87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信息内容</w:t>
            </w:r>
          </w:p>
        </w:tc>
        <w:tc>
          <w:tcPr>
            <w:tcW w:w="214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上一年项目数量</w:t>
            </w:r>
          </w:p>
        </w:tc>
        <w:tc>
          <w:tcPr>
            <w:tcW w:w="3465" w:type="dxa"/>
            <w:gridSpan w:val="2"/>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本年增</w:t>
            </w:r>
            <w:r>
              <w:rPr>
                <w:rFonts w:hint="eastAsia" w:ascii="仿宋_GB2312" w:hAnsi="仿宋_GB2312" w:eastAsia="仿宋_GB2312" w:cs="仿宋_GB2312"/>
                <w:color w:val="3D3D3D"/>
                <w:spacing w:val="0"/>
                <w:sz w:val="30"/>
                <w:szCs w:val="30"/>
              </w:rPr>
              <w:t>/</w:t>
            </w:r>
            <w:r>
              <w:rPr>
                <w:rFonts w:hint="eastAsia" w:ascii="仿宋_GB2312" w:hAnsi="仿宋_GB2312" w:eastAsia="仿宋_GB2312" w:cs="仿宋_GB2312"/>
                <w:color w:val="3D3D3D"/>
                <w:spacing w:val="0"/>
                <w:sz w:val="30"/>
                <w:szCs w:val="30"/>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12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行政事业性收费</w:t>
            </w:r>
          </w:p>
        </w:tc>
        <w:tc>
          <w:tcPr>
            <w:tcW w:w="214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3465" w:type="dxa"/>
            <w:gridSpan w:val="2"/>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8715" w:type="dxa"/>
            <w:gridSpan w:val="4"/>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12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87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信息内容</w:t>
            </w:r>
          </w:p>
        </w:tc>
        <w:tc>
          <w:tcPr>
            <w:tcW w:w="214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采购项目数量</w:t>
            </w:r>
          </w:p>
        </w:tc>
        <w:tc>
          <w:tcPr>
            <w:tcW w:w="3465" w:type="dxa"/>
            <w:gridSpan w:val="2"/>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312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政府集中采购</w:t>
            </w:r>
          </w:p>
        </w:tc>
        <w:tc>
          <w:tcPr>
            <w:tcW w:w="214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6</w:t>
            </w:r>
          </w:p>
        </w:tc>
        <w:tc>
          <w:tcPr>
            <w:tcW w:w="3465" w:type="dxa"/>
            <w:gridSpan w:val="2"/>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261935.22元</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z w:val="30"/>
          <w:szCs w:val="30"/>
          <w:bdr w:val="none" w:color="auto" w:sz="0" w:space="0"/>
          <w:shd w:val="clear" w:fill="FFFFFF"/>
        </w:rPr>
        <w:t>  </w:t>
      </w:r>
      <w:r>
        <w:rPr>
          <w:rFonts w:hint="eastAsia" w:ascii="仿宋_GB2312" w:hAnsi="仿宋_GB2312" w:eastAsia="仿宋_GB2312" w:cs="仿宋_GB2312"/>
          <w:sz w:val="30"/>
          <w:szCs w:val="30"/>
          <w:bdr w:val="none" w:color="auto" w:sz="0" w:space="0"/>
          <w:shd w:val="clear" w:fill="FFFFFF"/>
        </w:rPr>
        <w:t>三、收到和处理政府信息公开申请情况</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45"/>
        <w:gridCol w:w="1453"/>
        <w:gridCol w:w="2298"/>
        <w:gridCol w:w="604"/>
        <w:gridCol w:w="542"/>
        <w:gridCol w:w="542"/>
        <w:gridCol w:w="554"/>
        <w:gridCol w:w="554"/>
        <w:gridCol w:w="554"/>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blCellSpacing w:w="15" w:type="dxa"/>
        </w:trPr>
        <w:tc>
          <w:tcPr>
            <w:tcW w:w="4635" w:type="dxa"/>
            <w:gridSpan w:val="3"/>
            <w:vMerge w:val="restar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（本列数据的勾稽关系为：第一项加第二项之和， 等于第三项加第四项之和）</w:t>
            </w:r>
          </w:p>
        </w:tc>
        <w:tc>
          <w:tcPr>
            <w:tcW w:w="4080" w:type="dxa"/>
            <w:gridSpan w:val="7"/>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35" w:type="dxa"/>
            <w:gridSpan w:val="3"/>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630" w:type="dxa"/>
            <w:vMerge w:val="restar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自然人</w:t>
            </w:r>
          </w:p>
        </w:tc>
        <w:tc>
          <w:tcPr>
            <w:tcW w:w="2820" w:type="dxa"/>
            <w:gridSpan w:val="5"/>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法人或其他组织</w:t>
            </w:r>
          </w:p>
        </w:tc>
        <w:tc>
          <w:tcPr>
            <w:tcW w:w="630" w:type="dxa"/>
            <w:vMerge w:val="restar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blCellSpacing w:w="15" w:type="dxa"/>
        </w:trPr>
        <w:tc>
          <w:tcPr>
            <w:tcW w:w="4635" w:type="dxa"/>
            <w:gridSpan w:val="3"/>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630"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555"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商业 企业</w:t>
            </w:r>
          </w:p>
        </w:tc>
        <w:tc>
          <w:tcPr>
            <w:tcW w:w="555"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科研 机构</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社会公益组织</w:t>
            </w:r>
          </w:p>
        </w:tc>
        <w:tc>
          <w:tcPr>
            <w:tcW w:w="570"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法律 服务 机构</w:t>
            </w:r>
          </w:p>
        </w:tc>
        <w:tc>
          <w:tcPr>
            <w:tcW w:w="570"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其他</w:t>
            </w:r>
          </w:p>
        </w:tc>
        <w:tc>
          <w:tcPr>
            <w:tcW w:w="630"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4635" w:type="dxa"/>
            <w:gridSpan w:val="3"/>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一、本年新收政府信息公开申请数量</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4635" w:type="dxa"/>
            <w:gridSpan w:val="3"/>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二、上年结转政府信息公开申请数量</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15" w:type="dxa"/>
        </w:trPr>
        <w:tc>
          <w:tcPr>
            <w:tcW w:w="525" w:type="dxa"/>
            <w:vMerge w:val="restar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三、本年度办理结果</w:t>
            </w:r>
          </w:p>
        </w:tc>
        <w:tc>
          <w:tcPr>
            <w:tcW w:w="4125" w:type="dxa"/>
            <w:gridSpan w:val="2"/>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（一）予以公开</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4125" w:type="dxa"/>
            <w:gridSpan w:val="2"/>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（二）部分公开（区分处理的，只计这一情形，不计其他情形）</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1530" w:type="dxa"/>
            <w:vMerge w:val="restar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（三）不予公开</w:t>
            </w:r>
          </w:p>
        </w:tc>
        <w:tc>
          <w:tcPr>
            <w:tcW w:w="2595"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1.</w:t>
            </w:r>
            <w:r>
              <w:rPr>
                <w:rFonts w:hint="eastAsia" w:ascii="仿宋_GB2312" w:hAnsi="仿宋_GB2312" w:eastAsia="仿宋_GB2312" w:cs="仿宋_GB2312"/>
                <w:color w:val="3D3D3D"/>
                <w:spacing w:val="0"/>
                <w:sz w:val="30"/>
                <w:szCs w:val="30"/>
                <w:bdr w:val="none" w:color="auto" w:sz="0" w:space="0"/>
              </w:rPr>
              <w:t>属于国家秘密</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1530"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2595"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2.</w:t>
            </w:r>
            <w:r>
              <w:rPr>
                <w:rFonts w:hint="eastAsia" w:ascii="仿宋_GB2312" w:hAnsi="仿宋_GB2312" w:eastAsia="仿宋_GB2312" w:cs="仿宋_GB2312"/>
                <w:color w:val="3D3D3D"/>
                <w:spacing w:val="0"/>
                <w:sz w:val="30"/>
                <w:szCs w:val="30"/>
                <w:bdr w:val="none" w:color="auto" w:sz="0" w:space="0"/>
              </w:rPr>
              <w:t>就法制亍政收禁止公开</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1530"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2595"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3.</w:t>
            </w:r>
            <w:r>
              <w:rPr>
                <w:rFonts w:hint="eastAsia" w:ascii="仿宋_GB2312" w:hAnsi="仿宋_GB2312" w:eastAsia="仿宋_GB2312" w:cs="仿宋_GB2312"/>
                <w:color w:val="3D3D3D"/>
                <w:spacing w:val="0"/>
                <w:sz w:val="30"/>
                <w:szCs w:val="30"/>
                <w:bdr w:val="none" w:color="auto" w:sz="0" w:space="0"/>
              </w:rPr>
              <w:t>危及“三安全一稳定”</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1530"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2595"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4.</w:t>
            </w:r>
            <w:r>
              <w:rPr>
                <w:rFonts w:hint="eastAsia" w:ascii="仿宋_GB2312" w:hAnsi="仿宋_GB2312" w:eastAsia="仿宋_GB2312" w:cs="仿宋_GB2312"/>
                <w:color w:val="3D3D3D"/>
                <w:spacing w:val="0"/>
                <w:sz w:val="30"/>
                <w:szCs w:val="30"/>
                <w:bdr w:val="none" w:color="auto" w:sz="0" w:space="0"/>
              </w:rPr>
              <w:t>保护第三方合法权益</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1530"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259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5.</w:t>
            </w:r>
            <w:r>
              <w:rPr>
                <w:rFonts w:hint="eastAsia" w:ascii="仿宋_GB2312" w:hAnsi="仿宋_GB2312" w:eastAsia="仿宋_GB2312" w:cs="仿宋_GB2312"/>
                <w:color w:val="3D3D3D"/>
                <w:spacing w:val="0"/>
                <w:sz w:val="30"/>
                <w:szCs w:val="30"/>
                <w:bdr w:val="none" w:color="auto" w:sz="0" w:space="0"/>
              </w:rPr>
              <w:t>属于三类内部事务信息</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1530"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2595"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6.</w:t>
            </w:r>
            <w:r>
              <w:rPr>
                <w:rFonts w:hint="eastAsia" w:ascii="仿宋_GB2312" w:hAnsi="仿宋_GB2312" w:eastAsia="仿宋_GB2312" w:cs="仿宋_GB2312"/>
                <w:color w:val="3D3D3D"/>
                <w:spacing w:val="0"/>
                <w:sz w:val="30"/>
                <w:szCs w:val="30"/>
                <w:bdr w:val="none" w:color="auto" w:sz="0" w:space="0"/>
              </w:rPr>
              <w:t>属于四类过程性信息</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1530"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2595"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7.</w:t>
            </w:r>
            <w:r>
              <w:rPr>
                <w:rFonts w:hint="eastAsia" w:ascii="仿宋_GB2312" w:hAnsi="仿宋_GB2312" w:eastAsia="仿宋_GB2312" w:cs="仿宋_GB2312"/>
                <w:color w:val="3D3D3D"/>
                <w:spacing w:val="0"/>
                <w:sz w:val="30"/>
                <w:szCs w:val="30"/>
                <w:bdr w:val="none" w:color="auto" w:sz="0" w:space="0"/>
              </w:rPr>
              <w:t>属于行政执法案卷</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1530"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259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8.</w:t>
            </w:r>
            <w:r>
              <w:rPr>
                <w:rFonts w:hint="eastAsia" w:ascii="仿宋_GB2312" w:hAnsi="仿宋_GB2312" w:eastAsia="仿宋_GB2312" w:cs="仿宋_GB2312"/>
                <w:color w:val="3D3D3D"/>
                <w:spacing w:val="0"/>
                <w:sz w:val="30"/>
                <w:szCs w:val="30"/>
                <w:bdr w:val="none" w:color="auto" w:sz="0" w:space="0"/>
              </w:rPr>
              <w:t>属于行政查询事项</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1530" w:type="dxa"/>
            <w:vMerge w:val="restar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（四）无法提供</w:t>
            </w:r>
          </w:p>
        </w:tc>
        <w:tc>
          <w:tcPr>
            <w:tcW w:w="2595"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1.</w:t>
            </w:r>
            <w:r>
              <w:rPr>
                <w:rFonts w:hint="eastAsia" w:ascii="仿宋_GB2312" w:hAnsi="仿宋_GB2312" w:eastAsia="仿宋_GB2312" w:cs="仿宋_GB2312"/>
                <w:color w:val="3D3D3D"/>
                <w:spacing w:val="0"/>
                <w:sz w:val="30"/>
                <w:szCs w:val="30"/>
                <w:bdr w:val="none" w:color="auto" w:sz="0" w:space="0"/>
              </w:rPr>
              <w:t>本机关不掌■握相关政府信息</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1530"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2595"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2.</w:t>
            </w:r>
            <w:r>
              <w:rPr>
                <w:rFonts w:hint="eastAsia" w:ascii="仿宋_GB2312" w:hAnsi="仿宋_GB2312" w:eastAsia="仿宋_GB2312" w:cs="仿宋_GB2312"/>
                <w:color w:val="3D3D3D"/>
                <w:spacing w:val="0"/>
                <w:sz w:val="30"/>
                <w:szCs w:val="30"/>
                <w:bdr w:val="none" w:color="auto" w:sz="0" w:space="0"/>
              </w:rPr>
              <w:t>没有现成信息需要另行制作</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1530"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2595" w:type="dxa"/>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3.</w:t>
            </w:r>
            <w:r>
              <w:rPr>
                <w:rFonts w:hint="eastAsia" w:ascii="仿宋_GB2312" w:hAnsi="仿宋_GB2312" w:eastAsia="仿宋_GB2312" w:cs="仿宋_GB2312"/>
                <w:color w:val="3D3D3D"/>
                <w:spacing w:val="0"/>
                <w:sz w:val="30"/>
                <w:szCs w:val="30"/>
                <w:bdr w:val="none" w:color="auto" w:sz="0" w:space="0"/>
              </w:rPr>
              <w:t>补正后申请内容仍不明确</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1530" w:type="dxa"/>
            <w:vMerge w:val="restar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（五）不予处理</w:t>
            </w:r>
          </w:p>
        </w:tc>
        <w:tc>
          <w:tcPr>
            <w:tcW w:w="259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1.</w:t>
            </w:r>
            <w:r>
              <w:rPr>
                <w:rFonts w:hint="eastAsia" w:ascii="仿宋_GB2312" w:hAnsi="仿宋_GB2312" w:eastAsia="仿宋_GB2312" w:cs="仿宋_GB2312"/>
                <w:color w:val="3D3D3D"/>
                <w:spacing w:val="0"/>
                <w:sz w:val="30"/>
                <w:szCs w:val="30"/>
                <w:bdr w:val="none" w:color="auto" w:sz="0" w:space="0"/>
              </w:rPr>
              <w:t>信访举报投诉类申请</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1530"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259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2.</w:t>
            </w:r>
            <w:r>
              <w:rPr>
                <w:rFonts w:hint="eastAsia" w:ascii="仿宋_GB2312" w:hAnsi="仿宋_GB2312" w:eastAsia="仿宋_GB2312" w:cs="仿宋_GB2312"/>
                <w:color w:val="3D3D3D"/>
                <w:spacing w:val="0"/>
                <w:sz w:val="30"/>
                <w:szCs w:val="30"/>
                <w:bdr w:val="none" w:color="auto" w:sz="0" w:space="0"/>
              </w:rPr>
              <w:t>重复申请</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1530"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259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3.</w:t>
            </w:r>
            <w:r>
              <w:rPr>
                <w:rFonts w:hint="eastAsia" w:ascii="仿宋_GB2312" w:hAnsi="仿宋_GB2312" w:eastAsia="仿宋_GB2312" w:cs="仿宋_GB2312"/>
                <w:color w:val="3D3D3D"/>
                <w:spacing w:val="0"/>
                <w:sz w:val="30"/>
                <w:szCs w:val="30"/>
                <w:bdr w:val="none" w:color="auto" w:sz="0" w:space="0"/>
              </w:rPr>
              <w:t>要求提供公开出版物</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1530"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2595" w:type="dxa"/>
            <w:tcBorders>
              <w:top w:val="nil"/>
              <w:left w:val="nil"/>
              <w:bottom w:val="nil"/>
              <w:right w:val="nil"/>
            </w:tcBorders>
            <w:shd w:val="clear" w:color="auto" w:fill="FFFFFF"/>
            <w:tcMar>
              <w:top w:w="0" w:type="dxa"/>
              <w:left w:w="0" w:type="dxa"/>
              <w:bottom w:w="0" w:type="dxa"/>
              <w:right w:w="0" w:type="dxa"/>
            </w:tcMar>
            <w:vAlign w:val="bottom"/>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6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4.</w:t>
            </w:r>
            <w:r>
              <w:rPr>
                <w:rFonts w:hint="eastAsia" w:ascii="仿宋_GB2312" w:hAnsi="仿宋_GB2312" w:eastAsia="仿宋_GB2312" w:cs="仿宋_GB2312"/>
                <w:color w:val="3D3D3D"/>
                <w:spacing w:val="0"/>
                <w:sz w:val="30"/>
                <w:szCs w:val="30"/>
              </w:rPr>
              <w:t>无正当理由大量反复 申请</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1530"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259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15"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5.</w:t>
            </w:r>
            <w:r>
              <w:rPr>
                <w:rFonts w:hint="eastAsia" w:ascii="仿宋_GB2312" w:hAnsi="仿宋_GB2312" w:eastAsia="仿宋_GB2312" w:cs="仿宋_GB2312"/>
                <w:color w:val="3D3D3D"/>
                <w:spacing w:val="0"/>
                <w:sz w:val="30"/>
                <w:szCs w:val="30"/>
              </w:rPr>
              <w:t>要求行政机关确认或重 新出具已获取信息</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4125" w:type="dxa"/>
            <w:gridSpan w:val="2"/>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（六）其他处理</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15" w:type="dxa"/>
        </w:trPr>
        <w:tc>
          <w:tcPr>
            <w:tcW w:w="525" w:type="dxa"/>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4125" w:type="dxa"/>
            <w:gridSpan w:val="2"/>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（七）总计</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4635" w:type="dxa"/>
            <w:gridSpan w:val="3"/>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四、结转下年度继续办理</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55"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57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630" w:type="dxa"/>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bdr w:val="none" w:color="auto" w:sz="0" w:space="0"/>
          <w:shd w:val="clear" w:fill="FFFFFF"/>
        </w:rPr>
        <w:t>  四、政府信息公开行政复议、行政诉讼情况</w:t>
      </w:r>
    </w:p>
    <w:tbl>
      <w:tblPr>
        <w:tblW w:w="4971"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93"/>
        <w:gridCol w:w="561"/>
        <w:gridCol w:w="561"/>
        <w:gridCol w:w="561"/>
        <w:gridCol w:w="624"/>
        <w:gridCol w:w="502"/>
        <w:gridCol w:w="513"/>
        <w:gridCol w:w="502"/>
        <w:gridCol w:w="513"/>
        <w:gridCol w:w="637"/>
        <w:gridCol w:w="502"/>
        <w:gridCol w:w="513"/>
        <w:gridCol w:w="503"/>
        <w:gridCol w:w="514"/>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8" w:hRule="atLeast"/>
          <w:tblCellSpacing w:w="15" w:type="dxa"/>
        </w:trPr>
        <w:tc>
          <w:tcPr>
            <w:tcW w:w="1726" w:type="pct"/>
            <w:gridSpan w:val="5"/>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行政复议</w:t>
            </w:r>
          </w:p>
        </w:tc>
        <w:tc>
          <w:tcPr>
            <w:tcW w:w="3219" w:type="pct"/>
            <w:gridSpan w:val="10"/>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blCellSpacing w:w="15" w:type="dxa"/>
        </w:trPr>
        <w:tc>
          <w:tcPr>
            <w:tcW w:w="346" w:type="pct"/>
            <w:vMerge w:val="restar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结果 维持</w:t>
            </w:r>
          </w:p>
        </w:tc>
        <w:tc>
          <w:tcPr>
            <w:tcW w:w="335" w:type="pct"/>
            <w:vMerge w:val="restar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结果 纠正</w:t>
            </w:r>
          </w:p>
        </w:tc>
        <w:tc>
          <w:tcPr>
            <w:tcW w:w="335" w:type="pct"/>
            <w:vMerge w:val="restar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其他 结果</w:t>
            </w:r>
          </w:p>
        </w:tc>
        <w:tc>
          <w:tcPr>
            <w:tcW w:w="335" w:type="pct"/>
            <w:vMerge w:val="restar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尚未 审结</w:t>
            </w:r>
          </w:p>
        </w:tc>
        <w:tc>
          <w:tcPr>
            <w:tcW w:w="301" w:type="pct"/>
            <w:vMerge w:val="restart"/>
            <w:tcBorders>
              <w:top w:val="nil"/>
              <w:left w:val="nil"/>
              <w:bottom w:val="nil"/>
              <w:right w:val="nil"/>
            </w:tcBorders>
            <w:shd w:val="clear" w:color="auto" w:fill="FFFFFF"/>
            <w:tcMar>
              <w:top w:w="0" w:type="dxa"/>
              <w:left w:w="0" w:type="dxa"/>
              <w:bottom w:w="0" w:type="dxa"/>
              <w:right w:w="0" w:type="dxa"/>
            </w:tcMar>
            <w:vAlign w:val="bottom"/>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总计</w:t>
            </w:r>
          </w:p>
        </w:tc>
        <w:tc>
          <w:tcPr>
            <w:tcW w:w="1589" w:type="pct"/>
            <w:gridSpan w:val="5"/>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未经复议直接起诉</w:t>
            </w:r>
          </w:p>
        </w:tc>
        <w:tc>
          <w:tcPr>
            <w:tcW w:w="1611" w:type="pct"/>
            <w:gridSpan w:val="5"/>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1" w:hRule="atLeast"/>
          <w:tblCellSpacing w:w="15" w:type="dxa"/>
        </w:trPr>
        <w:tc>
          <w:tcPr>
            <w:tcW w:w="346" w:type="pct"/>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335" w:type="pct"/>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335" w:type="pct"/>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335" w:type="pct"/>
            <w:vMerge w:val="continue"/>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301" w:type="pct"/>
            <w:vMerge w:val="continue"/>
            <w:tcBorders>
              <w:top w:val="nil"/>
              <w:left w:val="nil"/>
              <w:bottom w:val="nil"/>
              <w:right w:val="nil"/>
            </w:tcBorders>
            <w:shd w:val="clear" w:color="auto" w:fill="FFFFFF"/>
            <w:tcMar>
              <w:top w:w="0" w:type="dxa"/>
              <w:left w:w="0" w:type="dxa"/>
              <w:bottom w:w="0" w:type="dxa"/>
              <w:right w:w="0" w:type="dxa"/>
            </w:tcMar>
            <w:vAlign w:val="bottom"/>
          </w:tcPr>
          <w:p>
            <w:pPr>
              <w:keepNext w:val="0"/>
              <w:keepLines w:val="0"/>
              <w:pageBreakBefore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p>
        </w:tc>
        <w:tc>
          <w:tcPr>
            <w:tcW w:w="298" w:type="pc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结果 维持</w:t>
            </w:r>
          </w:p>
        </w:tc>
        <w:tc>
          <w:tcPr>
            <w:tcW w:w="305" w:type="pc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结果 纠正</w:t>
            </w:r>
          </w:p>
        </w:tc>
        <w:tc>
          <w:tcPr>
            <w:tcW w:w="298" w:type="pc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其他 结果</w:t>
            </w:r>
          </w:p>
        </w:tc>
        <w:tc>
          <w:tcPr>
            <w:tcW w:w="305" w:type="pc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尚未 审结</w:t>
            </w:r>
          </w:p>
        </w:tc>
        <w:tc>
          <w:tcPr>
            <w:tcW w:w="308"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总计</w:t>
            </w:r>
          </w:p>
        </w:tc>
        <w:tc>
          <w:tcPr>
            <w:tcW w:w="298" w:type="pc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结果 维持</w:t>
            </w:r>
          </w:p>
        </w:tc>
        <w:tc>
          <w:tcPr>
            <w:tcW w:w="305" w:type="pc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结果 纠正</w:t>
            </w:r>
          </w:p>
        </w:tc>
        <w:tc>
          <w:tcPr>
            <w:tcW w:w="298" w:type="pc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bdr w:val="none" w:color="auto" w:sz="0" w:space="0"/>
              </w:rPr>
              <w:t>其他 结果</w:t>
            </w:r>
          </w:p>
        </w:tc>
        <w:tc>
          <w:tcPr>
            <w:tcW w:w="305" w:type="pct"/>
            <w:tcBorders>
              <w:top w:val="nil"/>
              <w:left w:val="nil"/>
              <w:bottom w:val="nil"/>
              <w:right w:val="nil"/>
            </w:tcBorders>
            <w:shd w:val="clear" w:color="auto" w:fill="FFFFFF"/>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尚未 审结</w:t>
            </w:r>
          </w:p>
        </w:tc>
        <w:tc>
          <w:tcPr>
            <w:tcW w:w="330"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blCellSpacing w:w="15" w:type="dxa"/>
        </w:trPr>
        <w:tc>
          <w:tcPr>
            <w:tcW w:w="346"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335"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335"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335"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301"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298"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305"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298"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305"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308"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298"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305"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298"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305"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c>
          <w:tcPr>
            <w:tcW w:w="330" w:type="pct"/>
            <w:tcBorders>
              <w:top w:val="nil"/>
              <w:left w:val="nil"/>
              <w:bottom w:val="nil"/>
              <w:right w:val="nil"/>
            </w:tcBorders>
            <w:shd w:val="clear" w:color="auto" w:fill="FFFFFF"/>
            <w:tcMar>
              <w:top w:w="0" w:type="dxa"/>
              <w:left w:w="0" w:type="dxa"/>
              <w:bottom w:w="0" w:type="dxa"/>
              <w:right w:w="0"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D3D3D"/>
                <w:spacing w:val="0"/>
                <w:sz w:val="30"/>
                <w:szCs w:val="30"/>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bdr w:val="none" w:color="auto" w:sz="0" w:space="0"/>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C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蹦嚓嚓.</cp:lastModifiedBy>
  <dcterms:modified xsi:type="dcterms:W3CDTF">2020-12-22T08:34:20Z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