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5E" w:rsidRPr="008C7E5E" w:rsidRDefault="008C7E5E" w:rsidP="008C7E5E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8C7E5E">
        <w:rPr>
          <w:rFonts w:ascii="黑体" w:eastAsia="黑体" w:hAnsi="黑体" w:cs="黑体" w:hint="eastAsia"/>
          <w:sz w:val="32"/>
          <w:szCs w:val="32"/>
        </w:rPr>
        <w:t>附件</w:t>
      </w:r>
    </w:p>
    <w:p w:rsidR="008C7E5E" w:rsidRPr="008C7E5E" w:rsidRDefault="008C7E5E" w:rsidP="008C7E5E">
      <w:pPr>
        <w:widowControl/>
        <w:snapToGrid w:val="0"/>
        <w:spacing w:line="620" w:lineRule="exact"/>
        <w:jc w:val="center"/>
        <w:rPr>
          <w:rFonts w:ascii="Times New Roman" w:eastAsia="仿宋_GB2312" w:hAnsi="Times New Roman" w:cs="Times New Roman" w:hint="eastAsia"/>
          <w:color w:val="070707"/>
          <w:kern w:val="0"/>
          <w:sz w:val="32"/>
          <w:szCs w:val="32"/>
        </w:rPr>
      </w:pPr>
      <w:r w:rsidRPr="008C7E5E">
        <w:rPr>
          <w:rFonts w:ascii="Times New Roman" w:eastAsia="仿宋_GB2312" w:hAnsi="Times New Roman" w:cs="Times New Roman" w:hint="eastAsia"/>
          <w:color w:val="070707"/>
          <w:kern w:val="0"/>
          <w:sz w:val="32"/>
          <w:szCs w:val="32"/>
        </w:rPr>
        <w:t>工艺技术设备推荐汇总表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37"/>
        <w:gridCol w:w="1713"/>
        <w:gridCol w:w="3750"/>
        <w:gridCol w:w="3587"/>
        <w:gridCol w:w="1801"/>
      </w:tblGrid>
      <w:tr w:rsidR="008C7E5E" w:rsidRPr="008C7E5E" w:rsidTr="008C7E5E">
        <w:trPr>
          <w:trHeight w:val="7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工艺技术</w:t>
            </w:r>
          </w:p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工艺技术设备简介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关键技术与主要技术指标</w:t>
            </w:r>
            <w:proofErr w:type="gramStart"/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污染物控制指标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4"/>
                <w:szCs w:val="24"/>
              </w:rPr>
            </w:pPr>
            <w:r w:rsidRPr="008C7E5E">
              <w:rPr>
                <w:rFonts w:ascii="Times New Roman" w:eastAsia="黑体" w:hAnsi="Times New Roman" w:cs="黑体" w:hint="eastAsia"/>
                <w:kern w:val="0"/>
                <w:sz w:val="24"/>
                <w:szCs w:val="24"/>
              </w:rPr>
              <w:t>适用范围</w:t>
            </w:r>
          </w:p>
        </w:tc>
      </w:tr>
      <w:tr w:rsidR="008C7E5E" w:rsidRPr="008C7E5E" w:rsidTr="008C7E5E">
        <w:trPr>
          <w:trHeight w:val="5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spacing w:line="560" w:lineRule="exact"/>
              <w:jc w:val="center"/>
              <w:rPr>
                <w:rFonts w:ascii="Times New Roman" w:eastAsia="仿宋_GB2312" w:hAnsi="Times New Roman" w:cs="黑体"/>
                <w:szCs w:val="21"/>
              </w:rPr>
            </w:pPr>
            <w:r w:rsidRPr="008C7E5E">
              <w:rPr>
                <w:rFonts w:ascii="Times New Roman" w:eastAsia="仿宋_GB2312" w:hAnsi="Times New Roman" w:cs="黑体"/>
                <w:szCs w:val="21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rPr>
                <w:rFonts w:ascii="Times New Roman" w:eastAsia="仿宋" w:hAnsi="Times New Roman" w:cs="黑体"/>
                <w:kern w:val="0"/>
                <w:szCs w:val="21"/>
              </w:rPr>
            </w:pP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山东义科节能科技股份有限公司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E" w:rsidRPr="008C7E5E" w:rsidRDefault="008C7E5E" w:rsidP="008C7E5E">
            <w:pPr>
              <w:rPr>
                <w:rFonts w:ascii="Times New Roman" w:eastAsia="仿宋" w:hAnsi="Times New Roman" w:cs="黑体"/>
                <w:kern w:val="0"/>
                <w:szCs w:val="21"/>
              </w:rPr>
            </w:pP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新型陶粒高效烧结设备及工艺技术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5E" w:rsidRPr="008C7E5E" w:rsidRDefault="008C7E5E" w:rsidP="008C7E5E">
            <w:pPr>
              <w:rPr>
                <w:rFonts w:ascii="Times New Roman" w:eastAsia="仿宋" w:hAnsi="Times New Roman" w:cs="黑体"/>
                <w:kern w:val="0"/>
                <w:szCs w:val="21"/>
              </w:rPr>
            </w:pP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将固</w:t>
            </w:r>
            <w:proofErr w:type="gramStart"/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废原料</w:t>
            </w:r>
            <w:proofErr w:type="gramEnd"/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通过配方设计、磨粉造粒、高温焙烧等工序制备成符合轻集料国家标准的陶粒产品，同时消除固废中的有害元素、固化其中的重金属，实现工业固废无害化资源化利用。通过对焙烧设备和工艺的创新设计，使原料内热利用更充分、烟气循环更高效、设备更轻量化，达到较传统设备更节能、产能更大、投资更低等效果；还提高了余热利用效率和灵活性，可分段将富余高温烟气抽出用于外部烘干物料、制蒸汽、发电等，减少对一次能源的消耗，进一步实现节能降碳。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5E" w:rsidRPr="008C7E5E" w:rsidRDefault="008C7E5E" w:rsidP="008C7E5E">
            <w:pPr>
              <w:rPr>
                <w:rFonts w:ascii="Times New Roman" w:eastAsia="仿宋_GB2312" w:hAnsi="Times New Roman" w:cs="黑体"/>
                <w:szCs w:val="21"/>
              </w:rPr>
            </w:pPr>
            <w:r w:rsidRPr="008C7E5E">
              <w:rPr>
                <w:rFonts w:ascii="Times New Roman" w:eastAsia="仿宋" w:hAnsi="Times New Roman" w:cs="黑体" w:hint="eastAsia"/>
                <w:b/>
                <w:kern w:val="0"/>
                <w:szCs w:val="21"/>
              </w:rPr>
              <w:t>关键技术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：静料层陶粒焙烧机；上下穿行风流循环系统；固废陶粒组分设计技术；内含热值固废静料层焙烧制度设计。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br/>
            </w:r>
            <w:r w:rsidRPr="008C7E5E">
              <w:rPr>
                <w:rFonts w:ascii="Times New Roman" w:eastAsia="仿宋" w:hAnsi="Times New Roman" w:cs="黑体" w:hint="eastAsia"/>
                <w:b/>
                <w:bCs/>
                <w:kern w:val="0"/>
                <w:szCs w:val="21"/>
              </w:rPr>
              <w:t>主要技术指标：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单线规模可达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100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万吨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/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年；可实现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100%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利用煤矸石，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70%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以上利用赤泥、粉煤灰、尾矿等原料；每吨固废陶粒的天然气耗量由传统的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60m³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降至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18m³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以下；固废陶粒筒压强度可达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8MPa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以上，吸水率</w:t>
            </w:r>
            <w:r w:rsidRPr="008C7E5E">
              <w:rPr>
                <w:rFonts w:ascii="Times New Roman" w:eastAsia="仿宋" w:hAnsi="Times New Roman" w:cs="黑体"/>
                <w:kern w:val="0"/>
                <w:szCs w:val="21"/>
              </w:rPr>
              <w:t>10%</w:t>
            </w: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以下；烟气排放达到超低排放标准。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5E" w:rsidRPr="008C7E5E" w:rsidRDefault="008C7E5E" w:rsidP="008C7E5E">
            <w:pPr>
              <w:rPr>
                <w:rFonts w:ascii="Times New Roman" w:eastAsia="仿宋_GB2312" w:hAnsi="Times New Roman" w:cs="黑体"/>
                <w:szCs w:val="21"/>
              </w:rPr>
            </w:pPr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本技术适用于煤矸石、尾矿、粉煤灰、赤泥、污泥、气化渣、</w:t>
            </w:r>
            <w:proofErr w:type="gramStart"/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冶炼渣尘等</w:t>
            </w:r>
            <w:proofErr w:type="gramEnd"/>
            <w:r w:rsidRPr="008C7E5E">
              <w:rPr>
                <w:rFonts w:ascii="Times New Roman" w:eastAsia="仿宋" w:hAnsi="Times New Roman" w:cs="黑体" w:hint="eastAsia"/>
                <w:kern w:val="0"/>
                <w:szCs w:val="21"/>
              </w:rPr>
              <w:t>固体废物的资源化利用</w:t>
            </w:r>
          </w:p>
        </w:tc>
      </w:tr>
    </w:tbl>
    <w:p w:rsidR="008C7E5E" w:rsidRPr="008C7E5E" w:rsidRDefault="008C7E5E" w:rsidP="008C7E5E">
      <w:pPr>
        <w:spacing w:line="560" w:lineRule="exact"/>
        <w:rPr>
          <w:rFonts w:ascii="Times New Roman" w:eastAsia="仿宋_GB2312" w:hAnsi="Times New Roman" w:cs="黑体"/>
          <w:sz w:val="28"/>
          <w:szCs w:val="28"/>
        </w:rPr>
      </w:pPr>
      <w:r w:rsidRPr="008C7E5E">
        <w:rPr>
          <w:rFonts w:ascii="Times New Roman" w:eastAsia="仿宋_GB2312" w:hAnsi="Times New Roman" w:cs="黑体" w:hint="eastAsia"/>
          <w:sz w:val="28"/>
          <w:szCs w:val="28"/>
        </w:rPr>
        <w:t>要求：描述科学准确、语言精炼，以下示例供参考。</w:t>
      </w:r>
    </w:p>
    <w:p w:rsidR="008C7E5E" w:rsidRPr="008C7E5E" w:rsidRDefault="008C7E5E" w:rsidP="008C7E5E">
      <w:pPr>
        <w:spacing w:after="120" w:line="520" w:lineRule="exact"/>
        <w:rPr>
          <w:rFonts w:ascii="仿宋_GB2312" w:eastAsia="仿宋_GB2312" w:hAnsi="Calibri" w:cs="黑体"/>
          <w:sz w:val="32"/>
          <w:szCs w:val="32"/>
        </w:rPr>
      </w:pPr>
    </w:p>
    <w:p w:rsidR="008940B5" w:rsidRPr="008C7E5E" w:rsidRDefault="008940B5">
      <w:bookmarkStart w:id="0" w:name="_GoBack"/>
      <w:bookmarkEnd w:id="0"/>
    </w:p>
    <w:sectPr w:rsidR="008940B5" w:rsidRPr="008C7E5E" w:rsidSect="008C7E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CA"/>
    <w:rsid w:val="008940B5"/>
    <w:rsid w:val="008C7E5E"/>
    <w:rsid w:val="00D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CFB7-DD41-40F2-A9C1-858DA0F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2022-11-11T06:17:00Z</dcterms:created>
  <dcterms:modified xsi:type="dcterms:W3CDTF">2022-11-11T06:18:00Z</dcterms:modified>
</cp:coreProperties>
</file>