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张店区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供销合作社联合社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2021年政府信息公开工作年度报告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atLeast"/>
        <w:jc w:val="center"/>
        <w:textAlignment w:val="auto"/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本报告按照《中华人民共和国政府信息公开条例》要求编制，全文包括总体情况、主动公开政府信息情况、收到和处理政府信息公开申请情况、因政府信息公开工作被申请行政复议和提起行政诉讼情况、政府信息公开工作存在的主要问题及改进情况、其他需要报告的事项等六个部分。本报告所列数据的统计时限自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2021年1月1日起至2021年12月31日止。本报告电子版可在淄博市张店区人民政府门户网站（www.zhangdian.gov.cn）查阅或下载。如对报告内容有疑问，请与张店区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供销合作社联合社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办公室联系（地址：山东省淄博市张店区新村西路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世源大厦710室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atLeast"/>
        <w:jc w:val="center"/>
        <w:textAlignment w:val="auto"/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邮编:2550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0;联系电话:0533-28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33908；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邮箱：zdgxxx2004@163.com）。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564" w:lineRule="atLeast"/>
        <w:ind w:firstLine="640" w:firstLineChars="200"/>
        <w:jc w:val="both"/>
        <w:rPr>
          <w:rFonts w:hint="eastAsia" w:ascii="黑体" w:hAnsi="宋体" w:eastAsia="黑体" w:cs="黑体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总体情况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564" w:lineRule="atLeast"/>
        <w:ind w:right="0" w:rightChars="0" w:firstLine="672" w:firstLineChars="200"/>
        <w:jc w:val="both"/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2021年，张店区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供销社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坚持以习近平新时代中国特色社会主义思想为指导，深入贯彻落实党的十九大和十九届历次全会精神，全面落实《中华人民共和国政府信息公开条例》相关要求，认真贯彻省、市、区关于政务公开工作的制度规定，按照“公开为原则，不公开为例外”的总要求，进一步拓展主动公开工作广度和深度，不断提升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供销社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工作政务公开质量。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line="564" w:lineRule="atLeast"/>
        <w:ind w:right="0" w:rightChars="0" w:firstLine="640" w:firstLineChars="200"/>
        <w:jc w:val="both"/>
        <w:rPr>
          <w:rFonts w:hint="default" w:ascii="仿宋_GB2312" w:eastAsia="仿宋_GB2312" w:cs="仿宋_GB2312"/>
          <w:sz w:val="32"/>
          <w:szCs w:val="32"/>
          <w:shd w:val="clear" w:fill="FFFFFF"/>
        </w:rPr>
      </w:pPr>
      <w:r>
        <w:rPr>
          <w:rFonts w:ascii="楷体" w:hAnsi="楷体" w:eastAsia="楷体" w:cs="楷体"/>
          <w:sz w:val="32"/>
          <w:szCs w:val="32"/>
          <w:shd w:val="clear" w:fill="FFFFFF"/>
        </w:rPr>
        <w:t>主动公开情况。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2021年1月1日至2021年12月31日，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淄博市张店区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供销社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共公开政务信息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次（条）。内容包括本单位机构概况类信息、财政信息、工作动态、部门文件、政务信息、社会公益事业建设、其他信息公开事项等政府信息，充分保障群众的知情权、监督权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564" w:lineRule="atLeast"/>
        <w:ind w:leftChars="200" w:right="0" w:rightChars="0"/>
        <w:jc w:val="both"/>
        <w:rPr>
          <w:rFonts w:hint="default" w:ascii="仿宋_GB2312" w:eastAsia="仿宋_GB2312" w:cs="仿宋_GB2312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sz w:val="32"/>
          <w:szCs w:val="32"/>
          <w:shd w:val="clear" w:fill="FFFFFF"/>
        </w:rPr>
        <w:drawing>
          <wp:inline distT="0" distB="0" distL="114300" distR="114300">
            <wp:extent cx="5080000" cy="3810000"/>
            <wp:effectExtent l="4445" t="4445" r="20955" b="1460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564" w:lineRule="atLeast"/>
        <w:ind w:leftChars="200" w:right="0" w:rightChars="0"/>
        <w:jc w:val="both"/>
        <w:rPr>
          <w:rFonts w:hint="eastAsia" w:ascii="仿宋_GB2312" w:eastAsia="仿宋_GB2312" w:cs="仿宋_GB2312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shd w:val="clear" w:fill="FFFFFF"/>
        </w:rPr>
        <w:t>（二）依申请公开情况。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2021年度无依申请公开的信息。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drawing>
          <wp:inline distT="0" distB="0" distL="114300" distR="114300">
            <wp:extent cx="4963160" cy="2785745"/>
            <wp:effectExtent l="0" t="0" r="8890" b="1460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278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shd w:val="clear" w:fill="FFFFFF"/>
        </w:rPr>
        <w:t>（三）政府信息管理情况。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2021年以来，为全面提升政务公开质量和实效，推动机关事务政务公开不断向纵深发展，积极落实《中华人民共和国政府信息公开条例》对于建立公正透明的行政管理体制，保障公民、法人和其他组织的知情权利的要求，采取多种措施加强政府信息公开管理，助力政务公开工作全面提升。</w:t>
      </w:r>
      <w:r>
        <w:rPr>
          <w:rFonts w:hint="eastAsia" w:eastAsia="仿宋_GB2312"/>
          <w:sz w:val="24"/>
          <w:szCs w:val="24"/>
          <w:lang w:eastAsia="zh-CN"/>
        </w:rPr>
        <w:drawing>
          <wp:inline distT="0" distB="0" distL="114300" distR="114300">
            <wp:extent cx="5273040" cy="5201920"/>
            <wp:effectExtent l="0" t="0" r="3810" b="17780"/>
            <wp:docPr id="6" name="图片 6" descr="360截图20220309131024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60截图202203091310247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0" w:beforeAutospacing="0" w:after="0" w:afterAutospacing="0" w:line="560" w:lineRule="atLeast"/>
        <w:ind w:left="0" w:right="0" w:firstLine="640" w:firstLineChars="200"/>
        <w:jc w:val="left"/>
        <w:textAlignment w:val="auto"/>
        <w:rPr>
          <w:sz w:val="24"/>
          <w:szCs w:val="24"/>
        </w:rPr>
      </w:pP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一是加强组织领导，下好“统筹棋”。调整张店区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供销社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政务信息公开工作领导小组，明确专人负责政府信息公开的日常工作，做到有领导分管、专人负责、专人管理；通过层层细化分解，将工作任务落实到具体责任人员，以保障政府信息公开工作的顺利推进。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0" w:beforeAutospacing="0" w:after="0" w:afterAutospacing="0" w:line="560" w:lineRule="atLeast"/>
        <w:ind w:left="0" w:right="0" w:firstLine="640"/>
        <w:jc w:val="left"/>
        <w:textAlignment w:val="auto"/>
        <w:rPr>
          <w:rFonts w:hint="default" w:ascii="仿宋_GB2312" w:eastAsia="仿宋_GB2312" w:cs="仿宋_GB2312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二是健全规章制度，下好“基础棋”。完善政府信息保密审查制度、定期清理制度、依申请公开制度、信息发布登记制度等相关制度，并在淄博市张店区人民政府门户网站进行公开，做到有章可循、有制可依。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60" w:beforeAutospacing="0" w:after="0" w:afterAutospacing="0" w:line="560" w:lineRule="atLeast"/>
        <w:ind w:left="0" w:right="0" w:firstLine="640"/>
        <w:jc w:val="left"/>
        <w:textAlignment w:val="auto"/>
        <w:rPr>
          <w:sz w:val="24"/>
          <w:szCs w:val="24"/>
        </w:rPr>
      </w:pP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三是丰富公开内容，下好“宣传棋”。本着“应公开，尽公开”的原则对政务公开网栏目进行优化，进一步丰富公开内容并及时更新，主动及时向社会公开可以公开的信息，以确保信息公开的完整性、全面性和时效性；严格执行信息公开保密审查制度，确保发布信息安全有效，积极稳妥推进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60" w:beforeAutospacing="0" w:after="0" w:afterAutospacing="0"/>
        <w:ind w:left="0" w:right="0" w:firstLine="640" w:firstLineChars="200"/>
        <w:textAlignment w:val="auto"/>
        <w:rPr>
          <w:sz w:val="24"/>
          <w:szCs w:val="24"/>
        </w:rPr>
      </w:pP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四是方便查找利用，下好“便民棋”。进一步创新公开方法，丰富公开形式，拓宽公开渠道，确保操作简单明了，内容利于查找，让广大市民方便快捷地了解机关事务信息动态。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60" w:beforeAutospacing="0" w:after="0" w:afterAutospacing="0" w:line="560" w:lineRule="atLeast"/>
        <w:ind w:left="0" w:right="0" w:firstLine="640"/>
        <w:jc w:val="left"/>
        <w:textAlignment w:val="auto"/>
        <w:rPr>
          <w:rFonts w:hint="default" w:ascii="仿宋_GB2312" w:eastAsia="仿宋_GB2312" w:cs="仿宋_GB2312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五是注重监督评价，下好“为民棋”。将评议监督工作纳入常规化、日常化工作内容，主动听取社会各界对机关事务政务公开工作的意见和建议，充分发挥人民群众和新闻舆论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60" w:beforeAutospacing="0" w:after="0" w:afterAutospacing="0" w:line="560" w:lineRule="atLeast"/>
        <w:ind w:right="0"/>
        <w:jc w:val="left"/>
        <w:textAlignment w:val="auto"/>
        <w:rPr>
          <w:sz w:val="24"/>
          <w:szCs w:val="24"/>
        </w:rPr>
      </w:pP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的监督作用，以利于改进工作、提升工作。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drawing>
          <wp:inline distT="0" distB="0" distL="114300" distR="114300">
            <wp:extent cx="5478145" cy="3105785"/>
            <wp:effectExtent l="0" t="0" r="8255" b="1841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310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shd w:val="clear" w:fill="FFFFFF"/>
        </w:rPr>
        <w:t>（四）政府信息公开平台建设情况。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坚持“公开为常态，不公开为例外”的原则，通过淄博市张店区人民政府门户网站公开政务信息，扎实做好政府信息公开发布工作。积极落实政府信息公开审查机制，要求所有公开的政府信息均需填写《政府信息公开发布审批表》后按程序发布，按照“一查二看三校对”工作法把好信息发布关。通过“融公开工作台”开设政府信息公开指南、政府信息公开制度、法定主动公开内容、政府信息公开年报、政府信息依申请公开等五大板块公开业务信息，并落实专人认真做好专栏的日常维护工作。完善《张店区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供销社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政务公开工作组织领导信息》，公开分管领导、机构设置、工作职责和工作人员联系方式，进一步提升便民服务实效。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0" w:beforeAutospacing="0" w:after="0" w:afterAutospacing="0" w:line="550" w:lineRule="atLeast"/>
        <w:ind w:left="0" w:right="0" w:firstLine="641"/>
        <w:textAlignment w:val="auto"/>
        <w:rPr>
          <w:sz w:val="24"/>
          <w:szCs w:val="24"/>
        </w:rPr>
      </w:pPr>
      <w:r>
        <w:rPr>
          <w:rFonts w:hint="eastAsia" w:ascii="楷体" w:hAnsi="楷体" w:eastAsia="楷体" w:cs="楷体"/>
          <w:sz w:val="32"/>
          <w:szCs w:val="32"/>
          <w:shd w:val="clear" w:fill="FFFFFF"/>
        </w:rPr>
        <w:t>（五）监督保障情况。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0" w:beforeAutospacing="0" w:after="0" w:afterAutospacing="0" w:line="550" w:lineRule="atLeast"/>
        <w:ind w:left="0" w:right="0" w:firstLine="641"/>
        <w:textAlignment w:val="auto"/>
        <w:rPr>
          <w:sz w:val="24"/>
          <w:szCs w:val="24"/>
        </w:rPr>
      </w:pP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一是完善政务公开保障机制。印发《张店区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供销社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2021年政务公开工作实施方案》，从指导思想、工作原则、工作内容和工作要求等方面进行全面规范，按照“应公开、尽公开”工作要求，全面梳理公开事项，根据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供销社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工作实际，细化公开内容，进一步提高政务公开工作的针对性和实效性。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0" w:beforeAutospacing="0" w:after="0" w:afterAutospacing="0" w:line="550" w:lineRule="atLeast"/>
        <w:ind w:left="0" w:right="0" w:firstLine="641"/>
        <w:textAlignment w:val="auto"/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二是加强政务公开业务培训。印发《张店区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供销社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2021年度政务公开工作培训计划》，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</w:rPr>
        <w:t>建立业务培训机制，加强政务公开业务培训，组织各科室相关人员进行理论和实践培训，不断提高相关工作人员的政策把握能力、舆情研判能力、回应引导能力和实际操作能力。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0" w:beforeAutospacing="0" w:after="0" w:afterAutospacing="0" w:line="550" w:lineRule="atLeast"/>
        <w:ind w:left="0" w:right="0" w:firstLine="641"/>
        <w:textAlignment w:val="auto"/>
        <w:rPr>
          <w:sz w:val="24"/>
          <w:szCs w:val="24"/>
        </w:rPr>
      </w:pP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三是工作考核情况。制定政务公开考核机制，由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eastAsia="zh-CN"/>
        </w:rPr>
        <w:t>供销社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办公室定期对各科室</w:t>
      </w:r>
      <w:bookmarkStart w:id="0" w:name="_GoBack"/>
      <w:bookmarkEnd w:id="0"/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公开工作进行督查，确保责任落实到位。抓好常态化考核工作，把政务公开作为年度工作目标管理的重要内容，切实做到与日常业务工作同部署、同开展、同落实。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0" w:beforeAutospacing="0" w:after="0" w:afterAutospacing="0" w:line="550" w:lineRule="atLeast"/>
        <w:ind w:left="0" w:right="0" w:firstLine="641"/>
        <w:textAlignment w:val="auto"/>
        <w:rPr>
          <w:sz w:val="24"/>
          <w:szCs w:val="24"/>
        </w:rPr>
      </w:pP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四是社会评议和责任追究结果情况。在淄博市张店区政府门户网站设立机构职能、决策事项目录、职责边界清单、公共资源配置等栏目，自觉接受社会对我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供销社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开展机关事务服务保障工作的监督，目前未收到不良评议。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0" w:beforeAutospacing="0" w:after="0" w:afterAutospacing="0"/>
        <w:ind w:left="0" w:right="0" w:firstLine="641"/>
        <w:textAlignment w:val="auto"/>
        <w:rPr>
          <w:sz w:val="24"/>
          <w:szCs w:val="24"/>
        </w:rPr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520" w:beforeAutospacing="0" w:after="0" w:afterAutospacing="0" w:line="60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5000" w:type="pct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9"/>
        <w:gridCol w:w="1121"/>
        <w:gridCol w:w="2026"/>
        <w:gridCol w:w="584"/>
        <w:gridCol w:w="696"/>
        <w:gridCol w:w="646"/>
        <w:gridCol w:w="667"/>
        <w:gridCol w:w="632"/>
        <w:gridCol w:w="561"/>
        <w:gridCol w:w="60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112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149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112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自然人</w:t>
            </w:r>
          </w:p>
        </w:tc>
        <w:tc>
          <w:tcPr>
            <w:tcW w:w="112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法人或其他组织</w:t>
            </w:r>
          </w:p>
        </w:tc>
        <w:tc>
          <w:tcPr>
            <w:tcW w:w="19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112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1" w:right="0" w:hanging="1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商业企业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科研机构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社会公益组织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1" w:right="0" w:hanging="1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法律服务机构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其他</w:t>
            </w: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三、本年度办理结果</w:t>
            </w:r>
          </w:p>
        </w:tc>
        <w:tc>
          <w:tcPr>
            <w:tcW w:w="174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（一）予以公开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-20"/>
                <w:sz w:val="21"/>
                <w:szCs w:val="21"/>
              </w:rPr>
              <w:t>（三）不予公开</w:t>
            </w: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1.属于国家秘密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2.其他法律行政法规禁止公开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3.危及“三安全一稳定”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4.保护第三方合法权益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5.属于三类内部事务信息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6.属于四类过程性信息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7.属于行政执法案卷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8.属于行政查询事项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-20"/>
                <w:sz w:val="21"/>
                <w:szCs w:val="21"/>
              </w:rPr>
              <w:t>（四）无法提供</w:t>
            </w: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1.本机关不掌握相关政府信息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2.没有现成信息需要另行制作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3.补正后申请内容仍不明确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-20"/>
                <w:sz w:val="21"/>
                <w:szCs w:val="21"/>
              </w:rPr>
              <w:t>（五）不予处理</w:t>
            </w: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1.信访举报投诉类申请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2.重复申请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3.要求提供公开出版物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4.无正当理由大量反复申请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-20"/>
                <w:sz w:val="21"/>
                <w:szCs w:val="21"/>
              </w:rPr>
              <w:t>（六）其他处理</w:t>
            </w: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3.其他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（七）总计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1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四、结转下年度继续办理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0" w:beforeAutospacing="0" w:after="0" w:afterAutospacing="0" w:line="600" w:lineRule="atLeast"/>
        <w:ind w:left="0" w:right="0" w:firstLine="641"/>
        <w:jc w:val="both"/>
        <w:textAlignment w:val="auto"/>
        <w:rPr>
          <w:sz w:val="24"/>
          <w:szCs w:val="24"/>
        </w:rPr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5000" w:type="pct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543"/>
        <w:gridCol w:w="548"/>
        <w:gridCol w:w="548"/>
        <w:gridCol w:w="649"/>
        <w:gridCol w:w="548"/>
        <w:gridCol w:w="548"/>
        <w:gridCol w:w="548"/>
        <w:gridCol w:w="548"/>
        <w:gridCol w:w="649"/>
        <w:gridCol w:w="548"/>
        <w:gridCol w:w="551"/>
        <w:gridCol w:w="551"/>
        <w:gridCol w:w="551"/>
        <w:gridCol w:w="649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行政复议</w:t>
            </w:r>
          </w:p>
        </w:tc>
        <w:tc>
          <w:tcPr>
            <w:tcW w:w="22670" w:type="dxa"/>
            <w:gridSpan w:val="10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198" w:type="dxa"/>
            <w:vMerge w:val="restar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49" w:right="-17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49" w:right="-17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维持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43" w:right="-132" w:hanging="1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结果纠正</w:t>
            </w:r>
          </w:p>
        </w:tc>
        <w:tc>
          <w:tcPr>
            <w:tcW w:w="2228" w:type="dxa"/>
            <w:vMerge w:val="restart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82" w:right="-97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其他结果</w:t>
            </w:r>
          </w:p>
        </w:tc>
        <w:tc>
          <w:tcPr>
            <w:tcW w:w="2228" w:type="dxa"/>
            <w:vMerge w:val="restart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18" w:right="-118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18" w:right="-118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审结</w:t>
            </w:r>
          </w:p>
        </w:tc>
        <w:tc>
          <w:tcPr>
            <w:tcW w:w="2378" w:type="dxa"/>
            <w:vMerge w:val="restart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计</w:t>
            </w:r>
          </w:p>
        </w:tc>
        <w:tc>
          <w:tcPr>
            <w:tcW w:w="11290" w:type="dxa"/>
            <w:gridSpan w:val="5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未经复议直接起诉</w:t>
            </w:r>
          </w:p>
        </w:tc>
        <w:tc>
          <w:tcPr>
            <w:tcW w:w="11380" w:type="dxa"/>
            <w:gridSpan w:val="5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219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8" w:type="dxa"/>
            <w:vMerge w:val="continue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8" w:type="dxa"/>
            <w:vMerge w:val="continue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8" w:type="dxa"/>
            <w:vMerge w:val="continue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05" w:right="-126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结果维持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86" w:right="-88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结果纠正</w:t>
            </w:r>
          </w:p>
        </w:tc>
        <w:tc>
          <w:tcPr>
            <w:tcW w:w="2228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26" w:right="-136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26" w:right="-136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</w:tc>
        <w:tc>
          <w:tcPr>
            <w:tcW w:w="2228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64" w:right="-153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64" w:right="-153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审结</w:t>
            </w:r>
          </w:p>
        </w:tc>
        <w:tc>
          <w:tcPr>
            <w:tcW w:w="2378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总计</w:t>
            </w:r>
          </w:p>
        </w:tc>
        <w:tc>
          <w:tcPr>
            <w:tcW w:w="2228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99" w:right="-78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结果维持</w:t>
            </w:r>
          </w:p>
        </w:tc>
        <w:tc>
          <w:tcPr>
            <w:tcW w:w="2258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36" w:right="-124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36" w:right="-124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纠正</w:t>
            </w:r>
          </w:p>
        </w:tc>
        <w:tc>
          <w:tcPr>
            <w:tcW w:w="2258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73" w:right="-134" w:hanging="1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173" w:right="-134" w:hanging="1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</w:tc>
        <w:tc>
          <w:tcPr>
            <w:tcW w:w="2258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left="-67" w:right="-105" w:hanging="2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尚未审结</w:t>
            </w:r>
          </w:p>
        </w:tc>
        <w:tc>
          <w:tcPr>
            <w:tcW w:w="2378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2198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0" w:beforeAutospacing="0" w:after="0" w:afterAutospacing="0" w:line="540" w:lineRule="atLeast"/>
        <w:ind w:left="0" w:right="0" w:firstLine="641"/>
        <w:textAlignment w:val="auto"/>
        <w:rPr>
          <w:rFonts w:hint="eastAsia" w:ascii="黑体" w:hAnsi="宋体" w:eastAsia="黑体" w:cs="黑体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line="560" w:lineRule="atLeast"/>
        <w:ind w:left="0" w:firstLine="640"/>
        <w:jc w:val="both"/>
      </w:pP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202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年，张店区供销社信息公开工作方面虽然取得了一定的成效，但还存在以下不足：一是信息的时效性有待进一步提高；二是信息公开的内部工作机制有待完善和加强。三是信息公开内容不够全面、信息公开的内容有待进一步深化。为</w:t>
      </w: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确保信息公开工作规范有序开展，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2021年供销社将从以下方面作进一步改进和加强：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一是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认真贯彻落实《政务信息公开条例》，切实加强政务信息公开业务的学习和培训，提高工作人员做好政府信息公开工作的能力和水平。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二是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进一步加强信息公开工作的监督考核，逐步完善相关工作制度，建立健全政府信息公开工作长效机制，把工作落到实处，提高政府信息公开实效，确保供销社信息公开工作扎实、有序推进。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line="560" w:lineRule="atLeast"/>
        <w:ind w:left="0" w:firstLine="640"/>
        <w:jc w:val="both"/>
        <w:rPr>
          <w:rFonts w:hint="default" w:ascii="仿宋_GB2312" w:eastAsia="仿宋_GB2312" w:cs="仿宋_GB2312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三是</w:t>
      </w: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>进一步强化政府信息公开的渠道。供销社将根据新形势、新要求，结合工作实际，及时调整公开内容，更准确地把握重点，进一步扩展涉及群众切实利益的各类事项的信息公开内容、范围和深度，并进一步梳理、规范信息公开内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line="560" w:lineRule="atLeast"/>
        <w:ind w:left="0" w:firstLine="640"/>
        <w:jc w:val="both"/>
        <w:rPr>
          <w:sz w:val="24"/>
          <w:szCs w:val="24"/>
        </w:rPr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napToGrid w:val="0"/>
        <w:spacing w:line="560" w:lineRule="atLeast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张店区供销社</w:t>
      </w:r>
      <w:r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  <w:t>无其他需要报告的事项。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napToGrid w:val="0"/>
        <w:spacing w:line="560" w:lineRule="atLeast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napToGrid w:val="0"/>
        <w:spacing w:line="560" w:lineRule="atLeast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napToGrid w:val="0"/>
        <w:spacing w:line="560" w:lineRule="atLeast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napToGrid w:val="0"/>
        <w:spacing w:line="560" w:lineRule="atLeast"/>
        <w:ind w:left="0" w:firstLine="640"/>
        <w:jc w:val="center"/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 xml:space="preserve">                         </w:t>
      </w:r>
      <w:r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  <w:t>张店区供销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合作社联合</w:t>
      </w:r>
      <w:r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  <w:t xml:space="preserve">社 </w:t>
      </w:r>
    </w:p>
    <w:p>
      <w:pPr>
        <w:pStyle w:val="2"/>
        <w:keepNext w:val="0"/>
        <w:keepLines w:val="0"/>
        <w:widowControl/>
        <w:suppressLineNumbers w:val="0"/>
        <w:ind w:left="800"/>
        <w:jc w:val="center"/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2021年1月15日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2A6286"/>
    <w:multiLevelType w:val="singleLevel"/>
    <w:tmpl w:val="402A62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504D0D"/>
    <w:multiLevelType w:val="singleLevel"/>
    <w:tmpl w:val="42504D0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4A53B6"/>
    <w:multiLevelType w:val="singleLevel"/>
    <w:tmpl w:val="6D4A53B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F59C1"/>
    <w:rsid w:val="20C306D5"/>
    <w:rsid w:val="2ADB3A8B"/>
    <w:rsid w:val="32373032"/>
    <w:rsid w:val="33343074"/>
    <w:rsid w:val="3C367890"/>
    <w:rsid w:val="3FC13A60"/>
    <w:rsid w:val="424F160A"/>
    <w:rsid w:val="43C927C1"/>
    <w:rsid w:val="57A15B28"/>
    <w:rsid w:val="69B57F2D"/>
    <w:rsid w:val="74B644CD"/>
    <w:rsid w:val="77D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FF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ascii="Courier New" w:hAnsi="Courier New"/>
      <w:sz w:val="20"/>
    </w:rPr>
  </w:style>
  <w:style w:type="character" w:styleId="14">
    <w:name w:val="HTML Sample"/>
    <w:basedOn w:val="4"/>
    <w:uiPriority w:val="0"/>
    <w:rPr>
      <w:rFonts w:ascii="Courier New" w:hAnsi="Courier New"/>
    </w:rPr>
  </w:style>
  <w:style w:type="character" w:customStyle="1" w:styleId="15">
    <w:name w:val="hover9"/>
    <w:basedOn w:val="4"/>
    <w:uiPriority w:val="0"/>
    <w:rPr>
      <w:color w:val="FFFFFF"/>
    </w:rPr>
  </w:style>
  <w:style w:type="character" w:customStyle="1" w:styleId="16">
    <w:name w:val="hover10"/>
    <w:basedOn w:val="4"/>
    <w:uiPriority w:val="0"/>
    <w:rPr>
      <w:color w:val="245399"/>
    </w:rPr>
  </w:style>
  <w:style w:type="character" w:customStyle="1" w:styleId="17">
    <w:name w:val="hover11"/>
    <w:basedOn w:val="4"/>
    <w:uiPriority w:val="0"/>
    <w:rPr>
      <w:color w:val="245399"/>
    </w:rPr>
  </w:style>
  <w:style w:type="character" w:customStyle="1" w:styleId="18">
    <w:name w:val="hover12"/>
    <w:basedOn w:val="4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历年政府信息公开数量</a:t>
            </a:r>
          </a:p>
        </c:rich>
      </c:tx>
      <c:layout>
        <c:manualLayout>
          <c:xMode val="edge"/>
          <c:yMode val="edge"/>
          <c:x val="0.207375"/>
          <c:y val="0.0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noFill/>
              <a:ln>
                <a:noFill/>
              </a:ln>
              <a:effectLst/>
            </c:spPr>
          </c:dPt>
          <c:dLbls>
            <c:delete val="1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  <c:pt idx="1">
                  <c:v>75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2493871"/>
        <c:axId val="794414765"/>
      </c:barChart>
      <c:catAx>
        <c:axId val="97249387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94414765"/>
        <c:crosses val="autoZero"/>
        <c:auto val="1"/>
        <c:lblAlgn val="ctr"/>
        <c:lblOffset val="100"/>
        <c:noMultiLvlLbl val="0"/>
      </c:catAx>
      <c:valAx>
        <c:axId val="79441476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2493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2022-03-09T04:08:00Z</dcterms:created>
  <dc:creator>Administrator</dc:creator>
  <cp:lastModifiedBy>Administrator</cp:lastModifiedBy>
  <dcterms:modified xsi:type="dcterms:W3CDTF">2022-03-10T02:43:54Z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0F9C133E6A38423CA3874241726EC57E</vt:lpwstr>
  </property>
</Properties>
</file>