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淄博市公安局交通警察支队张店大队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《中华人民共和国政府信息公开条例》（以下简称《条例》）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第四十九条的规定和《关于政府信息公开工作年度报告有关事项的通知》（国办公开办函﹝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）等文件要求，淄博市公安局交通警察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支队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张店大队现编制本部门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2022年工作报告如下。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本年度报告中所列数据的统计期限自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2022年1月1日起，至2022年12月31日止。如对报告内容有疑问，请与淄博市公安局交通警察支队张店大队联系（地址：山东省淄博市张店区和平路29号；邮编：255000；电话：2139070；邮箱：zdjjddbgs@zb.shandong.cn）。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实施《中华人民共和国政府信息公开条例》和《山东省政府信息公开办法》，紧紧围绕公安交通管理工作重大政策措施和群众关切事项，拓展公开渠道，深化公开内容，提升服务水平，依法、及时、准确、有序地开展政府信息公开工作，保障了广大群众的知情权和监督权，促进了道路交通管理工作依法行政及法治政府、服务政府、责任政府、廉洁政府和效能政府建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（一）主动公开政府信息情况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1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、主动公开政府信息数量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进一步加大了主动公开力度，及时通过各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3376295</wp:posOffset>
            </wp:positionV>
            <wp:extent cx="4727575" cy="2820035"/>
            <wp:effectExtent l="4445" t="4445" r="11430" b="13970"/>
            <wp:wrapSquare wrapText="bothSides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种窗口主动公开各类便民、利民信息，努力提高公安工作透明度。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其中张店区人民政府政务公开网站，主动公开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《政府信息公开条例》第二十条规定的法定主动公开内容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：履职依据、机构职能、领导信息、政策解读、行政权力、政府开放日、政务公开保障机制、规划计划、会议公开、重点领域信息公开等各类信息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80条；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利用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博公众号、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微信、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</w:t>
      </w:r>
      <w:r>
        <w:rPr>
          <w:rFonts w:hint="eastAsia" w:ascii="仿宋_GB2312" w:hAnsi="仿宋_GB2312" w:eastAsia="仿宋_GB2312" w:cs="仿宋_GB2312"/>
          <w:sz w:val="32"/>
        </w:rPr>
        <w:t>抖音号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平台，常态化</w:t>
      </w:r>
      <w:r>
        <w:rPr>
          <w:rFonts w:hint="eastAsia" w:ascii="仿宋_GB2312" w:hAnsi="仿宋_GB2312" w:eastAsia="仿宋_GB2312" w:cs="仿宋_GB2312"/>
          <w:sz w:val="32"/>
          <w:szCs w:val="32"/>
        </w:rPr>
        <w:t>推送交通安全提示信息和警示信息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870条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人数达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万余人，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营造了浓厚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交通安全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宣传舆论氛围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，更好地服务了张店群众。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、主要公开渠道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主动公开政府信息的渠道主要有：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人民政府门户网站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（http://www.zhangdian.gov.cn/index.html），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张店交警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信、张店交警微博公众号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抖音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（二）依申请公开情况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在办理政府信息公开申请的过程中，严格执行“工作机构受理，业务部门承办，重大问题会商，法制部门合法性审查”的依申请公开工作程序，依法及时答复公众申请，切实满足公民、法人和其他组织的个性化政府信息需求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共收到政府信息公开申请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本机关不掌握相关政府信息无法提供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已全部按时办结，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已制作政府信息公开答复书并寄出。共收到张店民生连线平台群众建议及意见4件，均已全部按时办结，并从平台上传办理意见及答复。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915670</wp:posOffset>
            </wp:positionH>
            <wp:positionV relativeFrom="paragraph">
              <wp:posOffset>71120</wp:posOffset>
            </wp:positionV>
            <wp:extent cx="3137535" cy="2467610"/>
            <wp:effectExtent l="4445" t="4445" r="20320" b="23495"/>
            <wp:wrapSquare wrapText="bothSides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一是强化组织</w:t>
      </w:r>
      <w:r>
        <w:rPr>
          <w:rFonts w:hint="eastAsia" w:ascii="楷体_GB2312" w:hAnsi="楷体_GB2312" w:eastAsia="楷体_GB2312" w:cs="楷体_GB2312"/>
          <w:sz w:val="32"/>
          <w:szCs w:val="32"/>
        </w:rPr>
        <w:t>领导，建立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专门</w:t>
      </w:r>
      <w:r>
        <w:rPr>
          <w:rFonts w:hint="eastAsia" w:ascii="楷体_GB2312" w:hAnsi="楷体_GB2312" w:eastAsia="楷体_GB2312" w:cs="楷体_GB2312"/>
          <w:sz w:val="32"/>
          <w:szCs w:val="32"/>
        </w:rPr>
        <w:t>组织机构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为切实加强对政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信息公开工作的领导，确保《中华人民共和国政府信息公开条例》全面、正确、有效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</w:t>
      </w:r>
      <w:r>
        <w:rPr>
          <w:rFonts w:hint="eastAsia" w:ascii="仿宋_GB2312" w:hAnsi="仿宋_GB2312" w:eastAsia="仿宋_GB2312" w:cs="仿宋_GB2312"/>
          <w:sz w:val="32"/>
          <w:szCs w:val="32"/>
        </w:rPr>
        <w:t>专门成立了由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大队长任</w:t>
      </w:r>
      <w:r>
        <w:rPr>
          <w:rFonts w:hint="eastAsia" w:ascii="仿宋_GB2312" w:hAnsi="仿宋_GB2312" w:eastAsia="仿宋_GB2312" w:cs="仿宋_GB2312"/>
          <w:sz w:val="32"/>
          <w:szCs w:val="32"/>
        </w:rPr>
        <w:t>组长、分管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副大队长</w:t>
      </w:r>
      <w:r>
        <w:rPr>
          <w:rFonts w:hint="eastAsia" w:ascii="仿宋_GB2312" w:hAnsi="仿宋_GB2312" w:eastAsia="仿宋_GB2312" w:cs="仿宋_GB2312"/>
          <w:sz w:val="32"/>
          <w:szCs w:val="32"/>
        </w:rPr>
        <w:t>为副组长、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大队办公室、队建办、宣传科、交管科、法制科等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有关业务部门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负责人为成员的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政府信息公开工作领导小组，办公室设在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大队办公室，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其他部门在办公室的统一协调下，负责具体实施各项推进工作。政府信息公开办公室负责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信息公开的日常工作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，确定由办公室一名民警及一名辅警负责政府信息公开平台建设，认真做好政府公开平台信息的统一发布、维护更新。并定期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开展相关人员的教育培训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认真组织学习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《中华人民共和国政府信息公开条例》和《张店区政务公开工作评估考核方案》等条例和相关文件，不断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公开工作重要性和必要性的认识，明确政务公开的具体要求和内容，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政府信息公开相关人员的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工作能力和业务水平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健全完善</w:t>
      </w:r>
      <w:r>
        <w:rPr>
          <w:rFonts w:hint="eastAsia" w:ascii="楷体_GB2312" w:hAnsi="楷体_GB2312" w:eastAsia="楷体_GB2312" w:cs="楷体_GB2312"/>
          <w:sz w:val="32"/>
          <w:szCs w:val="32"/>
        </w:rPr>
        <w:t>政府信息公开制度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规范和工作机制。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认真贯彻落实《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中华人民共和国政府信息公开条例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》等法规、规章，结合实施政府信息公开工作的实际情况，不断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健全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完善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政府信息公开各项制度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规范和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机制。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制定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政府信息公开实施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方案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》，进一步明确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目标任务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，细化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各项工作措施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完善工作日常运行机制，建立了政府信息发布保密审查机制、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考核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、评议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和责任追究等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机制，保障了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评估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公正性和客观性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eastAsia="仿宋_GB2312" w:cs="Times New Roman"/>
          <w:kern w:val="0"/>
          <w:sz w:val="32"/>
          <w:szCs w:val="32"/>
          <w:lang w:val="en-US" w:eastAsia="zh-CN"/>
        </w:rPr>
        <w:t>建立了网站信息发布制度，坚持“先审查、后公开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”制度，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深入推进大队政府信息公开工作的规范化建设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同时，大队</w:t>
      </w:r>
      <w:r>
        <w:rPr>
          <w:rStyle w:val="14"/>
          <w:rFonts w:hint="eastAsia" w:ascii="仿宋_GB2312" w:hAnsi="仿宋_GB2312" w:eastAsia="仿宋_GB2312" w:cs="仿宋_GB2312"/>
          <w:color w:val="000000"/>
          <w:sz w:val="32"/>
          <w:szCs w:val="32"/>
        </w:rPr>
        <w:t>制定出台</w:t>
      </w:r>
      <w:r>
        <w:rPr>
          <w:rStyle w:val="14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了</w:t>
      </w:r>
      <w:r>
        <w:rPr>
          <w:rStyle w:val="14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项制度规范和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工作流程，为民警执法办案提供执法指引和基本遵循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，进一步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了大队民警的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执法和服务水平。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完善公文类信息公开属性审核机制，建立健全依申请公开内部处理程序等。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三是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积极回应社会关切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互动交流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，积极服务群众。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及时更新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发布大队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《政府信息公开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基本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目录》《政府信息公开指南》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《张店交警大队交管、车驾管业务办事指南》等内容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，对如何申请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信息公开、信息公开领导机构、申请内容、申请和答复程序等进行了详细规定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对如何办理交管和车驾管业务进行了详细告知，极大地方便了群众办理各项交通管理业务；通过政府信息公开平台及时发布了《端午假期出行交通安全提醒》等信息，保障群众出行交通安全；通过张店交警微信、张店交警微博公众号、张店交警抖音及时发布大队交通管理工作情况信息，让群众及时了解交通管理工作要求和情况，积极服务群众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四是</w:t>
      </w:r>
      <w:r>
        <w:rPr>
          <w:rFonts w:hint="eastAsia" w:ascii="楷体_GB2312" w:hAnsi="楷体_GB2312" w:eastAsia="楷体_GB2312" w:cs="楷体_GB2312"/>
          <w:i w:val="0"/>
          <w:caps w:val="0"/>
          <w:color w:val="3D3D3D"/>
          <w:spacing w:val="0"/>
          <w:sz w:val="32"/>
          <w:szCs w:val="32"/>
          <w:shd w:val="clear" w:color="auto" w:fill="FFFFFF"/>
        </w:rPr>
        <w:t>提案议案办理情况</w:t>
      </w:r>
      <w:r>
        <w:rPr>
          <w:rFonts w:hint="eastAsia" w:ascii="楷体_GB2312" w:hAnsi="楷体_GB2312" w:eastAsia="楷体_GB2312" w:cs="楷体_GB2312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年，我队共收到区人大政协提案议案22件，其中人大建议11件，政协提案11件。我队本着对人大代表、政协委员高度负责的精神，努力提高办理工作质量，不断探索办理工作的新思路、新方法，认真办理、落实代表建议和委员提案，圆满完成办理工作，代表委员对我队主办件答复满意率100%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eastAsia="zh-CN"/>
        </w:rPr>
        <w:t>（四）平台建设维护情况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3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根据区政府政务公开科统一安排部署，认真做好“融公开”新平台的信息维护更新工作，及时更新了大队领导信息、建议提案办理、政府开放日、服务指南、政务公开保障机制等内容，使群众能够方便、快捷的了解交通管理工作和相关领域的政策法规等信息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40" w:leftChars="0" w:right="0" w:rightChars="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（五）监督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保障情况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一是加强组织领导。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淄博市公安局交通警察支队张店大队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成立了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大队长任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组长、分管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副大队长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为副组长、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大队办公室、队建办、宣传科、交管科、法制科等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有关业务部门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负责人为成员的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政府信息公开工作领导小组，办公室设在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大队办公室，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并配备两名专职人员。形成了各科室各司其职，上下畅通的联络机制，更好地保障了政务公开信息及时有效发布；二是加大监督考核力度。大队根据区政府政务公开工作考核要求，积极完善各类信息，提高政务公开信息发布的质量和时效，以压力促战力，以考核促落实。三是召开政务公开工作专题培训会议。为更好的贯彻执行区政府政务公开工作要求，进一步提高我队政务公开工作人员素质，大队多次召开政务公开工作专题培训会议，进行政府政务公开工作专题业务培训，有效地促进我队政府信息公开工作的常态化、制度化、规范化。四是制定《张店交警大队政府信息公开工作规范》。《工作规范》的制定，进一步提升了政务公开工作的透明度。</w:t>
      </w:r>
    </w:p>
    <w:p>
      <w:pPr>
        <w:widowControl/>
        <w:numPr>
          <w:ilvl w:val="0"/>
          <w:numId w:val="1"/>
        </w:numPr>
        <w:spacing w:after="270" w:line="482" w:lineRule="atLeast"/>
        <w:ind w:left="310" w:leftChars="0" w:firstLine="320" w:firstLineChars="0"/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主动公开政府信息情况</w:t>
      </w:r>
    </w:p>
    <w:tbl>
      <w:tblPr>
        <w:tblStyle w:val="6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2515"/>
        <w:gridCol w:w="2515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本年制发件数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本年废止件数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规章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行政规范性文件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行政许可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495144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行政处罚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                             </w:t>
            </w: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777437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行政强制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9811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0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2"/>
                <w:szCs w:val="2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信息内容</w:t>
            </w:r>
          </w:p>
        </w:tc>
        <w:tc>
          <w:tcPr>
            <w:tcW w:w="7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</w:rPr>
              <w:t>行政事业性收费</w:t>
            </w:r>
          </w:p>
        </w:tc>
        <w:tc>
          <w:tcPr>
            <w:tcW w:w="754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70" w:afterAutospacing="0" w:line="482" w:lineRule="atLeast"/>
        <w:ind w:left="0" w:right="0" w:firstLine="32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收到和处理政府信息公开申请情况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after="270" w:line="482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楷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其他处理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申请人无正当理由逾期不补正、行政机关不再处理其政府信息公开申请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申请人逾期未按收费通知要求缴纳费用、行政机关不再处理其政府信息公开申请</w:t>
            </w: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1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cs="Calibri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482" w:lineRule="atLeast"/>
        <w:ind w:firstLine="480"/>
        <w:rPr>
          <w:rFonts w:hint="eastAsia" w:ascii="宋体" w:hAnsi="宋体" w:cs="宋体"/>
          <w:kern w:val="0"/>
          <w:sz w:val="27"/>
          <w:szCs w:val="27"/>
        </w:rPr>
      </w:pPr>
    </w:p>
    <w:p>
      <w:pPr>
        <w:widowControl/>
        <w:spacing w:line="482" w:lineRule="atLeast"/>
        <w:ind w:firstLine="48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四、政府信息公开行政复议、行政诉讼情况</w:t>
      </w:r>
    </w:p>
    <w:p>
      <w:pPr>
        <w:widowControl/>
        <w:spacing w:line="482" w:lineRule="atLeast"/>
        <w:ind w:firstLine="480"/>
        <w:rPr>
          <w:rFonts w:hint="eastAsia" w:ascii="宋体" w:hAnsi="宋体" w:cs="宋体"/>
          <w:kern w:val="0"/>
          <w:sz w:val="27"/>
          <w:szCs w:val="27"/>
        </w:rPr>
      </w:pP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482" w:lineRule="atLeas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>
      <w:pPr>
        <w:widowControl/>
        <w:spacing w:line="482" w:lineRule="atLeast"/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年，我队政府信息公开工作虽然取得了一定成效，但与《条例》要求以及公众需要相比，还存在一定差距，主要表现在：公开内容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标准还不够细致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、不够全面，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部分公开信息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内容更新不够及时、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公开形式和载体还不够丰富等问题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年将从以下几方面进行改进：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（一）切实抓好公开内容落实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，及时全面公开各类信息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围绕区委、区政府中心工作和社会广泛关注、事关群众切身利益的重大事项，认真做好主动公开工作。规范工作流程，明确责任分工，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办理各类政府信息公开申请和意见投诉，保障人民群众的合法权益。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）加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大监督考核力度，</w:t>
      </w:r>
      <w:r>
        <w:rPr>
          <w:rFonts w:hint="eastAsia" w:ascii="楷体_GB2312" w:hAnsi="楷体_GB2312" w:eastAsia="楷体_GB2312" w:cs="楷体_GB2312"/>
          <w:sz w:val="32"/>
          <w:szCs w:val="32"/>
        </w:rPr>
        <w:t>完善政府信息公开工作考核制度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列入大队绩效考核，加强监督考核，对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出现问题的单位和个人予以扣分，并在全队进行通报。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）加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大</w:t>
      </w:r>
      <w:r>
        <w:rPr>
          <w:rFonts w:hint="eastAsia" w:ascii="楷体_GB2312" w:hAnsi="楷体_GB2312" w:eastAsia="楷体_GB2312" w:cs="楷体_GB2312"/>
          <w:sz w:val="32"/>
          <w:szCs w:val="32"/>
        </w:rPr>
        <w:t>信息公开宣传力度。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通过政府信息公开网和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张店交警微信、张店交警微博公众号、张店交警抖音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等平台，广泛发布各类交通管理工作信息、安全提醒、车驾管业务指南，加大交通安全宣传力度，确保群众出行安全，方便群众办理各项交管业务。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）不断完善信息公开形式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，丰富公开载体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做好政府信息公开查询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网上发布工作，为公众提供方便。充分利用公共媒体和社会资源，加强与公众的沟通互动，不断扩大信息公开传播途径和覆盖范围。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eastAsia="zh-CN"/>
        </w:rPr>
        <w:t>（一）依申请公开信息处理费收费情况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2022年度，我机关在办理政府信息公开申请过程中，未收取任何信息处理费。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(二)2022年度人大代表建议和政协委员提案办理情况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年，我队共承办区人大代表、政协委员就道路交通管理工作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条建议、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件提案答复工作，接到办理任务后，大队高度重视，将建议和提案办理工作作为凝聚力量、提升群众满意度、构建和谐警民关系、大队积极采取集中当面答复、现场办理、上门走访、电话联系等有效措施，圆满完成了办理任务，受到代表、委员们的好评，满意率为100%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（三）2022年度政务公开工作创新情况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我队在开展政府信息主动公开和依申请公开的同时，充分利用各级新闻媒体和网络平台加强政府信息公开工作。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28" w:leftChars="0" w:right="0" w:firstLine="0" w:firstLineChars="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2022年张店区政务公开工作方案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》落实情况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2022年，我队认真落实国家和省市区部署的政务公开年度工作任务，根据《2022年淄博市张店区政务公开工作方案》要求，制定落实《淄博市公安局交通警察支队张店大队2022年政务公开工作方案》，细化每项任务目标，制定切实可行的工作措施，按照时间节点认真细致地做好信息公开工作，加大依申请公开、政策解读的力度，不断完善主动公开、依申请公开、保密审查等制度，确保了方案各项工作落地落实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淄博市公安局交通警察支队张店大队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textAlignment w:val="auto"/>
        <w:rPr>
          <w:rFonts w:hint="eastAsia" w:ascii="宋体" w:hAnsi="宋体" w:cs="宋体"/>
          <w:b/>
          <w:bCs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44E8B"/>
    <w:multiLevelType w:val="singleLevel"/>
    <w:tmpl w:val="D0444E8B"/>
    <w:lvl w:ilvl="0" w:tentative="0">
      <w:start w:val="4"/>
      <w:numFmt w:val="chineseCounting"/>
      <w:suff w:val="nothing"/>
      <w:lvlText w:val="（%1）"/>
      <w:lvlJc w:val="left"/>
      <w:pPr>
        <w:ind w:left="728" w:leftChars="0" w:firstLine="0" w:firstLineChars="0"/>
      </w:pPr>
      <w:rPr>
        <w:rFonts w:hint="eastAsia"/>
      </w:rPr>
    </w:lvl>
  </w:abstractNum>
  <w:abstractNum w:abstractNumId="1">
    <w:nsid w:val="15DEF793"/>
    <w:multiLevelType w:val="singleLevel"/>
    <w:tmpl w:val="15DEF793"/>
    <w:lvl w:ilvl="0" w:tentative="0">
      <w:start w:val="2"/>
      <w:numFmt w:val="chineseCounting"/>
      <w:suff w:val="nothing"/>
      <w:lvlText w:val="%1、"/>
      <w:lvlJc w:val="left"/>
      <w:pPr>
        <w:ind w:left="31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F55078A"/>
    <w:rsid w:val="002E30F8"/>
    <w:rsid w:val="007479D1"/>
    <w:rsid w:val="00D7579E"/>
    <w:rsid w:val="00F62779"/>
    <w:rsid w:val="00FD7745"/>
    <w:rsid w:val="015A4567"/>
    <w:rsid w:val="01D31BBB"/>
    <w:rsid w:val="01F75A66"/>
    <w:rsid w:val="02350FC2"/>
    <w:rsid w:val="028A4F09"/>
    <w:rsid w:val="03AC2A77"/>
    <w:rsid w:val="04510BA1"/>
    <w:rsid w:val="04836F32"/>
    <w:rsid w:val="04DF5C38"/>
    <w:rsid w:val="0509001C"/>
    <w:rsid w:val="05ED03B0"/>
    <w:rsid w:val="07387A17"/>
    <w:rsid w:val="08221763"/>
    <w:rsid w:val="09FB4A3D"/>
    <w:rsid w:val="0A040B89"/>
    <w:rsid w:val="0C0A7605"/>
    <w:rsid w:val="0C1824DC"/>
    <w:rsid w:val="0C6173D4"/>
    <w:rsid w:val="0C912BB0"/>
    <w:rsid w:val="0CA84CA7"/>
    <w:rsid w:val="0D020B6C"/>
    <w:rsid w:val="0D3F716F"/>
    <w:rsid w:val="0D4B0253"/>
    <w:rsid w:val="0D9B256B"/>
    <w:rsid w:val="0DB10D83"/>
    <w:rsid w:val="0DC62455"/>
    <w:rsid w:val="0DD97799"/>
    <w:rsid w:val="0DDD39D8"/>
    <w:rsid w:val="0E286D8C"/>
    <w:rsid w:val="0EA174C3"/>
    <w:rsid w:val="0EED1DCC"/>
    <w:rsid w:val="0F0F033F"/>
    <w:rsid w:val="0F832405"/>
    <w:rsid w:val="10D10185"/>
    <w:rsid w:val="10D87E5A"/>
    <w:rsid w:val="11B6188D"/>
    <w:rsid w:val="12126ACF"/>
    <w:rsid w:val="12533D05"/>
    <w:rsid w:val="13D525BF"/>
    <w:rsid w:val="13D87E51"/>
    <w:rsid w:val="14192D3F"/>
    <w:rsid w:val="144263B7"/>
    <w:rsid w:val="145B67A7"/>
    <w:rsid w:val="15D7248F"/>
    <w:rsid w:val="178B53EA"/>
    <w:rsid w:val="1966036A"/>
    <w:rsid w:val="199C489E"/>
    <w:rsid w:val="19A8551B"/>
    <w:rsid w:val="1A7550AB"/>
    <w:rsid w:val="1ABF47A3"/>
    <w:rsid w:val="1B317DDA"/>
    <w:rsid w:val="1B68749B"/>
    <w:rsid w:val="1B700F89"/>
    <w:rsid w:val="1BA113FB"/>
    <w:rsid w:val="1C317324"/>
    <w:rsid w:val="1C7018BB"/>
    <w:rsid w:val="1CB34CBE"/>
    <w:rsid w:val="1CCE5B8A"/>
    <w:rsid w:val="1E1A396F"/>
    <w:rsid w:val="1E1A5B33"/>
    <w:rsid w:val="1E2D23AA"/>
    <w:rsid w:val="1E6A1FD5"/>
    <w:rsid w:val="1EB81513"/>
    <w:rsid w:val="1F55078A"/>
    <w:rsid w:val="20213F04"/>
    <w:rsid w:val="20341DAE"/>
    <w:rsid w:val="20AF4ED6"/>
    <w:rsid w:val="2241799A"/>
    <w:rsid w:val="225E37A2"/>
    <w:rsid w:val="227B38D8"/>
    <w:rsid w:val="229823FD"/>
    <w:rsid w:val="23244D8E"/>
    <w:rsid w:val="23421FF0"/>
    <w:rsid w:val="235403B6"/>
    <w:rsid w:val="238174D9"/>
    <w:rsid w:val="23D6119C"/>
    <w:rsid w:val="23F11FC6"/>
    <w:rsid w:val="246B34F8"/>
    <w:rsid w:val="24D15B9A"/>
    <w:rsid w:val="25B53119"/>
    <w:rsid w:val="25E74BCE"/>
    <w:rsid w:val="26293D31"/>
    <w:rsid w:val="2732419D"/>
    <w:rsid w:val="274F6DFA"/>
    <w:rsid w:val="285166CC"/>
    <w:rsid w:val="2AD652C3"/>
    <w:rsid w:val="2ADE7D62"/>
    <w:rsid w:val="2AFD047D"/>
    <w:rsid w:val="2C002E6A"/>
    <w:rsid w:val="2D53055B"/>
    <w:rsid w:val="2DE77531"/>
    <w:rsid w:val="2EA071B9"/>
    <w:rsid w:val="2EA333D2"/>
    <w:rsid w:val="2F2148F6"/>
    <w:rsid w:val="30073DCD"/>
    <w:rsid w:val="31EA2B3C"/>
    <w:rsid w:val="323B6C37"/>
    <w:rsid w:val="325814F9"/>
    <w:rsid w:val="32970D13"/>
    <w:rsid w:val="32AD33F7"/>
    <w:rsid w:val="334C1677"/>
    <w:rsid w:val="34533FCB"/>
    <w:rsid w:val="346F49F3"/>
    <w:rsid w:val="34F601E5"/>
    <w:rsid w:val="34F77F0F"/>
    <w:rsid w:val="35C131D6"/>
    <w:rsid w:val="35CD3048"/>
    <w:rsid w:val="35E82958"/>
    <w:rsid w:val="35EE7C8D"/>
    <w:rsid w:val="36850885"/>
    <w:rsid w:val="36BF1973"/>
    <w:rsid w:val="370C0BF0"/>
    <w:rsid w:val="378A0C4C"/>
    <w:rsid w:val="37E75E34"/>
    <w:rsid w:val="3874525D"/>
    <w:rsid w:val="3A230EB3"/>
    <w:rsid w:val="3A926D8A"/>
    <w:rsid w:val="3AF31F60"/>
    <w:rsid w:val="3B393541"/>
    <w:rsid w:val="3B786890"/>
    <w:rsid w:val="3C610B2E"/>
    <w:rsid w:val="3CFD1425"/>
    <w:rsid w:val="3D416B56"/>
    <w:rsid w:val="3D715791"/>
    <w:rsid w:val="3D822B0A"/>
    <w:rsid w:val="3DE6069E"/>
    <w:rsid w:val="3E150312"/>
    <w:rsid w:val="3E6623A1"/>
    <w:rsid w:val="3F2564E7"/>
    <w:rsid w:val="41512C61"/>
    <w:rsid w:val="41562A61"/>
    <w:rsid w:val="419C6155"/>
    <w:rsid w:val="41CA582B"/>
    <w:rsid w:val="421E34D1"/>
    <w:rsid w:val="42533CDB"/>
    <w:rsid w:val="425C2C13"/>
    <w:rsid w:val="435712C2"/>
    <w:rsid w:val="436848A0"/>
    <w:rsid w:val="43C46DFB"/>
    <w:rsid w:val="43FA46BE"/>
    <w:rsid w:val="441F4512"/>
    <w:rsid w:val="4494158E"/>
    <w:rsid w:val="454D5F97"/>
    <w:rsid w:val="463D3E56"/>
    <w:rsid w:val="46812C96"/>
    <w:rsid w:val="4740503C"/>
    <w:rsid w:val="47561866"/>
    <w:rsid w:val="479A06C2"/>
    <w:rsid w:val="47AB68CD"/>
    <w:rsid w:val="47AC5A22"/>
    <w:rsid w:val="47BF1DA9"/>
    <w:rsid w:val="48B36041"/>
    <w:rsid w:val="48FC61B1"/>
    <w:rsid w:val="49E52E4B"/>
    <w:rsid w:val="4CA13F4E"/>
    <w:rsid w:val="4CEA7AD0"/>
    <w:rsid w:val="4D006A87"/>
    <w:rsid w:val="4D50061E"/>
    <w:rsid w:val="4D5A40CE"/>
    <w:rsid w:val="4D9477D1"/>
    <w:rsid w:val="4E9643F6"/>
    <w:rsid w:val="4EBE784F"/>
    <w:rsid w:val="4F5D662E"/>
    <w:rsid w:val="4F69260A"/>
    <w:rsid w:val="4FA97A09"/>
    <w:rsid w:val="4FCD0676"/>
    <w:rsid w:val="4FDB2052"/>
    <w:rsid w:val="502150FB"/>
    <w:rsid w:val="50302C80"/>
    <w:rsid w:val="50721EC2"/>
    <w:rsid w:val="537E6096"/>
    <w:rsid w:val="54033121"/>
    <w:rsid w:val="544C5496"/>
    <w:rsid w:val="546E1985"/>
    <w:rsid w:val="54A07E9B"/>
    <w:rsid w:val="54CE5DFA"/>
    <w:rsid w:val="55E420A2"/>
    <w:rsid w:val="560F59FA"/>
    <w:rsid w:val="56500926"/>
    <w:rsid w:val="56D25A99"/>
    <w:rsid w:val="56DD776F"/>
    <w:rsid w:val="57674695"/>
    <w:rsid w:val="57755636"/>
    <w:rsid w:val="58906C5B"/>
    <w:rsid w:val="5A2B1400"/>
    <w:rsid w:val="5B024596"/>
    <w:rsid w:val="5B1437A8"/>
    <w:rsid w:val="5B9D30A1"/>
    <w:rsid w:val="5C8B06FA"/>
    <w:rsid w:val="5CD43C95"/>
    <w:rsid w:val="5CDC0BFB"/>
    <w:rsid w:val="5D151A89"/>
    <w:rsid w:val="5D237B59"/>
    <w:rsid w:val="5D9019A8"/>
    <w:rsid w:val="5D9E26E3"/>
    <w:rsid w:val="5DBD338B"/>
    <w:rsid w:val="5DC63666"/>
    <w:rsid w:val="5FD7127A"/>
    <w:rsid w:val="601B76A8"/>
    <w:rsid w:val="60234C1D"/>
    <w:rsid w:val="60B81DB1"/>
    <w:rsid w:val="6137096A"/>
    <w:rsid w:val="61BE1FE5"/>
    <w:rsid w:val="6246319F"/>
    <w:rsid w:val="62A5587C"/>
    <w:rsid w:val="63D025DD"/>
    <w:rsid w:val="63E30ED0"/>
    <w:rsid w:val="641A16E6"/>
    <w:rsid w:val="642561D0"/>
    <w:rsid w:val="643270B0"/>
    <w:rsid w:val="644A7A1A"/>
    <w:rsid w:val="64F70C33"/>
    <w:rsid w:val="6542720C"/>
    <w:rsid w:val="65D4247A"/>
    <w:rsid w:val="663571DD"/>
    <w:rsid w:val="66655DBA"/>
    <w:rsid w:val="675A767B"/>
    <w:rsid w:val="67942B0C"/>
    <w:rsid w:val="67BB472E"/>
    <w:rsid w:val="692C4F16"/>
    <w:rsid w:val="6A5041BD"/>
    <w:rsid w:val="6AAC3A59"/>
    <w:rsid w:val="6B4964C8"/>
    <w:rsid w:val="6B7752B1"/>
    <w:rsid w:val="6B7D6167"/>
    <w:rsid w:val="6B8C43C8"/>
    <w:rsid w:val="6B9C7D18"/>
    <w:rsid w:val="6D055518"/>
    <w:rsid w:val="6DB92F06"/>
    <w:rsid w:val="6E4134F1"/>
    <w:rsid w:val="6E7C3203"/>
    <w:rsid w:val="6EB635C7"/>
    <w:rsid w:val="6F583023"/>
    <w:rsid w:val="6F784238"/>
    <w:rsid w:val="6F985CF2"/>
    <w:rsid w:val="6FEE3495"/>
    <w:rsid w:val="7076496C"/>
    <w:rsid w:val="72AB4C38"/>
    <w:rsid w:val="72B13543"/>
    <w:rsid w:val="74CD0F5C"/>
    <w:rsid w:val="75214C91"/>
    <w:rsid w:val="75333D3E"/>
    <w:rsid w:val="753A63BE"/>
    <w:rsid w:val="75526879"/>
    <w:rsid w:val="760C5615"/>
    <w:rsid w:val="76F61A5C"/>
    <w:rsid w:val="77125CF2"/>
    <w:rsid w:val="77B93FA4"/>
    <w:rsid w:val="77DA38E2"/>
    <w:rsid w:val="78242A31"/>
    <w:rsid w:val="788F004E"/>
    <w:rsid w:val="78A729AA"/>
    <w:rsid w:val="78E330CD"/>
    <w:rsid w:val="795C4C55"/>
    <w:rsid w:val="796408D8"/>
    <w:rsid w:val="7A09238D"/>
    <w:rsid w:val="7ABC314F"/>
    <w:rsid w:val="7D337113"/>
    <w:rsid w:val="7DEC0343"/>
    <w:rsid w:val="7F511370"/>
    <w:rsid w:val="7FE8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[基本段落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Calibri" w:eastAsia="Adobe 宋体 Std L" w:cs="Adobe 宋体 Std L"/>
      <w:color w:val="000000"/>
      <w:kern w:val="0"/>
      <w:sz w:val="24"/>
      <w:szCs w:val="24"/>
      <w:lang w:val="zh-CN" w:eastAsia="zh-CN" w:bidi="ar-SA"/>
    </w:rPr>
  </w:style>
  <w:style w:type="paragraph" w:customStyle="1" w:styleId="13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hei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427"/>
          <c:y val="0.2345"/>
          <c:w val="0.927925"/>
          <c:h val="0.716566666666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历年政府信息公开数量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76</c:v>
                </c:pt>
                <c:pt idx="1">
                  <c:v>78</c:v>
                </c:pt>
                <c:pt idx="2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661448"/>
        <c:axId val="138043061"/>
      </c:barChart>
      <c:catAx>
        <c:axId val="2066614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8043061"/>
        <c:crosses val="autoZero"/>
        <c:auto val="1"/>
        <c:lblAlgn val="ctr"/>
        <c:lblOffset val="100"/>
        <c:noMultiLvlLbl val="0"/>
      </c:catAx>
      <c:valAx>
        <c:axId val="138043061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6661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依申请公开情况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无法提供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4652</Words>
  <Characters>4845</Characters>
  <Lines>4</Lines>
  <Paragraphs>1</Paragraphs>
  <TotalTime>5</TotalTime>
  <ScaleCrop>false</ScaleCrop>
  <LinksUpToDate>false</LinksUpToDate>
  <CharactersWithSpaces>5046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2021-01-14T02:58:00Z</dcterms:created>
  <dc:creator>merry</dc:creator>
  <cp:lastModifiedBy>Administrator</cp:lastModifiedBy>
  <cp:lastPrinted>2021-01-14T09:06:00Z</cp:lastPrinted>
  <dcterms:modified xsi:type="dcterms:W3CDTF">2024-01-19T07:54:25Z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83A7866DF04F4C8CA0098A2ACB17054D</vt:lpwstr>
  </property>
</Properties>
</file>