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  <w:lang w:val="en-US" w:eastAsia="zh-CN"/>
        </w:rPr>
        <w:t>张店区发展和改革局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</w:rPr>
        <w:t>政府信息公开工作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本年度报告中所列数据的统计期限自2022年1月1日起，至2022年12月31日止。如对报告内容有疑问，请与张店区发展和改革局联系（地址：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新村西路226号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；邮编：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255000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；电话：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2869859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；邮箱：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2869859@163.com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2022年，区发改局积极贯彻落实《中华人民共和国政府信息公开条例》（以下简称 《条例》）各项要求，在区政府信息公开领导小组办公室的指导下，根据区政府统一部署，紧密结合工作实际，政府信息公开工作运行正常，各项工作均得以顺利开展。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（一）主动公开方面。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2022</w:t>
      </w:r>
      <w:r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年1月1日至202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年12月31日，淄博市张店区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发展和改革局</w:t>
      </w:r>
      <w:r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共公开政务信息8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次（条）。其中政策文件1条、机构职能1条、领导信息1条、规划计划1条、会议公开1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条、建议提案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条、财政信息3条、重点领域信息公开11条、政策解读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条、人事信息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条、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工作</w:t>
      </w:r>
      <w:r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动态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30</w:t>
      </w:r>
      <w:r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条、政务公开保障机制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（二）依申请公开工作方面。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2022年度共收到依申请公开6件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，与往年相比数量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无明显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增减变化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。通过不定期在全局进行政务公开工作培训，对相关业务科室着重培训依申请公开答复，同时对接收到的依申请公开信件进行收文程序办理，进一步督促办理进度，提高答复速度。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（三）政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府信息管理方面。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对政府信息主动公开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目录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进行具体细化，进一步更新了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政府信息全生命周期管理相关制度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规范性文件管理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、政府信息公开保密审查制度和落实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等方面内容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0" w:lineRule="atLeast"/>
        <w:ind w:left="0" w:right="0" w:firstLine="672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（四）平台建设方面。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为确保政务信息公开工作准确、及时、高效，根据要求，结合发展改革工作实际，主动公开政府信息。通过张店区人民政府网、张店信用、爱张店等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平台，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及时公开我局制定的政策文件、规划计划、业务动态等内容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以及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围绕公众关心的热点问题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不断加大政务公开宣传力度，在便民的同时，接受社会监督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；按照政府信息公开要求，及时更新完善政府信息主动公开目录建设，制定印发了《关于公布&lt;张店区发展和改革局政府信息主动公开基本目录&gt;的通知》（张发改字〔2022〕74号）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（五）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监督保障情况。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及时拟制年度政府信息公开培训计划，积极组织政府信息公开工作培训，通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过完善信息公开目录、强化信息公开督促等手段，制定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了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2022年政务公开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工作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培训计划、工作方案、通知及台账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等，切实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提高各科室对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政务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信息公开工作的认识。积极推进政府信息公开工作，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进一步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明确信息公开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工作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职责，增强信息公开主动性，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加强组织领导，成立政务公开工作领导小组，具体指导监督政务公开工作，全年开展政务公开工作培训4次，涉及培训人员600余人次。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3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3"/>
        <w:tblW w:w="9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747"/>
        <w:gridCol w:w="5"/>
        <w:gridCol w:w="535"/>
        <w:gridCol w:w="5"/>
        <w:gridCol w:w="535"/>
        <w:gridCol w:w="720"/>
        <w:gridCol w:w="675"/>
        <w:gridCol w:w="525"/>
        <w:gridCol w:w="1"/>
        <w:gridCol w:w="7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448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4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00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701" w:type="dxa"/>
            <w:gridSpan w:val="2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4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701" w:type="dxa"/>
            <w:gridSpan w:val="2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五、存在的主要问题及改进情况</w:t>
      </w:r>
    </w:p>
    <w:p>
      <w:pPr>
        <w:widowControl/>
        <w:adjustRightIn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u w:val="none"/>
          <w:lang w:eastAsia="zh-CN"/>
        </w:rPr>
        <w:t>一是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政府信息公开质量不够高、范围不够广。当前仍存在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小部分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公开信息难以查找获取等问题，缺乏具有操作性的细化规定。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二是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</w:rPr>
        <w:t>部分重点领域信息公开针对性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eastAsia="zh-CN"/>
        </w:rPr>
        <w:t>继续加强，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u w:val="none"/>
          <w:lang w:eastAsia="zh-CN"/>
        </w:rPr>
        <w:t>公开信息在栏目更新维护方面需要进一步健全。三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u w:val="none"/>
        </w:rPr>
        <w:t>是信息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u w:val="none"/>
          <w:lang w:eastAsia="zh-CN"/>
        </w:rPr>
        <w:t>公开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u w:val="none"/>
        </w:rPr>
        <w:t>的时效性有待于进一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u w:val="none"/>
          <w:lang w:eastAsia="zh-CN"/>
        </w:rPr>
        <w:t>步提高。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default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（一）依申请公开信息处理费收费情况。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我局严格按照《中华人民共和国政府信息公开条例》的规定公开政府信息，本年度涉及政府信息公开申请未收取任何费用。</w:t>
      </w:r>
    </w:p>
    <w:p>
      <w:pPr>
        <w:ind w:firstLine="640" w:firstLineChars="200"/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（二）本年度建议提案办理情况。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2022年我局共公开区人大建议、政协提案8件，我局始终本着对人大代表、政协委员高度负责的态度，努力提高办理工作效率和质量，认真落实代表和委员的每件建议和提案，代表委员对我局高度负责的态度，努力提高办理工作效率和质量，认真落实代表和委员的建议和提案。代表委员对我局主办件答复满意率100%。</w:t>
      </w:r>
    </w:p>
    <w:p>
      <w:pPr>
        <w:ind w:firstLine="640" w:firstLineChars="200"/>
        <w:rPr>
          <w:rFonts w:hint="default" w:ascii="楷体" w:hAnsi="楷体" w:eastAsia="楷体" w:cs="楷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（三）政务公开内容创新实践情况。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根据《2022年淄博市政务公开工作方案》，制定了《2022年张店区发改局政务信息公开工作方案》（张发改字〔2022〕1号）文件，并按照方案要求定期对政务公开相关科室进行培训，以及保密审核工作培训，进一步落实好政务公开工作制度，截止2022年12月31日，全年开展培训4次，涉及培训人员600余人次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（四）《2022年淄博市政务公开工作方案》落实情况。</w:t>
      </w:r>
      <w:r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年我局严格按照《</w:t>
      </w:r>
      <w:r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2022年淄博市张店区政务公开工作方案》要求，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结合我局工作</w:t>
      </w:r>
      <w:bookmarkStart w:id="10" w:name="_GoBack"/>
      <w:bookmarkEnd w:id="10"/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实际，制定了《2022年张店区发展和改革局政务公开工作方案》，进一步</w:t>
      </w:r>
      <w:r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细化目标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任务</w:t>
      </w:r>
      <w:r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，制定切实可行的工作措施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；及时研究解决政务公开中的重点难点问题，将《中华人民共和国政府信息公开条例》纳入培训课程，更好地发挥以公开促落实、促规范、促服务作用，</w:t>
      </w:r>
      <w:r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确保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政务公开</w:t>
      </w:r>
      <w:r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各项工作落地落实。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highlight w:val="green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D2011217-2341-4A2F-B241-C3FEFD535F9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83FCFC5-E779-4DE8-B039-D7ADE4121B0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A42E39F-4D0F-42B4-AAF2-92438D4B1DC3}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4" w:fontKey="{B5107564-F6A5-4A58-B186-CC061BE6EA29}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5" w:fontKey="{8DCD0BFE-80EE-47F8-98DC-B649F82F975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AB936DF3-F1F7-4F51-9F17-91557EF3A0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MDAxNzcxY2VkNGM5Y2NkMmU2NWQxYTJlYjBiODkifQ=="/>
    <w:docVar w:name="KSO_WPS_MARK_KEY" w:val="0f672d26-4c5e-4160-93eb-fb64eee39d7b"/>
  </w:docVars>
  <w:rsids>
    <w:rsidRoot w:val="11AF18C8"/>
    <w:rsid w:val="02BE54F4"/>
    <w:rsid w:val="04ED57CA"/>
    <w:rsid w:val="0D4D54AE"/>
    <w:rsid w:val="0D72249E"/>
    <w:rsid w:val="0E43138A"/>
    <w:rsid w:val="0F940F88"/>
    <w:rsid w:val="11394941"/>
    <w:rsid w:val="11AF18C8"/>
    <w:rsid w:val="141D2158"/>
    <w:rsid w:val="14A02B65"/>
    <w:rsid w:val="1637418A"/>
    <w:rsid w:val="173605D5"/>
    <w:rsid w:val="1A6A77C7"/>
    <w:rsid w:val="1F97332B"/>
    <w:rsid w:val="2081795B"/>
    <w:rsid w:val="209B4FA7"/>
    <w:rsid w:val="221D71F4"/>
    <w:rsid w:val="226407FD"/>
    <w:rsid w:val="267A2F26"/>
    <w:rsid w:val="27465428"/>
    <w:rsid w:val="2C4A2BEA"/>
    <w:rsid w:val="2F6F1AFF"/>
    <w:rsid w:val="2FAD43AF"/>
    <w:rsid w:val="3C7737F6"/>
    <w:rsid w:val="3C7E7E4E"/>
    <w:rsid w:val="3D8E55C6"/>
    <w:rsid w:val="420D01E4"/>
    <w:rsid w:val="4A0E2C84"/>
    <w:rsid w:val="4AF136F8"/>
    <w:rsid w:val="506F30FD"/>
    <w:rsid w:val="57AB6C62"/>
    <w:rsid w:val="5A64353F"/>
    <w:rsid w:val="640A5F1B"/>
    <w:rsid w:val="645F063B"/>
    <w:rsid w:val="67E43B26"/>
    <w:rsid w:val="6B887A32"/>
    <w:rsid w:val="6FAC3CC5"/>
    <w:rsid w:val="74DC48C7"/>
    <w:rsid w:val="77181135"/>
    <w:rsid w:val="782C04B4"/>
    <w:rsid w:val="798153CC"/>
    <w:rsid w:val="7D8442EE"/>
    <w:rsid w:val="7F7F00C0"/>
    <w:rsid w:val="7FD601A3"/>
    <w:rsid w:val="9BFA0E74"/>
    <w:rsid w:val="EDD9EA72"/>
    <w:rsid w:val="FDB5CE77"/>
    <w:rsid w:val="FFB6A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2591</Words>
  <Characters>2710</Characters>
  <Lines>0</Lines>
  <Paragraphs>0</Paragraphs>
  <TotalTime>30</TotalTime>
  <ScaleCrop>false</ScaleCrop>
  <LinksUpToDate>false</LinksUpToDate>
  <CharactersWithSpaces>2714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2023-01-18T07:45:00Z</dcterms:created>
  <dc:creator>诗人与熊</dc:creator>
  <cp:lastModifiedBy>WPS_1663918344</cp:lastModifiedBy>
  <cp:lastPrinted>2023-02-10T02:14:00Z</cp:lastPrinted>
  <dcterms:modified xsi:type="dcterms:W3CDTF">2023-02-10T06:45:09Z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74780CAEED914CBBA3347868710E4CA5</vt:lpwstr>
  </property>
</Properties>
</file>