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927" w:type="dxa"/>
        <w:tblInd w:w="-387"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72"/>
        <w:gridCol w:w="1555"/>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372" w:type="dxa"/>
            <w:tcBorders>
              <w:bottom w:val="nil"/>
            </w:tcBorders>
          </w:tcPr>
          <w:p>
            <w:pPr>
              <w:spacing w:line="1000" w:lineRule="exact"/>
              <w:ind w:firstLine="110" w:firstLineChars="20"/>
              <w:jc w:val="distribute"/>
              <w:rPr>
                <w:rFonts w:hint="eastAsia" w:ascii="方正小标宋简体" w:hAnsi="方正小标宋简体" w:eastAsia="方正小标宋简体" w:cs="方正小标宋简体"/>
                <w:b w:val="0"/>
                <w:bCs/>
                <w:color w:val="FF0000"/>
                <w:spacing w:val="-20"/>
                <w:w w:val="80"/>
                <w:sz w:val="74"/>
                <w:szCs w:val="74"/>
              </w:rPr>
            </w:pPr>
            <w:r>
              <w:rPr>
                <w:rFonts w:hint="eastAsia" w:ascii="方正小标宋简体" w:hAnsi="方正小标宋简体" w:eastAsia="方正小标宋简体" w:cs="方正小标宋简体"/>
                <w:b w:val="0"/>
                <w:bCs/>
                <w:color w:val="FF0000"/>
                <w:spacing w:val="-20"/>
                <w:w w:val="80"/>
                <w:sz w:val="74"/>
                <w:szCs w:val="74"/>
                <w:lang w:val="en-US" w:eastAsia="zh-CN"/>
              </w:rPr>
              <w:t>淄博市</w:t>
            </w:r>
            <w:r>
              <w:rPr>
                <w:rFonts w:hint="eastAsia" w:ascii="方正小标宋简体" w:hAnsi="方正小标宋简体" w:eastAsia="方正小标宋简体" w:cs="方正小标宋简体"/>
                <w:b w:val="0"/>
                <w:bCs/>
                <w:color w:val="FF0000"/>
                <w:spacing w:val="-20"/>
                <w:w w:val="80"/>
                <w:sz w:val="74"/>
                <w:szCs w:val="74"/>
              </w:rPr>
              <w:t>张店区发展和改革局</w:t>
            </w:r>
          </w:p>
          <w:p>
            <w:pPr>
              <w:spacing w:line="1000" w:lineRule="exact"/>
              <w:ind w:firstLine="94" w:firstLineChars="20"/>
              <w:jc w:val="distribute"/>
              <w:rPr>
                <w:rFonts w:hint="eastAsia" w:ascii="方正小标宋简体" w:hAnsi="方正小标宋简体" w:eastAsia="方正小标宋简体" w:cs="方正小标宋简体"/>
                <w:b/>
                <w:color w:val="FF0000"/>
                <w:spacing w:val="-20"/>
                <w:w w:val="80"/>
                <w:sz w:val="78"/>
                <w:szCs w:val="78"/>
                <w:lang w:val="en-US" w:eastAsia="zh-CN"/>
              </w:rPr>
            </w:pPr>
            <w:r>
              <w:rPr>
                <w:rFonts w:hint="eastAsia" w:ascii="方正小标宋简体" w:hAnsi="方正小标宋简体" w:eastAsia="方正小标宋简体" w:cs="方正小标宋简体"/>
                <w:b w:val="0"/>
                <w:bCs/>
                <w:color w:val="FF0000"/>
                <w:spacing w:val="-20"/>
                <w:w w:val="80"/>
                <w:sz w:val="64"/>
                <w:szCs w:val="64"/>
              </w:rPr>
              <w:t>淄博市公安局</w:t>
            </w:r>
            <w:r>
              <w:rPr>
                <w:rFonts w:hint="eastAsia" w:ascii="方正小标宋简体" w:hAnsi="方正小标宋简体" w:eastAsia="方正小标宋简体" w:cs="方正小标宋简体"/>
                <w:b w:val="0"/>
                <w:bCs/>
                <w:color w:val="FF0000"/>
                <w:spacing w:val="-20"/>
                <w:w w:val="80"/>
                <w:sz w:val="64"/>
                <w:szCs w:val="64"/>
                <w:lang w:val="en-US" w:eastAsia="zh-CN"/>
              </w:rPr>
              <w:t>交通警察支队张店大队</w:t>
            </w:r>
          </w:p>
        </w:tc>
        <w:tc>
          <w:tcPr>
            <w:tcW w:w="1555" w:type="dxa"/>
            <w:vMerge w:val="restart"/>
            <w:vAlign w:val="center"/>
          </w:tcPr>
          <w:p>
            <w:pPr>
              <w:rPr>
                <w:rFonts w:ascii="华文中宋" w:hAnsi="华文中宋" w:eastAsia="华文中宋"/>
                <w:b/>
                <w:color w:val="FF0000"/>
                <w:spacing w:val="-22"/>
                <w:w w:val="66"/>
                <w:sz w:val="120"/>
              </w:rPr>
            </w:pPr>
            <w:r>
              <w:rPr>
                <w:rFonts w:hint="eastAsia" w:ascii="方正小标宋简体" w:hAnsi="方正小标宋简体" w:eastAsia="方正小标宋简体" w:cs="方正小标宋简体"/>
                <w:b w:val="0"/>
                <w:bCs/>
                <w:color w:val="FF0000"/>
                <w:spacing w:val="-22"/>
                <w:w w:val="66"/>
                <w:sz w:val="96"/>
                <w:szCs w:val="96"/>
              </w:rPr>
              <w:t>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82" w:hRule="atLeast"/>
        </w:trPr>
        <w:tc>
          <w:tcPr>
            <w:tcW w:w="8372" w:type="dxa"/>
            <w:tcBorders>
              <w:bottom w:val="nil"/>
            </w:tcBorders>
            <w:vAlign w:val="center"/>
          </w:tcPr>
          <w:p>
            <w:pPr>
              <w:spacing w:line="1000" w:lineRule="exact"/>
              <w:ind w:firstLine="110" w:firstLineChars="20"/>
              <w:jc w:val="distribute"/>
              <w:rPr>
                <w:rFonts w:hint="eastAsia" w:ascii="方正小标宋简体" w:hAnsi="方正小标宋简体" w:eastAsia="方正小标宋简体" w:cs="方正小标宋简体"/>
                <w:b w:val="0"/>
                <w:bCs/>
                <w:color w:val="FF0000"/>
                <w:spacing w:val="-20"/>
                <w:w w:val="80"/>
                <w:sz w:val="74"/>
                <w:szCs w:val="74"/>
              </w:rPr>
            </w:pPr>
            <w:r>
              <w:rPr>
                <w:rFonts w:hint="eastAsia" w:ascii="方正小标宋简体" w:hAnsi="方正小标宋简体" w:eastAsia="方正小标宋简体" w:cs="方正小标宋简体"/>
                <w:b w:val="0"/>
                <w:bCs/>
                <w:color w:val="FF0000"/>
                <w:spacing w:val="-20"/>
                <w:w w:val="80"/>
                <w:sz w:val="74"/>
                <w:szCs w:val="74"/>
                <w:lang w:val="en-US" w:eastAsia="zh-CN"/>
              </w:rPr>
              <w:t>淄博市</w:t>
            </w:r>
            <w:r>
              <w:rPr>
                <w:rFonts w:hint="eastAsia" w:ascii="方正小标宋简体" w:hAnsi="方正小标宋简体" w:eastAsia="方正小标宋简体" w:cs="方正小标宋简体"/>
                <w:b w:val="0"/>
                <w:bCs/>
                <w:color w:val="FF0000"/>
                <w:spacing w:val="-20"/>
                <w:w w:val="80"/>
                <w:sz w:val="74"/>
                <w:szCs w:val="74"/>
              </w:rPr>
              <w:t>张店区交通运输局</w:t>
            </w:r>
          </w:p>
          <w:p>
            <w:pPr>
              <w:spacing w:line="1000" w:lineRule="exact"/>
              <w:ind w:firstLine="110" w:firstLineChars="20"/>
              <w:jc w:val="distribute"/>
              <w:rPr>
                <w:rFonts w:hint="eastAsia" w:ascii="方正小标宋简体" w:hAnsi="方正小标宋简体" w:eastAsia="方正小标宋简体" w:cs="方正小标宋简体"/>
                <w:b w:val="0"/>
                <w:bCs/>
                <w:color w:val="FF0000"/>
                <w:spacing w:val="-20"/>
                <w:w w:val="80"/>
                <w:sz w:val="74"/>
                <w:szCs w:val="74"/>
              </w:rPr>
            </w:pPr>
            <w:r>
              <w:rPr>
                <w:rFonts w:hint="eastAsia" w:ascii="方正小标宋简体" w:hAnsi="方正小标宋简体" w:eastAsia="方正小标宋简体" w:cs="方正小标宋简体"/>
                <w:b w:val="0"/>
                <w:bCs/>
                <w:color w:val="FF0000"/>
                <w:spacing w:val="-20"/>
                <w:w w:val="80"/>
                <w:sz w:val="74"/>
                <w:szCs w:val="74"/>
                <w:lang w:val="en-US" w:eastAsia="zh-CN"/>
              </w:rPr>
              <w:t>淄博市</w:t>
            </w:r>
            <w:r>
              <w:rPr>
                <w:rFonts w:hint="eastAsia" w:ascii="方正小标宋简体" w:hAnsi="方正小标宋简体" w:eastAsia="方正小标宋简体" w:cs="方正小标宋简体"/>
                <w:b w:val="0"/>
                <w:bCs/>
                <w:color w:val="FF0000"/>
                <w:spacing w:val="-20"/>
                <w:w w:val="80"/>
                <w:sz w:val="74"/>
                <w:szCs w:val="74"/>
              </w:rPr>
              <w:t>张店区综合行政执法局</w:t>
            </w:r>
          </w:p>
          <w:p>
            <w:pPr>
              <w:spacing w:line="1000" w:lineRule="exact"/>
              <w:ind w:firstLine="110" w:firstLineChars="20"/>
              <w:jc w:val="distribute"/>
              <w:rPr>
                <w:rFonts w:hint="eastAsia" w:ascii="方正小标宋简体" w:hAnsi="方正小标宋简体" w:eastAsia="方正小标宋简体" w:cs="方正小标宋简体"/>
                <w:b/>
                <w:color w:val="FF0000"/>
                <w:spacing w:val="-20"/>
                <w:w w:val="80"/>
                <w:sz w:val="78"/>
                <w:szCs w:val="78"/>
                <w:lang w:val="en-US" w:eastAsia="zh-CN"/>
              </w:rPr>
            </w:pPr>
            <w:r>
              <w:rPr>
                <w:rFonts w:hint="eastAsia" w:ascii="方正小标宋简体" w:hAnsi="方正小标宋简体" w:eastAsia="方正小标宋简体" w:cs="方正小标宋简体"/>
                <w:b w:val="0"/>
                <w:bCs/>
                <w:color w:val="FF0000"/>
                <w:spacing w:val="-20"/>
                <w:w w:val="80"/>
                <w:sz w:val="74"/>
                <w:szCs w:val="74"/>
                <w:lang w:val="en-US" w:eastAsia="zh-CN"/>
              </w:rPr>
              <w:t>淄博市张店区市场监督管理局</w:t>
            </w:r>
          </w:p>
        </w:tc>
        <w:tc>
          <w:tcPr>
            <w:tcW w:w="1555" w:type="dxa"/>
            <w:vMerge w:val="continue"/>
            <w:tcBorders>
              <w:bottom w:val="nil"/>
            </w:tcBorders>
            <w:vAlign w:val="center"/>
          </w:tcPr>
          <w:p>
            <w:pPr>
              <w:jc w:val="center"/>
              <w:rPr>
                <w:rFonts w:ascii="华文中宋" w:hAnsi="华文中宋" w:eastAsia="华文中宋"/>
                <w:color w:val="000000"/>
                <w:spacing w:val="140"/>
                <w:sz w:val="60"/>
              </w:rPr>
            </w:pPr>
          </w:p>
        </w:tc>
      </w:tr>
    </w:tbl>
    <w:p>
      <w:pPr>
        <w:adjustRightInd w:val="0"/>
        <w:snapToGrid w:val="0"/>
        <w:rPr>
          <w:rFonts w:ascii="华文中宋" w:hAnsi="华文中宋" w:eastAsia="华文中宋"/>
          <w:szCs w:val="32"/>
        </w:rPr>
      </w:pPr>
    </w:p>
    <w:p>
      <w:pPr>
        <w:adjustRightInd w:val="0"/>
        <w:snapToGrid w:val="0"/>
        <w:rPr>
          <w:rFonts w:ascii="仿宋_GB2312"/>
          <w:szCs w:val="32"/>
        </w:rPr>
      </w:pPr>
    </w:p>
    <w:p>
      <w:pPr>
        <w:adjustRightInd w:val="0"/>
        <w:snapToGrid w:val="0"/>
        <w:jc w:val="center"/>
        <w:rPr>
          <w:rFonts w:ascii="仿宋_GB2312" w:eastAsia="仿宋_GB2312"/>
          <w:sz w:val="32"/>
          <w:szCs w:val="32"/>
        </w:rPr>
      </w:pPr>
      <w:r>
        <w:rPr>
          <w:rFonts w:hint="eastAsia" w:ascii="仿宋_GB2312" w:eastAsia="仿宋_GB2312"/>
          <w:sz w:val="32"/>
          <w:szCs w:val="32"/>
        </w:rPr>
        <w:t>张发改字〔202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58</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b/>
          <w:bCs/>
          <w:szCs w:val="21"/>
        </w:rPr>
      </w:pPr>
      <w:r>
        <w:rPr>
          <w:rFonts w:ascii="方正小标宋简体" w:hAnsi="宋体" w:eastAsia="方正小标宋简体"/>
          <w:bCs/>
          <w:sz w:val="36"/>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201930</wp:posOffset>
                </wp:positionV>
                <wp:extent cx="6087745" cy="27305"/>
                <wp:effectExtent l="0" t="9525" r="8255" b="2032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6087745" cy="27305"/>
                        </a:xfrm>
                        <a:prstGeom prst="line">
                          <a:avLst/>
                        </a:prstGeom>
                        <a:noFill/>
                        <a:ln w="19050">
                          <a:solidFill>
                            <a:srgbClr val="FF0000"/>
                          </a:solidFill>
                          <a:round/>
                        </a:ln>
                      </wps:spPr>
                      <wps:bodyPr/>
                    </wps:wsp>
                  </a:graphicData>
                </a:graphic>
              </wp:anchor>
            </w:drawing>
          </mc:Choice>
          <mc:Fallback>
            <w:pict>
              <v:line id="直线 2" o:spid="_x0000_s1026" o:spt="20" style="position:absolute;left:0pt;margin-left:-18.1pt;margin-top:15.9pt;height:2.15pt;width:479.35pt;z-index:251660288;mso-width-relative:page;mso-height-relative:page;" filled="f" stroked="t" coordsize="21600,21600" o:gfxdata="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3Vi2QAAAAkBAAAP&#10;AAAAAAAAAAEAIAAAACIAAABkcnMvZG93bnJldi54bWxQSwECFAAUAAAACACHTuJAQU6kf94BAACm&#10;AwAADgAAAAAAAAABACAAAAAoAQAAZHJzL2Uyb0RvYy54bWxQSwUGAAAAAAYABgBZAQAAe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32"/>
        </w:rPr>
      </w:pPr>
      <w:r>
        <w:rPr>
          <w:rFonts w:hint="eastAsia" w:ascii="方正小标宋简体" w:eastAsia="方正小标宋简体"/>
          <w:sz w:val="44"/>
          <w:szCs w:val="32"/>
        </w:rPr>
        <w:t>关于</w:t>
      </w:r>
      <w:r>
        <w:rPr>
          <w:rFonts w:hint="eastAsia" w:ascii="方正小标宋简体" w:eastAsia="方正小标宋简体"/>
          <w:sz w:val="44"/>
          <w:szCs w:val="32"/>
          <w:lang w:val="en-US" w:eastAsia="zh-CN"/>
        </w:rPr>
        <w:t>进一步</w:t>
      </w:r>
      <w:r>
        <w:rPr>
          <w:rFonts w:hint="eastAsia" w:ascii="方正小标宋简体" w:eastAsia="方正小标宋简体"/>
          <w:sz w:val="44"/>
          <w:szCs w:val="32"/>
        </w:rPr>
        <w:t>明确实行政府定价的停车场机动车停放服务收费</w:t>
      </w:r>
      <w:r>
        <w:rPr>
          <w:rFonts w:hint="eastAsia" w:ascii="方正小标宋简体" w:eastAsia="方正小标宋简体"/>
          <w:sz w:val="44"/>
          <w:szCs w:val="32"/>
          <w:lang w:val="en-US" w:eastAsia="zh-CN"/>
        </w:rPr>
        <w:t>有关</w:t>
      </w:r>
      <w:r>
        <w:rPr>
          <w:rFonts w:hint="eastAsia" w:ascii="方正小标宋简体" w:eastAsia="方正小标宋简体"/>
          <w:sz w:val="44"/>
          <w:szCs w:val="32"/>
        </w:rPr>
        <w:t>问题的通知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加强机动车停放服务收费管理，规范停车服务收费行为，保护停车场经营者和消费者的合法权益，</w:t>
      </w:r>
      <w:r>
        <w:rPr>
          <w:rFonts w:hint="eastAsia" w:ascii="仿宋_GB2312" w:hAnsi="仿宋_GB2312" w:eastAsia="仿宋_GB2312" w:cs="仿宋_GB2312"/>
          <w:sz w:val="32"/>
          <w:szCs w:val="32"/>
          <w:lang w:val="en-US" w:eastAsia="zh-CN"/>
        </w:rPr>
        <w:t>根据</w:t>
      </w:r>
      <w:r>
        <w:rPr>
          <w:rFonts w:hint="eastAsia" w:ascii="仿宋_GB2312" w:eastAsia="仿宋_GB2312"/>
          <w:sz w:val="32"/>
          <w:szCs w:val="32"/>
        </w:rPr>
        <w:t>《淄博市机动车停放服务收费管理办法》、《淄博市物价局关于机动车停放服务收费有关问题的补充通知》（淄价字〔2017〕93号）</w:t>
      </w:r>
      <w:r>
        <w:rPr>
          <w:rFonts w:hint="eastAsia" w:ascii="仿宋_GB2312" w:eastAsia="仿宋_GB2312"/>
          <w:sz w:val="32"/>
          <w:szCs w:val="32"/>
          <w:lang w:val="en-US" w:eastAsia="zh-CN"/>
        </w:rPr>
        <w:t>等</w:t>
      </w:r>
      <w:r>
        <w:rPr>
          <w:rFonts w:hint="eastAsia" w:ascii="仿宋_GB2312" w:eastAsia="仿宋_GB2312"/>
          <w:sz w:val="32"/>
          <w:szCs w:val="32"/>
        </w:rPr>
        <w:t>相关规定</w:t>
      </w:r>
      <w:r>
        <w:rPr>
          <w:rFonts w:hint="eastAsia" w:ascii="仿宋_GB2312" w:eastAsia="仿宋_GB2312"/>
          <w:sz w:val="32"/>
          <w:szCs w:val="32"/>
          <w:lang w:eastAsia="zh-CN"/>
        </w:rPr>
        <w:t>，</w:t>
      </w:r>
      <w:r>
        <w:rPr>
          <w:rFonts w:hint="eastAsia" w:ascii="仿宋_GB2312" w:hAnsi="仿宋_GB2312" w:eastAsia="仿宋_GB2312" w:cs="仿宋_GB2312"/>
          <w:sz w:val="32"/>
          <w:szCs w:val="32"/>
        </w:rPr>
        <w:t>现就实行政府定价的停车场机动车停放服务收费标准及有关问题明确如下：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一、下列停车场机动车停放服务收费实行政府定价，</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《张店区实行政府定价的停车场停放服务收费标准表》（附件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（一）汽车站、火车站、利用公共资源建设的旅游景区(点）等具有自然垄断性质的配套停车场；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（二）公立医疗、文化、体育、教育、社会福利等公共服务机构、公益服务场所配套停车场；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（三）政府财政性资金、城市建设投资公司建设的停车场；</w:t>
      </w:r>
    </w:p>
    <w:p>
      <w:pPr>
        <w:keepNext w:val="0"/>
        <w:keepLines w:val="0"/>
        <w:pageBreakBefore w:val="0"/>
        <w:widowControl w:val="0"/>
        <w:kinsoku/>
        <w:wordWrap/>
        <w:overflowPunct/>
        <w:topLinePunct w:val="0"/>
        <w:autoSpaceDE/>
        <w:autoSpaceDN/>
        <w:bidi w:val="0"/>
        <w:adjustRightInd/>
        <w:snapToGrid/>
        <w:spacing w:line="560" w:lineRule="exact"/>
        <w:ind w:firstLine="4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（四）其他应当纳入政府定价管理的停车场。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纳入政府定价范围的交通事故、违法等涉案车辆停放场所以及客运中心、大专院校等停车场所等收费标准，由发展改革部门单独制定。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二、实行政府定价的停车场，机动车停放服务收费按车型实行计次、计时、计月等形式。</w:t>
      </w:r>
    </w:p>
    <w:p>
      <w:pPr>
        <w:keepNext w:val="0"/>
        <w:keepLines w:val="0"/>
        <w:pageBreakBefore w:val="0"/>
        <w:widowControl w:val="0"/>
        <w:kinsoku/>
        <w:wordWrap/>
        <w:overflowPunct/>
        <w:topLinePunct w:val="0"/>
        <w:autoSpaceDE/>
        <w:autoSpaceDN/>
        <w:bidi w:val="0"/>
        <w:adjustRightInd/>
        <w:snapToGrid/>
        <w:spacing w:line="560" w:lineRule="exact"/>
        <w:ind w:firstLine="4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（一）实行计次收费的，应设置时间限制，超出规定时段的，实行累计计费。</w:t>
      </w:r>
    </w:p>
    <w:p>
      <w:pPr>
        <w:keepNext w:val="0"/>
        <w:keepLines w:val="0"/>
        <w:pageBreakBefore w:val="0"/>
        <w:widowControl w:val="0"/>
        <w:kinsoku/>
        <w:wordWrap/>
        <w:overflowPunct/>
        <w:topLinePunct w:val="0"/>
        <w:autoSpaceDE/>
        <w:autoSpaceDN/>
        <w:bidi w:val="0"/>
        <w:adjustRightInd/>
        <w:snapToGrid/>
        <w:spacing w:line="560" w:lineRule="exact"/>
        <w:ind w:firstLine="4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（二）实行计时收费的，应具备经检验合格的计时设施。</w:t>
      </w:r>
    </w:p>
    <w:p>
      <w:pPr>
        <w:keepNext w:val="0"/>
        <w:keepLines w:val="0"/>
        <w:pageBreakBefore w:val="0"/>
        <w:widowControl w:val="0"/>
        <w:kinsoku/>
        <w:wordWrap/>
        <w:overflowPunct/>
        <w:topLinePunct w:val="0"/>
        <w:autoSpaceDE/>
        <w:autoSpaceDN/>
        <w:bidi w:val="0"/>
        <w:adjustRightInd/>
        <w:snapToGrid/>
        <w:spacing w:line="560" w:lineRule="exact"/>
        <w:ind w:firstLine="4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需长期停放或实际停放时间超过一个月的车辆可以实行计月收费，收费标准由停车场经营者与消费者双方协商确定。实行计月方式收费的，计月费用应低于月度内实行计时或计次收费之和。月度期限应满一个自然月，跨自然月的，月度期限以自然日连续累计30日计算。同一停车场内，对实行计月收费的，在月度范围内日常停车不再重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三、除实行政府定价管理的停车场外，商场、娱乐场所、宾馆酒店、写字楼等建筑物的配套停车场确需提供有偿停放服务的，收费标准实行市场调节价，由经营者自主确定。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四、执行公务的军车、警车、消防、抢险、救灾、救护以及残疾人专用车辆（持有效证件）等法律、法规、规章规定应当免费的车辆，免收机动车停放服务费。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五、进入实行政府定价停车场的车辆，停放时间不超过15分钟（含）的，免收停车服务费；超过15分钟的，按实际停车时间计费。各停车场可根据实际情况适当扩大免费停放车辆范围或延长免费停放时间。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六、各停车场应按照规定实行明码标价，在停车场显著位置设置停车服务收费公示牌、标明收费标准、计费办法和投诉举报电话等，自觉接受社会监督。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实行政府定价的停车场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根据停车场名称、地址、车位数量、经营单位等情况填写《张店区实行政府定价停车场统计表》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报区发展改革局。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七、本通知自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月1日起执行，有效期至202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月30日。政策执行期间，根据</w:t>
      </w:r>
      <w:r>
        <w:rPr>
          <w:rFonts w:hint="eastAsia" w:ascii="仿宋_GB2312" w:hAnsi="仿宋_GB2312" w:eastAsia="仿宋_GB2312" w:cs="仿宋_GB2312"/>
          <w:sz w:val="32"/>
          <w:szCs w:val="32"/>
          <w:lang w:val="en-US" w:eastAsia="zh-CN"/>
        </w:rPr>
        <w:t>张店</w:t>
      </w:r>
      <w:r>
        <w:rPr>
          <w:rFonts w:hint="eastAsia" w:ascii="仿宋_GB2312" w:hAnsi="仿宋_GB2312" w:eastAsia="仿宋_GB2312" w:cs="仿宋_GB2312"/>
          <w:sz w:val="32"/>
          <w:szCs w:val="32"/>
        </w:rPr>
        <w:t>区公共停车场规划发展情况，再作相应调整。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张店区实行政府定价的停车场停放服务收费标准表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2.张店区实行政府定价停车场统计表。</w:t>
      </w: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line="300" w:lineRule="atLeas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淄博市张店区发展和改革局     淄博市公安局交通警察支队</w:t>
      </w:r>
    </w:p>
    <w:p>
      <w:pPr>
        <w:pStyle w:val="2"/>
        <w:keepNext w:val="0"/>
        <w:keepLines w:val="0"/>
        <w:pageBreakBefore w:val="0"/>
        <w:widowControl w:val="0"/>
        <w:kinsoku/>
        <w:wordWrap/>
        <w:overflowPunct/>
        <w:topLinePunct w:val="0"/>
        <w:autoSpaceDE/>
        <w:autoSpaceDN/>
        <w:bidi w:val="0"/>
        <w:adjustRightInd/>
        <w:snapToGrid w:val="0"/>
        <w:spacing w:after="0" w:line="300" w:lineRule="atLeas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张店大队</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淄博市张店区交通运输局      淄博市张店区综合行政执法局</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firstLine="3520" w:firstLineChars="11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淄博市张店区市场监督管理局</w:t>
      </w:r>
    </w:p>
    <w:p>
      <w:pPr>
        <w:pStyle w:val="2"/>
        <w:ind w:firstLine="3520" w:firstLineChars="11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2022年6月30日</w:t>
      </w:r>
    </w:p>
    <w:p>
      <w:pPr>
        <w:pStyle w:val="2"/>
        <w:ind w:left="0" w:leftChars="0" w:firstLine="4800" w:firstLineChars="150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方正小标宋简体" w:eastAsia="方正小标宋简体"/>
          <w:sz w:val="36"/>
          <w:szCs w:val="32"/>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jc w:val="center"/>
        <w:rPr>
          <w:rFonts w:ascii="方正小标宋简体" w:eastAsia="方正小标宋简体"/>
          <w:sz w:val="36"/>
          <w:szCs w:val="32"/>
        </w:rPr>
      </w:pPr>
      <w:r>
        <w:rPr>
          <w:rFonts w:hint="eastAsia" w:ascii="方正小标宋简体" w:eastAsia="方正小标宋简体"/>
          <w:sz w:val="36"/>
          <w:szCs w:val="32"/>
        </w:rPr>
        <w:t>张店区实行政府定价的停车场停放服务收费标准表</w:t>
      </w:r>
    </w:p>
    <w:tbl>
      <w:tblPr>
        <w:tblStyle w:val="9"/>
        <w:tblW w:w="9062" w:type="dxa"/>
        <w:tblInd w:w="-10" w:type="dxa"/>
        <w:tblLayout w:type="fixed"/>
        <w:tblCellMar>
          <w:top w:w="15" w:type="dxa"/>
          <w:left w:w="15" w:type="dxa"/>
          <w:bottom w:w="15" w:type="dxa"/>
          <w:right w:w="15" w:type="dxa"/>
        </w:tblCellMar>
      </w:tblPr>
      <w:tblGrid>
        <w:gridCol w:w="1435"/>
        <w:gridCol w:w="1470"/>
        <w:gridCol w:w="6157"/>
      </w:tblGrid>
      <w:tr>
        <w:tblPrEx>
          <w:tblCellMar>
            <w:top w:w="15" w:type="dxa"/>
            <w:left w:w="15" w:type="dxa"/>
            <w:bottom w:w="15" w:type="dxa"/>
            <w:right w:w="15" w:type="dxa"/>
          </w:tblCellMar>
        </w:tblPrEx>
        <w:trPr>
          <w:trHeight w:val="516" w:hRule="atLeast"/>
        </w:trPr>
        <w:tc>
          <w:tcPr>
            <w:tcW w:w="14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b/>
                <w:sz w:val="24"/>
                <w:szCs w:val="24"/>
              </w:rPr>
            </w:pPr>
            <w:r>
              <w:rPr>
                <w:rFonts w:hint="eastAsia" w:ascii="仿宋_GB2312" w:eastAsia="仿宋_GB2312"/>
                <w:b/>
                <w:sz w:val="24"/>
                <w:szCs w:val="24"/>
              </w:rPr>
              <w:t>计费方式</w:t>
            </w:r>
          </w:p>
        </w:tc>
        <w:tc>
          <w:tcPr>
            <w:tcW w:w="14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b/>
                <w:sz w:val="24"/>
                <w:szCs w:val="24"/>
              </w:rPr>
            </w:pPr>
            <w:r>
              <w:rPr>
                <w:rFonts w:hint="eastAsia" w:ascii="仿宋_GB2312" w:eastAsia="仿宋_GB2312"/>
                <w:b/>
                <w:sz w:val="24"/>
                <w:szCs w:val="24"/>
              </w:rPr>
              <w:t>车型分类</w:t>
            </w:r>
          </w:p>
        </w:tc>
        <w:tc>
          <w:tcPr>
            <w:tcW w:w="61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b/>
                <w:sz w:val="24"/>
                <w:szCs w:val="24"/>
              </w:rPr>
            </w:pPr>
            <w:r>
              <w:rPr>
                <w:rFonts w:hint="eastAsia" w:ascii="仿宋_GB2312" w:eastAsia="仿宋_GB2312"/>
                <w:b/>
                <w:sz w:val="24"/>
                <w:szCs w:val="24"/>
              </w:rPr>
              <w:t>收费标准</w:t>
            </w:r>
          </w:p>
        </w:tc>
      </w:tr>
      <w:tr>
        <w:tblPrEx>
          <w:tblCellMar>
            <w:top w:w="15" w:type="dxa"/>
            <w:left w:w="15" w:type="dxa"/>
            <w:bottom w:w="15" w:type="dxa"/>
            <w:right w:w="15" w:type="dxa"/>
          </w:tblCellMar>
        </w:tblPrEx>
        <w:trPr>
          <w:trHeight w:val="851" w:hRule="exact"/>
        </w:trPr>
        <w:tc>
          <w:tcPr>
            <w:tcW w:w="143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计次收费</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小型汽车</w:t>
            </w:r>
          </w:p>
        </w:tc>
        <w:tc>
          <w:tcPr>
            <w:tcW w:w="61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4小时内每车次3元，每超过4小时加收1元，不足4小时的按4小时计算</w:t>
            </w:r>
          </w:p>
        </w:tc>
      </w:tr>
      <w:tr>
        <w:tblPrEx>
          <w:tblCellMar>
            <w:top w:w="15" w:type="dxa"/>
            <w:left w:w="15" w:type="dxa"/>
            <w:bottom w:w="15" w:type="dxa"/>
            <w:right w:w="15" w:type="dxa"/>
          </w:tblCellMar>
        </w:tblPrEx>
        <w:trPr>
          <w:trHeight w:val="851" w:hRule="exact"/>
        </w:trPr>
        <w:tc>
          <w:tcPr>
            <w:tcW w:w="1435" w:type="dxa"/>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仿宋_GB2312" w:eastAsia="仿宋_GB2312"/>
                <w:sz w:val="24"/>
                <w:szCs w:val="24"/>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大型汽车</w:t>
            </w:r>
          </w:p>
        </w:tc>
        <w:tc>
          <w:tcPr>
            <w:tcW w:w="61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4小时内每车次4元，每超过4小时加收2元，不足4小时的按4小时计算</w:t>
            </w:r>
          </w:p>
        </w:tc>
      </w:tr>
      <w:tr>
        <w:tblPrEx>
          <w:tblCellMar>
            <w:top w:w="15" w:type="dxa"/>
            <w:left w:w="15" w:type="dxa"/>
            <w:bottom w:w="15" w:type="dxa"/>
            <w:right w:w="15" w:type="dxa"/>
          </w:tblCellMar>
        </w:tblPrEx>
        <w:trPr>
          <w:trHeight w:val="851" w:hRule="exact"/>
        </w:trPr>
        <w:tc>
          <w:tcPr>
            <w:tcW w:w="1435" w:type="dxa"/>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仿宋_GB2312" w:eastAsia="仿宋_GB2312"/>
                <w:sz w:val="24"/>
                <w:szCs w:val="24"/>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摩托车</w:t>
            </w:r>
          </w:p>
        </w:tc>
        <w:tc>
          <w:tcPr>
            <w:tcW w:w="61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4小时内每车次1元，每超过4小时加收1元，不足4小时的按4小时计算</w:t>
            </w:r>
          </w:p>
        </w:tc>
      </w:tr>
      <w:tr>
        <w:tblPrEx>
          <w:tblCellMar>
            <w:top w:w="15" w:type="dxa"/>
            <w:left w:w="15" w:type="dxa"/>
            <w:bottom w:w="15" w:type="dxa"/>
            <w:right w:w="15" w:type="dxa"/>
          </w:tblCellMar>
        </w:tblPrEx>
        <w:trPr>
          <w:trHeight w:val="851" w:hRule="exact"/>
        </w:trPr>
        <w:tc>
          <w:tcPr>
            <w:tcW w:w="143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计时收费</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小型汽车</w:t>
            </w:r>
          </w:p>
        </w:tc>
        <w:tc>
          <w:tcPr>
            <w:tcW w:w="61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4小时内每车次3元，4小时外每超1小时加收1元，不足1小时的按1小时计算</w:t>
            </w:r>
          </w:p>
        </w:tc>
      </w:tr>
      <w:tr>
        <w:tblPrEx>
          <w:tblCellMar>
            <w:top w:w="15" w:type="dxa"/>
            <w:left w:w="15" w:type="dxa"/>
            <w:bottom w:w="15" w:type="dxa"/>
            <w:right w:w="15" w:type="dxa"/>
          </w:tblCellMar>
        </w:tblPrEx>
        <w:trPr>
          <w:trHeight w:val="851" w:hRule="exact"/>
        </w:trPr>
        <w:tc>
          <w:tcPr>
            <w:tcW w:w="1435" w:type="dxa"/>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仿宋_GB2312" w:eastAsia="仿宋_GB2312"/>
                <w:sz w:val="24"/>
                <w:szCs w:val="24"/>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大型汽车</w:t>
            </w:r>
          </w:p>
        </w:tc>
        <w:tc>
          <w:tcPr>
            <w:tcW w:w="61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4小时内每车次4元，4小时外每超1小时加收2元，不足1小时的按1小时计算</w:t>
            </w:r>
          </w:p>
        </w:tc>
      </w:tr>
      <w:tr>
        <w:tblPrEx>
          <w:tblCellMar>
            <w:top w:w="15" w:type="dxa"/>
            <w:left w:w="15" w:type="dxa"/>
            <w:bottom w:w="15" w:type="dxa"/>
            <w:right w:w="15" w:type="dxa"/>
          </w:tblCellMar>
        </w:tblPrEx>
        <w:trPr>
          <w:trHeight w:val="851" w:hRule="exact"/>
        </w:trPr>
        <w:tc>
          <w:tcPr>
            <w:tcW w:w="1435" w:type="dxa"/>
            <w:vMerge w:val="continue"/>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仿宋_GB2312" w:eastAsia="仿宋_GB2312"/>
                <w:sz w:val="24"/>
                <w:szCs w:val="24"/>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摩托车</w:t>
            </w:r>
          </w:p>
        </w:tc>
        <w:tc>
          <w:tcPr>
            <w:tcW w:w="61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4小时内每车次1元，每超过4小时加收1元，不足4小时的按4小时计算</w:t>
            </w:r>
          </w:p>
        </w:tc>
      </w:tr>
      <w:tr>
        <w:tblPrEx>
          <w:tblCellMar>
            <w:top w:w="15" w:type="dxa"/>
            <w:left w:w="15" w:type="dxa"/>
            <w:bottom w:w="15" w:type="dxa"/>
            <w:right w:w="15" w:type="dxa"/>
          </w:tblCellMar>
        </w:tblPrEx>
        <w:trPr>
          <w:trHeight w:val="5605" w:hRule="atLeast"/>
        </w:trPr>
        <w:tc>
          <w:tcPr>
            <w:tcW w:w="290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备   注</w:t>
            </w:r>
          </w:p>
        </w:tc>
        <w:tc>
          <w:tcPr>
            <w:tcW w:w="61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eastAsia="仿宋_GB2312"/>
                <w:sz w:val="24"/>
                <w:szCs w:val="24"/>
              </w:rPr>
            </w:pPr>
            <w:r>
              <w:rPr>
                <w:rFonts w:hint="eastAsia" w:ascii="仿宋_GB2312" w:eastAsia="仿宋_GB2312"/>
                <w:sz w:val="24"/>
                <w:szCs w:val="24"/>
              </w:rPr>
              <w:t>1、停放时间不超过15分钟（含）的，免收停车服务费；超过15分钟的，按实际停车时间计费。</w:t>
            </w:r>
          </w:p>
          <w:p>
            <w:pPr>
              <w:rPr>
                <w:rFonts w:ascii="仿宋_GB2312" w:eastAsia="仿宋_GB2312"/>
                <w:sz w:val="24"/>
                <w:szCs w:val="24"/>
              </w:rPr>
            </w:pPr>
            <w:r>
              <w:rPr>
                <w:rFonts w:hint="eastAsia" w:ascii="仿宋_GB2312" w:eastAsia="仿宋_GB2312"/>
                <w:sz w:val="24"/>
                <w:szCs w:val="24"/>
              </w:rPr>
              <w:t>2、实行计时收费的，实行日最高限价，小型汽车连续停放24小时的每车最高收费15元，大型汽车连续停放24小时的每车最高收费20元。超过24小时的重新按以上规定计收。</w:t>
            </w:r>
          </w:p>
          <w:p>
            <w:pPr>
              <w:rPr>
                <w:rFonts w:ascii="仿宋_GB2312" w:eastAsia="仿宋_GB2312"/>
                <w:sz w:val="24"/>
                <w:szCs w:val="24"/>
              </w:rPr>
            </w:pPr>
            <w:r>
              <w:rPr>
                <w:rFonts w:hint="eastAsia" w:ascii="仿宋_GB2312" w:eastAsia="仿宋_GB2312"/>
                <w:sz w:val="24"/>
                <w:szCs w:val="24"/>
              </w:rPr>
              <w:t>3、车型分类：小型汽车是指轿车、微型客货车等悬挂蓝色、黑色牌照的车辆；大型汽车是指大型客货车等悬挂黄色牌照的车辆</w:t>
            </w:r>
            <w:r>
              <w:rPr>
                <w:rFonts w:hint="eastAsia" w:ascii="仿宋_GB2312" w:eastAsia="仿宋_GB2312"/>
                <w:sz w:val="24"/>
                <w:szCs w:val="24"/>
                <w:lang w:eastAsia="zh-CN"/>
              </w:rPr>
              <w:t>；</w:t>
            </w:r>
            <w:r>
              <w:rPr>
                <w:rFonts w:hint="eastAsia" w:ascii="仿宋_GB2312" w:eastAsia="仿宋_GB2312"/>
                <w:sz w:val="24"/>
                <w:szCs w:val="24"/>
                <w:lang w:val="en-US" w:eastAsia="zh-CN"/>
              </w:rPr>
              <w:t>摩托车是指二轮、三轮、轻便摩托车</w:t>
            </w:r>
            <w:r>
              <w:rPr>
                <w:rFonts w:hint="eastAsia" w:ascii="仿宋_GB2312" w:eastAsia="仿宋_GB2312"/>
                <w:sz w:val="24"/>
                <w:szCs w:val="24"/>
              </w:rPr>
              <w:t>。</w:t>
            </w:r>
          </w:p>
          <w:p>
            <w:pPr>
              <w:rPr>
                <w:rFonts w:ascii="仿宋_GB2312" w:eastAsia="仿宋_GB2312"/>
                <w:sz w:val="24"/>
                <w:szCs w:val="24"/>
              </w:rPr>
            </w:pPr>
            <w:r>
              <w:rPr>
                <w:rFonts w:hint="eastAsia" w:ascii="仿宋_GB2312" w:eastAsia="仿宋_GB2312"/>
                <w:sz w:val="24"/>
                <w:szCs w:val="24"/>
              </w:rPr>
              <w:t>4、执行公务的军车、警车、消防、抢险、救灾、救护及残疾人专用车辆（持有效证件）免费停放，严禁拒停。</w:t>
            </w:r>
          </w:p>
          <w:p>
            <w:pPr>
              <w:rPr>
                <w:rFonts w:ascii="仿宋_GB2312" w:eastAsia="仿宋_GB2312"/>
                <w:sz w:val="24"/>
                <w:szCs w:val="24"/>
              </w:rPr>
            </w:pPr>
            <w:r>
              <w:rPr>
                <w:rFonts w:hint="eastAsia" w:ascii="仿宋_GB2312" w:eastAsia="仿宋_GB2312"/>
                <w:sz w:val="24"/>
                <w:szCs w:val="24"/>
              </w:rPr>
              <w:t>5、公立医疗机构停车场优惠政策按</w:t>
            </w:r>
            <w:r>
              <w:rPr>
                <w:rFonts w:hint="eastAsia" w:ascii="仿宋_GB2312" w:eastAsia="仿宋_GB2312"/>
                <w:sz w:val="24"/>
                <w:szCs w:val="24"/>
                <w:lang w:eastAsia="zh-CN"/>
              </w:rPr>
              <w:t>《</w:t>
            </w:r>
            <w:r>
              <w:rPr>
                <w:rFonts w:hint="eastAsia" w:ascii="仿宋_GB2312" w:eastAsia="仿宋_GB2312"/>
                <w:sz w:val="24"/>
                <w:szCs w:val="24"/>
                <w:lang w:val="en-US" w:eastAsia="zh-CN"/>
              </w:rPr>
              <w:t>关于进一步规范公立医疗机构停车服务管理工作的通知</w:t>
            </w:r>
            <w:r>
              <w:rPr>
                <w:rFonts w:hint="eastAsia" w:ascii="仿宋_GB2312" w:eastAsia="仿宋_GB2312"/>
                <w:sz w:val="24"/>
                <w:szCs w:val="24"/>
                <w:lang w:eastAsia="zh-CN"/>
              </w:rPr>
              <w:t>》（</w:t>
            </w:r>
            <w:r>
              <w:rPr>
                <w:rFonts w:hint="eastAsia" w:ascii="仿宋_GB2312" w:eastAsia="仿宋_GB2312"/>
                <w:sz w:val="24"/>
                <w:szCs w:val="24"/>
                <w:lang w:val="en-US" w:eastAsia="zh-CN"/>
              </w:rPr>
              <w:t>淄卫发〔2017〕20号</w:t>
            </w:r>
            <w:r>
              <w:rPr>
                <w:rFonts w:hint="eastAsia" w:ascii="仿宋_GB2312" w:eastAsia="仿宋_GB2312"/>
                <w:sz w:val="24"/>
                <w:szCs w:val="24"/>
                <w:lang w:eastAsia="zh-CN"/>
              </w:rPr>
              <w:t>）</w:t>
            </w:r>
            <w:r>
              <w:rPr>
                <w:rFonts w:hint="eastAsia" w:ascii="仿宋_GB2312" w:eastAsia="仿宋_GB2312"/>
                <w:sz w:val="24"/>
                <w:szCs w:val="24"/>
              </w:rPr>
              <w:t>有关规定执行。</w:t>
            </w:r>
          </w:p>
        </w:tc>
      </w:tr>
    </w:tbl>
    <w:p>
      <w:pPr>
        <w:rPr>
          <w:rFonts w:hint="eastAsia"/>
        </w:rPr>
        <w:sectPr>
          <w:footerReference r:id="rId3" w:type="default"/>
          <w:pgSz w:w="11906" w:h="16838"/>
          <w:pgMar w:top="2098" w:right="1474" w:bottom="1984" w:left="1587" w:header="851" w:footer="992" w:gutter="0"/>
          <w:cols w:space="425" w:num="1"/>
          <w:docGrid w:type="lines" w:linePitch="312"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张店区实行政府定价停车场统计表</w:t>
      </w:r>
    </w:p>
    <w:tbl>
      <w:tblPr>
        <w:tblStyle w:val="10"/>
        <w:tblpPr w:leftFromText="180" w:rightFromText="180" w:vertAnchor="text" w:horzAnchor="page" w:tblpX="1604" w:tblpY="157"/>
        <w:tblOverlap w:val="never"/>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20"/>
        <w:gridCol w:w="1431"/>
        <w:gridCol w:w="947"/>
        <w:gridCol w:w="2472"/>
        <w:gridCol w:w="1381"/>
        <w:gridCol w:w="2204"/>
        <w:gridCol w:w="15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79" w:type="dxa"/>
            <w:vMerge w:val="restart"/>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序号</w:t>
            </w:r>
          </w:p>
        </w:tc>
        <w:tc>
          <w:tcPr>
            <w:tcW w:w="1220" w:type="dxa"/>
            <w:vMerge w:val="restart"/>
            <w:vAlign w:val="center"/>
          </w:tcPr>
          <w:p>
            <w:pPr>
              <w:bidi w:val="0"/>
              <w:jc w:val="center"/>
              <w:rPr>
                <w:rFonts w:hint="eastAsia" w:ascii="黑体" w:hAnsi="黑体" w:eastAsia="黑体" w:cs="黑体"/>
                <w:sz w:val="22"/>
                <w:szCs w:val="28"/>
                <w:lang w:eastAsia="zh-CN"/>
              </w:rPr>
            </w:pPr>
            <w:r>
              <w:rPr>
                <w:rFonts w:hint="eastAsia" w:ascii="黑体" w:hAnsi="黑体" w:eastAsia="黑体" w:cs="黑体"/>
                <w:sz w:val="22"/>
                <w:szCs w:val="28"/>
                <w:lang w:eastAsia="zh-CN"/>
              </w:rPr>
              <w:t>停车场</w:t>
            </w:r>
          </w:p>
          <w:p>
            <w:pPr>
              <w:bidi w:val="0"/>
              <w:jc w:val="center"/>
              <w:rPr>
                <w:rFonts w:hint="eastAsia" w:ascii="黑体" w:hAnsi="黑体" w:eastAsia="黑体" w:cs="黑体"/>
                <w:sz w:val="22"/>
                <w:szCs w:val="28"/>
                <w:lang w:eastAsia="zh-CN"/>
              </w:rPr>
            </w:pPr>
            <w:r>
              <w:rPr>
                <w:rFonts w:hint="eastAsia" w:ascii="黑体" w:hAnsi="黑体" w:eastAsia="黑体" w:cs="黑体"/>
                <w:sz w:val="22"/>
                <w:szCs w:val="28"/>
                <w:lang w:eastAsia="zh-CN"/>
              </w:rPr>
              <w:t>名称</w:t>
            </w:r>
          </w:p>
        </w:tc>
        <w:tc>
          <w:tcPr>
            <w:tcW w:w="1431" w:type="dxa"/>
            <w:vMerge w:val="restart"/>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地址</w:t>
            </w:r>
          </w:p>
        </w:tc>
        <w:tc>
          <w:tcPr>
            <w:tcW w:w="947" w:type="dxa"/>
            <w:vMerge w:val="restart"/>
            <w:vAlign w:val="center"/>
          </w:tcPr>
          <w:p>
            <w:pPr>
              <w:bidi w:val="0"/>
              <w:jc w:val="center"/>
              <w:rPr>
                <w:rFonts w:hint="eastAsia" w:ascii="黑体" w:hAnsi="黑体" w:eastAsia="黑体" w:cs="黑体"/>
                <w:sz w:val="22"/>
                <w:szCs w:val="28"/>
                <w:lang w:eastAsia="zh-CN"/>
              </w:rPr>
            </w:pPr>
            <w:r>
              <w:rPr>
                <w:rFonts w:hint="eastAsia" w:ascii="黑体" w:hAnsi="黑体" w:eastAsia="黑体" w:cs="黑体"/>
                <w:sz w:val="22"/>
                <w:szCs w:val="28"/>
                <w:lang w:eastAsia="zh-CN"/>
              </w:rPr>
              <w:t>车位数</w:t>
            </w:r>
          </w:p>
        </w:tc>
        <w:tc>
          <w:tcPr>
            <w:tcW w:w="2472" w:type="dxa"/>
            <w:vMerge w:val="restart"/>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收费标准</w:t>
            </w:r>
          </w:p>
        </w:tc>
        <w:tc>
          <w:tcPr>
            <w:tcW w:w="3585" w:type="dxa"/>
            <w:gridSpan w:val="2"/>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eastAsia="zh-CN"/>
              </w:rPr>
              <w:t>产权单位</w:t>
            </w:r>
          </w:p>
        </w:tc>
        <w:tc>
          <w:tcPr>
            <w:tcW w:w="3728" w:type="dxa"/>
            <w:gridSpan w:val="2"/>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9" w:type="dxa"/>
            <w:vMerge w:val="continue"/>
            <w:vAlign w:val="center"/>
          </w:tcPr>
          <w:p>
            <w:pPr>
              <w:bidi w:val="0"/>
              <w:jc w:val="center"/>
              <w:rPr>
                <w:rFonts w:hint="eastAsia" w:ascii="黑体" w:hAnsi="黑体" w:eastAsia="黑体" w:cs="黑体"/>
                <w:sz w:val="22"/>
                <w:szCs w:val="28"/>
              </w:rPr>
            </w:pPr>
          </w:p>
        </w:tc>
        <w:tc>
          <w:tcPr>
            <w:tcW w:w="1220" w:type="dxa"/>
            <w:vMerge w:val="continue"/>
            <w:vAlign w:val="center"/>
          </w:tcPr>
          <w:p>
            <w:pPr>
              <w:bidi w:val="0"/>
              <w:jc w:val="center"/>
              <w:rPr>
                <w:rFonts w:hint="eastAsia" w:ascii="黑体" w:hAnsi="黑体" w:eastAsia="黑体" w:cs="黑体"/>
                <w:sz w:val="22"/>
                <w:szCs w:val="28"/>
              </w:rPr>
            </w:pPr>
          </w:p>
        </w:tc>
        <w:tc>
          <w:tcPr>
            <w:tcW w:w="1431" w:type="dxa"/>
            <w:vMerge w:val="continue"/>
            <w:vAlign w:val="center"/>
          </w:tcPr>
          <w:p>
            <w:pPr>
              <w:bidi w:val="0"/>
              <w:jc w:val="center"/>
              <w:rPr>
                <w:rFonts w:hint="eastAsia" w:ascii="黑体" w:hAnsi="黑体" w:eastAsia="黑体" w:cs="黑体"/>
                <w:sz w:val="22"/>
                <w:szCs w:val="28"/>
              </w:rPr>
            </w:pPr>
          </w:p>
        </w:tc>
        <w:tc>
          <w:tcPr>
            <w:tcW w:w="947" w:type="dxa"/>
            <w:vMerge w:val="continue"/>
            <w:vAlign w:val="center"/>
          </w:tcPr>
          <w:p>
            <w:pPr>
              <w:bidi w:val="0"/>
              <w:jc w:val="center"/>
              <w:rPr>
                <w:rFonts w:hint="eastAsia" w:ascii="黑体" w:hAnsi="黑体" w:eastAsia="黑体" w:cs="黑体"/>
                <w:sz w:val="22"/>
                <w:szCs w:val="28"/>
              </w:rPr>
            </w:pPr>
          </w:p>
        </w:tc>
        <w:tc>
          <w:tcPr>
            <w:tcW w:w="2472" w:type="dxa"/>
            <w:vMerge w:val="continue"/>
            <w:vAlign w:val="center"/>
          </w:tcPr>
          <w:p>
            <w:pPr>
              <w:bidi w:val="0"/>
              <w:jc w:val="center"/>
              <w:rPr>
                <w:rFonts w:hint="eastAsia" w:ascii="黑体" w:hAnsi="黑体" w:eastAsia="黑体" w:cs="黑体"/>
                <w:sz w:val="22"/>
                <w:szCs w:val="28"/>
              </w:rPr>
            </w:pPr>
          </w:p>
        </w:tc>
        <w:tc>
          <w:tcPr>
            <w:tcW w:w="1381" w:type="dxa"/>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名称</w:t>
            </w:r>
          </w:p>
        </w:tc>
        <w:tc>
          <w:tcPr>
            <w:tcW w:w="2204" w:type="dxa"/>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联系人及联系方式</w:t>
            </w:r>
          </w:p>
        </w:tc>
        <w:tc>
          <w:tcPr>
            <w:tcW w:w="1500" w:type="dxa"/>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名称</w:t>
            </w:r>
          </w:p>
        </w:tc>
        <w:tc>
          <w:tcPr>
            <w:tcW w:w="2228" w:type="dxa"/>
            <w:vAlign w:val="center"/>
          </w:tcPr>
          <w:p>
            <w:pPr>
              <w:bidi w:val="0"/>
              <w:jc w:val="cente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9" w:type="dxa"/>
            <w:vAlign w:val="center"/>
          </w:tcPr>
          <w:p>
            <w:pPr>
              <w:bidi w:val="0"/>
              <w:jc w:val="center"/>
              <w:rPr>
                <w:rFonts w:hint="default"/>
                <w:lang w:val="en-US" w:eastAsia="zh-CN"/>
              </w:rPr>
            </w:pPr>
            <w:r>
              <w:rPr>
                <w:rFonts w:hint="eastAsia"/>
                <w:lang w:val="en-US" w:eastAsia="zh-CN"/>
              </w:rPr>
              <w:t>1</w:t>
            </w:r>
          </w:p>
        </w:tc>
        <w:tc>
          <w:tcPr>
            <w:tcW w:w="1220" w:type="dxa"/>
            <w:vAlign w:val="center"/>
          </w:tcPr>
          <w:p>
            <w:pPr>
              <w:bidi w:val="0"/>
              <w:rPr>
                <w:rFonts w:hint="eastAsia"/>
                <w:lang w:val="en-US" w:eastAsia="zh-CN"/>
              </w:rPr>
            </w:pPr>
          </w:p>
        </w:tc>
        <w:tc>
          <w:tcPr>
            <w:tcW w:w="1431" w:type="dxa"/>
            <w:vAlign w:val="center"/>
          </w:tcPr>
          <w:p>
            <w:pPr>
              <w:bidi w:val="0"/>
              <w:rPr>
                <w:rFonts w:hint="eastAsia"/>
                <w:lang w:val="en-US" w:eastAsia="zh-CN"/>
              </w:rPr>
            </w:pPr>
          </w:p>
        </w:tc>
        <w:tc>
          <w:tcPr>
            <w:tcW w:w="947" w:type="dxa"/>
            <w:vAlign w:val="center"/>
          </w:tcPr>
          <w:p>
            <w:pPr>
              <w:bidi w:val="0"/>
              <w:rPr>
                <w:rFonts w:hint="eastAsia"/>
                <w:lang w:val="en-US" w:eastAsia="zh-CN"/>
              </w:rPr>
            </w:pPr>
          </w:p>
        </w:tc>
        <w:tc>
          <w:tcPr>
            <w:tcW w:w="2472" w:type="dxa"/>
            <w:vAlign w:val="center"/>
          </w:tcPr>
          <w:p>
            <w:pPr>
              <w:bidi w:val="0"/>
              <w:rPr>
                <w:rFonts w:hint="eastAsia" w:eastAsiaTheme="minorEastAsia"/>
                <w:lang w:val="en-US" w:eastAsia="zh-CN"/>
              </w:rPr>
            </w:pPr>
            <w:r>
              <w:rPr>
                <w:rFonts w:hint="eastAsia"/>
                <w:lang w:val="en-US" w:eastAsia="zh-CN"/>
              </w:rPr>
              <w:t>例：计时收费、</w:t>
            </w:r>
            <w:r>
              <w:rPr>
                <w:rFonts w:hint="eastAsia"/>
              </w:rPr>
              <w:t>15分钟（含）免收停车服务费</w:t>
            </w:r>
            <w:r>
              <w:rPr>
                <w:rFonts w:hint="eastAsia"/>
                <w:lang w:eastAsia="zh-CN"/>
              </w:rPr>
              <w:t>。</w:t>
            </w:r>
          </w:p>
        </w:tc>
        <w:tc>
          <w:tcPr>
            <w:tcW w:w="1381" w:type="dxa"/>
            <w:vAlign w:val="center"/>
          </w:tcPr>
          <w:p>
            <w:pPr>
              <w:bidi w:val="0"/>
              <w:rPr>
                <w:rFonts w:hint="eastAsia"/>
                <w:lang w:val="en-US" w:eastAsia="zh-CN"/>
              </w:rPr>
            </w:pPr>
          </w:p>
        </w:tc>
        <w:tc>
          <w:tcPr>
            <w:tcW w:w="2204" w:type="dxa"/>
            <w:vAlign w:val="center"/>
          </w:tcPr>
          <w:p>
            <w:pPr>
              <w:bidi w:val="0"/>
              <w:rPr>
                <w:rFonts w:hint="eastAsia"/>
                <w:lang w:val="en-US" w:eastAsia="zh-CN"/>
              </w:rPr>
            </w:pPr>
          </w:p>
        </w:tc>
        <w:tc>
          <w:tcPr>
            <w:tcW w:w="1500" w:type="dxa"/>
            <w:vAlign w:val="center"/>
          </w:tcPr>
          <w:p>
            <w:pPr>
              <w:bidi w:val="0"/>
              <w:rPr>
                <w:rFonts w:hint="eastAsia"/>
                <w:lang w:val="en-US" w:eastAsia="zh-CN"/>
              </w:rPr>
            </w:pPr>
          </w:p>
          <w:p>
            <w:pPr>
              <w:bidi w:val="0"/>
              <w:rPr>
                <w:rFonts w:hint="eastAsia"/>
                <w:lang w:val="en-US" w:eastAsia="zh-CN"/>
              </w:rPr>
            </w:pPr>
          </w:p>
        </w:tc>
        <w:tc>
          <w:tcPr>
            <w:tcW w:w="2228" w:type="dxa"/>
            <w:vAlign w:val="center"/>
          </w:tcPr>
          <w:p>
            <w:pPr>
              <w:bidi w:val="0"/>
              <w:rPr>
                <w:rFonts w:hint="default"/>
                <w:lang w:val="en-US" w:eastAsia="zh-CN"/>
              </w:rPr>
            </w:pPr>
          </w:p>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9" w:type="dxa"/>
            <w:vAlign w:val="center"/>
          </w:tcPr>
          <w:p>
            <w:pPr>
              <w:bidi w:val="0"/>
              <w:jc w:val="center"/>
              <w:rPr>
                <w:rFonts w:hint="default"/>
                <w:lang w:val="en-US" w:eastAsia="zh-CN"/>
              </w:rPr>
            </w:pPr>
            <w:r>
              <w:rPr>
                <w:rFonts w:hint="eastAsia"/>
                <w:lang w:val="en-US" w:eastAsia="zh-CN"/>
              </w:rPr>
              <w:t>2</w:t>
            </w:r>
          </w:p>
        </w:tc>
        <w:tc>
          <w:tcPr>
            <w:tcW w:w="1220" w:type="dxa"/>
            <w:vAlign w:val="center"/>
          </w:tcPr>
          <w:p>
            <w:pPr>
              <w:bidi w:val="0"/>
              <w:rPr>
                <w:rFonts w:hint="eastAsia"/>
                <w:lang w:val="en-US" w:eastAsia="zh-CN"/>
              </w:rPr>
            </w:pPr>
          </w:p>
        </w:tc>
        <w:tc>
          <w:tcPr>
            <w:tcW w:w="1431" w:type="dxa"/>
            <w:vAlign w:val="center"/>
          </w:tcPr>
          <w:p>
            <w:pPr>
              <w:bidi w:val="0"/>
              <w:rPr>
                <w:rFonts w:hint="eastAsia"/>
                <w:lang w:val="en-US" w:eastAsia="zh-CN"/>
              </w:rPr>
            </w:pPr>
          </w:p>
        </w:tc>
        <w:tc>
          <w:tcPr>
            <w:tcW w:w="947" w:type="dxa"/>
            <w:vAlign w:val="center"/>
          </w:tcPr>
          <w:p>
            <w:pPr>
              <w:bidi w:val="0"/>
              <w:rPr>
                <w:rFonts w:hint="eastAsia"/>
                <w:lang w:val="en-US" w:eastAsia="zh-CN"/>
              </w:rPr>
            </w:pPr>
          </w:p>
        </w:tc>
        <w:tc>
          <w:tcPr>
            <w:tcW w:w="2472" w:type="dxa"/>
            <w:vAlign w:val="center"/>
          </w:tcPr>
          <w:p>
            <w:pPr>
              <w:bidi w:val="0"/>
              <w:rPr>
                <w:rFonts w:hint="eastAsia"/>
                <w:lang w:val="en-US" w:eastAsia="zh-CN"/>
              </w:rPr>
            </w:pPr>
          </w:p>
        </w:tc>
        <w:tc>
          <w:tcPr>
            <w:tcW w:w="1381" w:type="dxa"/>
            <w:vAlign w:val="center"/>
          </w:tcPr>
          <w:p>
            <w:pPr>
              <w:bidi w:val="0"/>
              <w:rPr>
                <w:rFonts w:hint="eastAsia"/>
                <w:lang w:val="en-US" w:eastAsia="zh-CN"/>
              </w:rPr>
            </w:pPr>
          </w:p>
        </w:tc>
        <w:tc>
          <w:tcPr>
            <w:tcW w:w="2204" w:type="dxa"/>
            <w:vAlign w:val="center"/>
          </w:tcPr>
          <w:p>
            <w:pPr>
              <w:bidi w:val="0"/>
              <w:rPr>
                <w:rFonts w:hint="eastAsia"/>
                <w:lang w:val="en-US" w:eastAsia="zh-CN"/>
              </w:rPr>
            </w:pPr>
          </w:p>
        </w:tc>
        <w:tc>
          <w:tcPr>
            <w:tcW w:w="1500" w:type="dxa"/>
            <w:vAlign w:val="center"/>
          </w:tcPr>
          <w:p>
            <w:pPr>
              <w:bidi w:val="0"/>
              <w:rPr>
                <w:rFonts w:hint="eastAsia"/>
                <w:lang w:val="en-US" w:eastAsia="zh-CN"/>
              </w:rPr>
            </w:pPr>
          </w:p>
        </w:tc>
        <w:tc>
          <w:tcPr>
            <w:tcW w:w="2228" w:type="dxa"/>
            <w:vAlign w:val="center"/>
          </w:tcPr>
          <w:p>
            <w:pPr>
              <w:bidi w:val="0"/>
              <w:rPr>
                <w:rFonts w:hint="default"/>
                <w:lang w:val="en-US" w:eastAsia="zh-CN"/>
              </w:rPr>
            </w:pPr>
          </w:p>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9" w:type="dxa"/>
            <w:vAlign w:val="center"/>
          </w:tcPr>
          <w:p>
            <w:pPr>
              <w:bidi w:val="0"/>
              <w:jc w:val="center"/>
              <w:rPr>
                <w:rFonts w:hint="default"/>
                <w:lang w:val="en-US" w:eastAsia="zh-CN"/>
              </w:rPr>
            </w:pPr>
            <w:r>
              <w:rPr>
                <w:rFonts w:hint="eastAsia"/>
                <w:lang w:val="en-US" w:eastAsia="zh-CN"/>
              </w:rPr>
              <w:t>3</w:t>
            </w:r>
          </w:p>
        </w:tc>
        <w:tc>
          <w:tcPr>
            <w:tcW w:w="1220" w:type="dxa"/>
            <w:vAlign w:val="center"/>
          </w:tcPr>
          <w:p>
            <w:pPr>
              <w:bidi w:val="0"/>
              <w:rPr>
                <w:rFonts w:hint="eastAsia"/>
                <w:lang w:val="en-US" w:eastAsia="zh-CN"/>
              </w:rPr>
            </w:pPr>
          </w:p>
        </w:tc>
        <w:tc>
          <w:tcPr>
            <w:tcW w:w="1431" w:type="dxa"/>
            <w:vAlign w:val="center"/>
          </w:tcPr>
          <w:p>
            <w:pPr>
              <w:bidi w:val="0"/>
              <w:rPr>
                <w:rFonts w:hint="eastAsia"/>
                <w:lang w:val="en-US" w:eastAsia="zh-CN"/>
              </w:rPr>
            </w:pPr>
          </w:p>
        </w:tc>
        <w:tc>
          <w:tcPr>
            <w:tcW w:w="947" w:type="dxa"/>
            <w:vAlign w:val="center"/>
          </w:tcPr>
          <w:p>
            <w:pPr>
              <w:bidi w:val="0"/>
              <w:rPr>
                <w:rFonts w:hint="eastAsia"/>
                <w:lang w:val="en-US" w:eastAsia="zh-CN"/>
              </w:rPr>
            </w:pPr>
          </w:p>
        </w:tc>
        <w:tc>
          <w:tcPr>
            <w:tcW w:w="2472" w:type="dxa"/>
            <w:vAlign w:val="center"/>
          </w:tcPr>
          <w:p>
            <w:pPr>
              <w:bidi w:val="0"/>
              <w:rPr>
                <w:rFonts w:hint="eastAsia"/>
                <w:lang w:val="en-US" w:eastAsia="zh-CN"/>
              </w:rPr>
            </w:pPr>
          </w:p>
        </w:tc>
        <w:tc>
          <w:tcPr>
            <w:tcW w:w="1381" w:type="dxa"/>
            <w:vAlign w:val="center"/>
          </w:tcPr>
          <w:p>
            <w:pPr>
              <w:bidi w:val="0"/>
              <w:rPr>
                <w:rFonts w:hint="eastAsia"/>
                <w:lang w:val="en-US" w:eastAsia="zh-CN"/>
              </w:rPr>
            </w:pPr>
          </w:p>
        </w:tc>
        <w:tc>
          <w:tcPr>
            <w:tcW w:w="2204" w:type="dxa"/>
            <w:vAlign w:val="center"/>
          </w:tcPr>
          <w:p>
            <w:pPr>
              <w:bidi w:val="0"/>
              <w:rPr>
                <w:rFonts w:hint="eastAsia"/>
                <w:lang w:val="en-US" w:eastAsia="zh-CN"/>
              </w:rPr>
            </w:pPr>
          </w:p>
        </w:tc>
        <w:tc>
          <w:tcPr>
            <w:tcW w:w="1500" w:type="dxa"/>
            <w:vAlign w:val="center"/>
          </w:tcPr>
          <w:p>
            <w:pPr>
              <w:bidi w:val="0"/>
              <w:rPr>
                <w:rFonts w:hint="eastAsia"/>
                <w:lang w:val="en-US" w:eastAsia="zh-CN"/>
              </w:rPr>
            </w:pPr>
          </w:p>
        </w:tc>
        <w:tc>
          <w:tcPr>
            <w:tcW w:w="2228" w:type="dxa"/>
            <w:vAlign w:val="center"/>
          </w:tcPr>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9" w:type="dxa"/>
            <w:vAlign w:val="center"/>
          </w:tcPr>
          <w:p>
            <w:pPr>
              <w:bidi w:val="0"/>
              <w:jc w:val="center"/>
              <w:rPr>
                <w:rFonts w:hint="default"/>
                <w:lang w:val="en-US" w:eastAsia="zh-CN"/>
              </w:rPr>
            </w:pPr>
            <w:r>
              <w:rPr>
                <w:rFonts w:hint="eastAsia"/>
                <w:lang w:val="en-US" w:eastAsia="zh-CN"/>
              </w:rPr>
              <w:t>4</w:t>
            </w:r>
          </w:p>
        </w:tc>
        <w:tc>
          <w:tcPr>
            <w:tcW w:w="1220" w:type="dxa"/>
            <w:vAlign w:val="center"/>
          </w:tcPr>
          <w:p>
            <w:pPr>
              <w:bidi w:val="0"/>
              <w:rPr>
                <w:rFonts w:hint="eastAsia"/>
                <w:lang w:val="en-US" w:eastAsia="zh-CN"/>
              </w:rPr>
            </w:pPr>
          </w:p>
        </w:tc>
        <w:tc>
          <w:tcPr>
            <w:tcW w:w="1431" w:type="dxa"/>
            <w:vAlign w:val="center"/>
          </w:tcPr>
          <w:p>
            <w:pPr>
              <w:bidi w:val="0"/>
              <w:rPr>
                <w:rFonts w:hint="eastAsia"/>
                <w:lang w:val="en-US" w:eastAsia="zh-CN"/>
              </w:rPr>
            </w:pPr>
          </w:p>
        </w:tc>
        <w:tc>
          <w:tcPr>
            <w:tcW w:w="947" w:type="dxa"/>
            <w:vAlign w:val="center"/>
          </w:tcPr>
          <w:p>
            <w:pPr>
              <w:bidi w:val="0"/>
              <w:rPr>
                <w:rFonts w:hint="eastAsia"/>
                <w:lang w:val="en-US" w:eastAsia="zh-CN"/>
              </w:rPr>
            </w:pPr>
          </w:p>
        </w:tc>
        <w:tc>
          <w:tcPr>
            <w:tcW w:w="2472" w:type="dxa"/>
            <w:vAlign w:val="center"/>
          </w:tcPr>
          <w:p>
            <w:pPr>
              <w:bidi w:val="0"/>
              <w:rPr>
                <w:rFonts w:hint="eastAsia"/>
                <w:lang w:val="en-US" w:eastAsia="zh-CN"/>
              </w:rPr>
            </w:pPr>
          </w:p>
        </w:tc>
        <w:tc>
          <w:tcPr>
            <w:tcW w:w="1381" w:type="dxa"/>
            <w:vAlign w:val="center"/>
          </w:tcPr>
          <w:p>
            <w:pPr>
              <w:bidi w:val="0"/>
              <w:rPr>
                <w:rFonts w:hint="eastAsia"/>
                <w:lang w:val="en-US" w:eastAsia="zh-CN"/>
              </w:rPr>
            </w:pPr>
          </w:p>
        </w:tc>
        <w:tc>
          <w:tcPr>
            <w:tcW w:w="2204" w:type="dxa"/>
            <w:vAlign w:val="center"/>
          </w:tcPr>
          <w:p>
            <w:pPr>
              <w:bidi w:val="0"/>
              <w:rPr>
                <w:rFonts w:hint="eastAsia"/>
                <w:lang w:val="en-US" w:eastAsia="zh-CN"/>
              </w:rPr>
            </w:pPr>
          </w:p>
        </w:tc>
        <w:tc>
          <w:tcPr>
            <w:tcW w:w="1500" w:type="dxa"/>
            <w:vAlign w:val="center"/>
          </w:tcPr>
          <w:p>
            <w:pPr>
              <w:bidi w:val="0"/>
              <w:rPr>
                <w:rFonts w:hint="eastAsia"/>
                <w:lang w:val="en-US" w:eastAsia="zh-CN"/>
              </w:rPr>
            </w:pPr>
          </w:p>
        </w:tc>
        <w:tc>
          <w:tcPr>
            <w:tcW w:w="2228" w:type="dxa"/>
            <w:vAlign w:val="center"/>
          </w:tcPr>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9" w:type="dxa"/>
            <w:vAlign w:val="center"/>
          </w:tcPr>
          <w:p>
            <w:pPr>
              <w:bidi w:val="0"/>
              <w:jc w:val="center"/>
              <w:rPr>
                <w:rFonts w:hint="default"/>
                <w:lang w:val="en-US" w:eastAsia="zh-CN"/>
              </w:rPr>
            </w:pPr>
            <w:r>
              <w:rPr>
                <w:rFonts w:hint="eastAsia"/>
                <w:lang w:val="en-US" w:eastAsia="zh-CN"/>
              </w:rPr>
              <w:t>5</w:t>
            </w:r>
          </w:p>
        </w:tc>
        <w:tc>
          <w:tcPr>
            <w:tcW w:w="1220" w:type="dxa"/>
            <w:vAlign w:val="center"/>
          </w:tcPr>
          <w:p>
            <w:pPr>
              <w:bidi w:val="0"/>
              <w:rPr>
                <w:rFonts w:hint="eastAsia"/>
                <w:lang w:val="en-US" w:eastAsia="zh-CN"/>
              </w:rPr>
            </w:pPr>
          </w:p>
        </w:tc>
        <w:tc>
          <w:tcPr>
            <w:tcW w:w="1431" w:type="dxa"/>
            <w:vAlign w:val="center"/>
          </w:tcPr>
          <w:p>
            <w:pPr>
              <w:bidi w:val="0"/>
              <w:rPr>
                <w:rFonts w:hint="eastAsia"/>
                <w:lang w:val="en-US" w:eastAsia="zh-CN"/>
              </w:rPr>
            </w:pPr>
          </w:p>
        </w:tc>
        <w:tc>
          <w:tcPr>
            <w:tcW w:w="947" w:type="dxa"/>
            <w:vAlign w:val="center"/>
          </w:tcPr>
          <w:p>
            <w:pPr>
              <w:bidi w:val="0"/>
              <w:rPr>
                <w:rFonts w:hint="eastAsia"/>
                <w:lang w:val="en-US" w:eastAsia="zh-CN"/>
              </w:rPr>
            </w:pPr>
          </w:p>
        </w:tc>
        <w:tc>
          <w:tcPr>
            <w:tcW w:w="2472" w:type="dxa"/>
            <w:vAlign w:val="center"/>
          </w:tcPr>
          <w:p>
            <w:pPr>
              <w:bidi w:val="0"/>
              <w:rPr>
                <w:rFonts w:hint="eastAsia"/>
                <w:lang w:val="en-US" w:eastAsia="zh-CN"/>
              </w:rPr>
            </w:pPr>
          </w:p>
        </w:tc>
        <w:tc>
          <w:tcPr>
            <w:tcW w:w="1381" w:type="dxa"/>
            <w:vAlign w:val="center"/>
          </w:tcPr>
          <w:p>
            <w:pPr>
              <w:bidi w:val="0"/>
              <w:rPr>
                <w:rFonts w:hint="eastAsia"/>
                <w:lang w:val="en-US" w:eastAsia="zh-CN"/>
              </w:rPr>
            </w:pPr>
          </w:p>
        </w:tc>
        <w:tc>
          <w:tcPr>
            <w:tcW w:w="2204" w:type="dxa"/>
            <w:vAlign w:val="center"/>
          </w:tcPr>
          <w:p>
            <w:pPr>
              <w:bidi w:val="0"/>
              <w:rPr>
                <w:rFonts w:hint="eastAsia"/>
                <w:lang w:val="en-US" w:eastAsia="zh-CN"/>
              </w:rPr>
            </w:pPr>
          </w:p>
        </w:tc>
        <w:tc>
          <w:tcPr>
            <w:tcW w:w="1500" w:type="dxa"/>
            <w:vAlign w:val="center"/>
          </w:tcPr>
          <w:p>
            <w:pPr>
              <w:bidi w:val="0"/>
              <w:rPr>
                <w:rFonts w:hint="eastAsia"/>
                <w:lang w:val="en-US" w:eastAsia="zh-CN"/>
              </w:rPr>
            </w:pPr>
          </w:p>
        </w:tc>
        <w:tc>
          <w:tcPr>
            <w:tcW w:w="2228" w:type="dxa"/>
            <w:vAlign w:val="center"/>
          </w:tcPr>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9" w:type="dxa"/>
            <w:vAlign w:val="center"/>
          </w:tcPr>
          <w:p>
            <w:pPr>
              <w:bidi w:val="0"/>
              <w:jc w:val="center"/>
              <w:rPr>
                <w:rFonts w:hint="default"/>
                <w:lang w:val="en-US" w:eastAsia="zh-CN"/>
              </w:rPr>
            </w:pPr>
            <w:r>
              <w:rPr>
                <w:rFonts w:hint="eastAsia"/>
                <w:lang w:val="en-US" w:eastAsia="zh-CN"/>
              </w:rPr>
              <w:t>...</w:t>
            </w:r>
          </w:p>
        </w:tc>
        <w:tc>
          <w:tcPr>
            <w:tcW w:w="1220" w:type="dxa"/>
            <w:vAlign w:val="center"/>
          </w:tcPr>
          <w:p>
            <w:pPr>
              <w:bidi w:val="0"/>
              <w:rPr>
                <w:rFonts w:hint="eastAsia"/>
                <w:lang w:val="en-US" w:eastAsia="zh-CN"/>
              </w:rPr>
            </w:pPr>
          </w:p>
        </w:tc>
        <w:tc>
          <w:tcPr>
            <w:tcW w:w="1431" w:type="dxa"/>
            <w:vAlign w:val="center"/>
          </w:tcPr>
          <w:p>
            <w:pPr>
              <w:bidi w:val="0"/>
              <w:rPr>
                <w:rFonts w:hint="eastAsia"/>
                <w:lang w:val="en-US" w:eastAsia="zh-CN"/>
              </w:rPr>
            </w:pPr>
          </w:p>
        </w:tc>
        <w:tc>
          <w:tcPr>
            <w:tcW w:w="947" w:type="dxa"/>
            <w:vAlign w:val="center"/>
          </w:tcPr>
          <w:p>
            <w:pPr>
              <w:bidi w:val="0"/>
              <w:rPr>
                <w:rFonts w:hint="eastAsia"/>
                <w:lang w:val="en-US" w:eastAsia="zh-CN"/>
              </w:rPr>
            </w:pPr>
          </w:p>
        </w:tc>
        <w:tc>
          <w:tcPr>
            <w:tcW w:w="2472" w:type="dxa"/>
            <w:vAlign w:val="center"/>
          </w:tcPr>
          <w:p>
            <w:pPr>
              <w:bidi w:val="0"/>
              <w:rPr>
                <w:rFonts w:hint="eastAsia"/>
                <w:lang w:val="en-US" w:eastAsia="zh-CN"/>
              </w:rPr>
            </w:pPr>
          </w:p>
        </w:tc>
        <w:tc>
          <w:tcPr>
            <w:tcW w:w="1381" w:type="dxa"/>
            <w:vAlign w:val="center"/>
          </w:tcPr>
          <w:p>
            <w:pPr>
              <w:bidi w:val="0"/>
              <w:rPr>
                <w:rFonts w:hint="eastAsia"/>
                <w:lang w:val="en-US" w:eastAsia="zh-CN"/>
              </w:rPr>
            </w:pPr>
          </w:p>
        </w:tc>
        <w:tc>
          <w:tcPr>
            <w:tcW w:w="2204" w:type="dxa"/>
            <w:vAlign w:val="center"/>
          </w:tcPr>
          <w:p>
            <w:pPr>
              <w:bidi w:val="0"/>
              <w:rPr>
                <w:rFonts w:hint="eastAsia"/>
                <w:lang w:val="en-US" w:eastAsia="zh-CN"/>
              </w:rPr>
            </w:pPr>
          </w:p>
        </w:tc>
        <w:tc>
          <w:tcPr>
            <w:tcW w:w="1500" w:type="dxa"/>
            <w:vAlign w:val="center"/>
          </w:tcPr>
          <w:p>
            <w:pPr>
              <w:bidi w:val="0"/>
              <w:rPr>
                <w:rFonts w:hint="eastAsia"/>
                <w:lang w:val="en-US" w:eastAsia="zh-CN"/>
              </w:rPr>
            </w:pPr>
          </w:p>
        </w:tc>
        <w:tc>
          <w:tcPr>
            <w:tcW w:w="2228" w:type="dxa"/>
            <w:vAlign w:val="center"/>
          </w:tcPr>
          <w:p>
            <w:pPr>
              <w:bidi w:val="0"/>
              <w:rPr>
                <w:rFonts w:hint="default"/>
                <w:lang w:val="en-US" w:eastAsia="zh-CN"/>
              </w:rPr>
            </w:pPr>
          </w:p>
        </w:tc>
      </w:tr>
    </w:tbl>
    <w:p>
      <w:pPr>
        <w:bidi w:val="0"/>
        <w:rPr>
          <w:rFonts w:hint="eastAsia"/>
          <w:sz w:val="24"/>
          <w:szCs w:val="32"/>
          <w:lang w:eastAsia="zh-CN"/>
        </w:rPr>
      </w:pPr>
    </w:p>
    <w:p>
      <w:pPr>
        <w:bidi w:val="0"/>
        <w:rPr>
          <w:rFonts w:hint="default"/>
          <w:sz w:val="24"/>
          <w:szCs w:val="32"/>
          <w:lang w:val="en-US" w:eastAsia="zh-CN"/>
        </w:rPr>
      </w:pPr>
      <w:r>
        <w:rPr>
          <w:rFonts w:hint="eastAsia"/>
          <w:sz w:val="24"/>
          <w:szCs w:val="32"/>
          <w:lang w:eastAsia="zh-CN"/>
        </w:rPr>
        <w:t>填报单位（公章）：</w:t>
      </w:r>
      <w:r>
        <w:rPr>
          <w:rFonts w:hint="eastAsia"/>
          <w:sz w:val="24"/>
          <w:szCs w:val="32"/>
          <w:lang w:val="en-US" w:eastAsia="zh-CN"/>
        </w:rPr>
        <w:t xml:space="preserve">                                                                  填报时间：  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bidi w:val="0"/>
        <w:rPr>
          <w:rFonts w:hint="eastAsia"/>
          <w:sz w:val="24"/>
          <w:szCs w:val="32"/>
          <w:lang w:val="en-US" w:eastAsia="zh-CN"/>
        </w:rPr>
      </w:pPr>
      <w:r>
        <w:rPr>
          <w:rFonts w:hint="eastAsia"/>
          <w:sz w:val="24"/>
          <w:szCs w:val="32"/>
          <w:lang w:val="en-US" w:eastAsia="zh-CN"/>
        </w:rPr>
        <w:t>备注：收费标准栏只填写计时、计次收费形式及免费时长，如有计月收费按照（#元/车.月）一并填报。统计表加盖公章后扫描PDF版，连同电子版发送至</w:t>
      </w:r>
      <w:r>
        <w:rPr>
          <w:rFonts w:hint="eastAsia"/>
          <w:sz w:val="24"/>
          <w:szCs w:val="32"/>
          <w:lang w:eastAsia="zh-CN"/>
        </w:rPr>
        <w:fldChar w:fldCharType="begin"/>
      </w:r>
      <w:r>
        <w:rPr>
          <w:rFonts w:hint="eastAsia"/>
          <w:sz w:val="24"/>
          <w:szCs w:val="32"/>
          <w:lang w:eastAsia="zh-CN"/>
        </w:rPr>
        <w:instrText xml:space="preserve"> HYPERLINK "mailto:zdqfgjjgglk@zb.shandong.cn" </w:instrText>
      </w:r>
      <w:r>
        <w:rPr>
          <w:rFonts w:hint="eastAsia"/>
          <w:sz w:val="24"/>
          <w:szCs w:val="32"/>
          <w:lang w:eastAsia="zh-CN"/>
        </w:rPr>
        <w:fldChar w:fldCharType="separate"/>
      </w:r>
      <w:r>
        <w:rPr>
          <w:rFonts w:hint="eastAsia"/>
          <w:sz w:val="24"/>
          <w:szCs w:val="32"/>
          <w:lang w:eastAsia="zh-CN"/>
        </w:rPr>
        <w:t>zdqfgjjgglk@zb.shandong.cn</w:t>
      </w:r>
      <w:r>
        <w:rPr>
          <w:rFonts w:hint="eastAsia"/>
          <w:sz w:val="24"/>
          <w:szCs w:val="32"/>
          <w:lang w:eastAsia="zh-CN"/>
        </w:rPr>
        <w:fldChar w:fldCharType="end"/>
      </w:r>
      <w:r>
        <w:rPr>
          <w:rFonts w:hint="eastAsia"/>
          <w:sz w:val="24"/>
          <w:szCs w:val="32"/>
          <w:lang w:eastAsia="zh-CN"/>
        </w:rPr>
        <w:t>。</w:t>
      </w:r>
    </w:p>
    <w:sectPr>
      <w:pgSz w:w="16838" w:h="11906" w:orient="landscape"/>
      <w:pgMar w:top="1531" w:right="2098" w:bottom="1531"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ZTZiM2NiMmYxZTdiY2M5ZDM0ZTllMDY4ZjRkMzUifQ=="/>
  </w:docVars>
  <w:rsids>
    <w:rsidRoot w:val="198368CF"/>
    <w:rsid w:val="03B939BC"/>
    <w:rsid w:val="04B22060"/>
    <w:rsid w:val="18B22FDF"/>
    <w:rsid w:val="198368CF"/>
    <w:rsid w:val="1E03425B"/>
    <w:rsid w:val="1E690E12"/>
    <w:rsid w:val="262C1563"/>
    <w:rsid w:val="2A625CEE"/>
    <w:rsid w:val="32161AEA"/>
    <w:rsid w:val="45D466E2"/>
    <w:rsid w:val="49285327"/>
    <w:rsid w:val="592310BA"/>
    <w:rsid w:val="5A7D2CAB"/>
    <w:rsid w:val="65926A60"/>
    <w:rsid w:val="71637E31"/>
    <w:rsid w:val="7238601A"/>
    <w:rsid w:val="737735BA"/>
    <w:rsid w:val="77FD6A28"/>
    <w:rsid w:val="7FA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2044</Words>
  <Characters>2113</Characters>
  <Lines>0</Lines>
  <Paragraphs>0</Paragraphs>
  <TotalTime>35</TotalTime>
  <ScaleCrop>false</ScaleCrop>
  <LinksUpToDate>false</LinksUpToDate>
  <CharactersWithSpaces>2282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2022-06-30T01:56:00Z</dcterms:created>
  <dc:creator>vi wi</dc:creator>
  <cp:lastModifiedBy>vi wi</cp:lastModifiedBy>
  <cp:lastPrinted>2022-07-07T03:45:00Z</cp:lastPrinted>
  <dcterms:modified xsi:type="dcterms:W3CDTF">2022-07-07T03:49:26Z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507C67099FEB4772B788B9AC65CBA0A0</vt:lpwstr>
  </property>
</Properties>
</file>