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方正小标宋简体" w:hAnsi="方正小标宋简体" w:eastAsia="方正小标宋简体" w:cs="方正小标宋简体"/>
          <w:lang w:val="en-US" w:eastAsia="zh-CN"/>
        </w:rPr>
      </w:pPr>
      <w:bookmarkStart w:id="0" w:name="_GoBack"/>
      <w:r>
        <w:rPr>
          <w:rFonts w:hint="eastAsia" w:ascii="方正小标宋简体" w:hAnsi="方正小标宋简体" w:eastAsia="方正小标宋简体" w:cs="方正小标宋简体"/>
          <w:lang w:val="en-US" w:eastAsia="zh-CN"/>
        </w:rPr>
        <w:t>【十八届人民政府第三十次常务会议议定事项】关于粮食安全责任制落实情况的解读</w:t>
      </w:r>
    </w:p>
    <w:bookmarkEnd w:id="0"/>
    <w:p>
      <w:pPr>
        <w:rPr>
          <w:rFonts w:hint="eastAsia"/>
          <w:lang w:val="en-US" w:eastAsia="zh-CN"/>
        </w:rPr>
      </w:pPr>
    </w:p>
    <w:p>
      <w:pPr>
        <w:pStyle w:val="3"/>
        <w:bidi w:val="0"/>
        <w:rPr>
          <w:rFonts w:hint="eastAsia"/>
          <w:lang w:val="en-US" w:eastAsia="zh-CN"/>
        </w:rPr>
      </w:pPr>
      <w:r>
        <w:rPr>
          <w:rFonts w:hint="eastAsia"/>
          <w:lang w:val="en-US" w:eastAsia="zh-CN"/>
        </w:rPr>
        <w:t>一、政策背景</w:t>
      </w:r>
    </w:p>
    <w:p>
      <w:pPr>
        <w:bidi w:val="0"/>
        <w:rPr>
          <w:rFonts w:hint="eastAsia"/>
          <w:lang w:val="en-US" w:eastAsia="zh-CN"/>
        </w:rPr>
      </w:pPr>
      <w:r>
        <w:rPr>
          <w:rFonts w:hint="eastAsia"/>
          <w:lang w:val="en-US" w:eastAsia="zh-CN"/>
        </w:rPr>
        <w:t>2023年是全面贯彻落实党的二十大精神的开局之年。以习近平同志为核心的党中央高度重视粮食和物资储备工作，“大国储备”和“天下粮仓”制度政策更加完善，粮食和物资储备治理能力提升、作用彰显。全国粮食和物资储备系统坚持以习近平新时代中国特色社会主义思想为指导，深入贯彻落实党的二十大精神和中央经济工作会议、中央农村工作会议精神，坚决扛稳保障粮食和物资储备安全政治责任，认真落实管党治党责任、推动全面从严治党向纵深发展，着力强化“产购储加销”协同、粮食安全保障水平不断提升，扎实做好设施建设和收储轮换、国家储备物质基础更加坚实，推进立法改革和“两项考核”、管粮管储机制进一步健全完善，为维护经济发展和社会大局稳定发挥了积极作用。</w:t>
      </w:r>
    </w:p>
    <w:p>
      <w:pPr>
        <w:pStyle w:val="3"/>
        <w:bidi w:val="0"/>
        <w:rPr>
          <w:rFonts w:hint="eastAsia"/>
          <w:lang w:val="en-US" w:eastAsia="zh-CN"/>
        </w:rPr>
      </w:pPr>
      <w:r>
        <w:rPr>
          <w:rFonts w:hint="eastAsia"/>
          <w:lang w:val="en-US" w:eastAsia="zh-CN"/>
        </w:rPr>
        <w:t>二、决策依据</w:t>
      </w:r>
    </w:p>
    <w:p>
      <w:pPr>
        <w:bidi w:val="0"/>
        <w:rPr>
          <w:rFonts w:hint="eastAsia"/>
          <w:lang w:val="en-US" w:eastAsia="zh-CN"/>
        </w:rPr>
      </w:pPr>
      <w:r>
        <w:rPr>
          <w:rFonts w:hint="eastAsia"/>
          <w:lang w:val="en-US" w:eastAsia="zh-CN"/>
        </w:rPr>
        <w:t>《粮食流通管理条例》、省、市耕地保护和粮食安全工作组相关工作要求，落实粮食安全党政同责，完善粮食安全省长责任制，承担保障本行政区域粮食安全的主体责任。</w:t>
      </w:r>
    </w:p>
    <w:p>
      <w:pPr>
        <w:pStyle w:val="3"/>
        <w:bidi w:val="0"/>
        <w:rPr>
          <w:rFonts w:hint="eastAsia"/>
          <w:lang w:val="en-US" w:eastAsia="zh-CN"/>
        </w:rPr>
      </w:pPr>
      <w:r>
        <w:rPr>
          <w:rFonts w:hint="eastAsia"/>
          <w:lang w:val="en-US" w:eastAsia="zh-CN"/>
        </w:rPr>
        <w:t>三、重要举措</w:t>
      </w:r>
    </w:p>
    <w:p>
      <w:pPr>
        <w:pStyle w:val="5"/>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auto"/>
        <w:rPr>
          <w:rFonts w:hint="eastAsia" w:ascii="Times New Roman" w:hAnsi="Times New Roman"/>
          <w:b w:val="0"/>
          <w:bCs w:val="0"/>
          <w:snapToGrid w:val="0"/>
          <w:kern w:val="0"/>
          <w:sz w:val="32"/>
          <w:lang w:val="en-US" w:eastAsia="zh-CN"/>
        </w:rPr>
      </w:pPr>
      <w:r>
        <w:rPr>
          <w:rFonts w:hint="eastAsia"/>
          <w:lang w:val="en-US" w:eastAsia="zh-CN"/>
        </w:rPr>
        <w:t>一是涵养政治生态，筑牢粮食安全思想根基。持续加强党对粮食工作领导，</w:t>
      </w:r>
      <w:r>
        <w:rPr>
          <w:rFonts w:hint="eastAsia" w:ascii="Times New Roman" w:hAnsi="Times New Roman"/>
          <w:b w:val="0"/>
          <w:bCs w:val="0"/>
          <w:snapToGrid w:val="0"/>
          <w:color w:val="auto"/>
          <w:kern w:val="0"/>
          <w:sz w:val="32"/>
          <w:lang w:val="en-US" w:eastAsia="zh-CN"/>
        </w:rPr>
        <w:t>区委区政府落实党政同责，</w:t>
      </w:r>
      <w:r>
        <w:rPr>
          <w:rFonts w:hint="eastAsia" w:ascii="Times New Roman" w:hAnsi="Times New Roman"/>
          <w:b w:val="0"/>
          <w:bCs w:val="0"/>
          <w:snapToGrid w:val="0"/>
          <w:kern w:val="0"/>
          <w:sz w:val="32"/>
          <w:lang w:val="en-US" w:eastAsia="zh-CN"/>
        </w:rPr>
        <w:t>深化粮食购销领域腐败问题专项整治，开展“以案示警教育月”活动和“严监管强执法重处罚行动年”活动，以六大提升行动推动粮食购销行为规范化。按照</w:t>
      </w:r>
      <w:r>
        <w:rPr>
          <w:rFonts w:hint="eastAsia" w:ascii="Times New Roman" w:hAnsi="Times New Roman"/>
          <w:b w:val="0"/>
          <w:bCs w:val="0"/>
          <w:snapToGrid w:val="0"/>
          <w:kern w:val="0"/>
          <w:sz w:val="32"/>
        </w:rPr>
        <w:t>“三提三争”</w:t>
      </w:r>
      <w:r>
        <w:rPr>
          <w:rFonts w:hint="eastAsia" w:ascii="Times New Roman" w:hAnsi="Times New Roman"/>
          <w:b w:val="0"/>
          <w:bCs w:val="0"/>
          <w:snapToGrid w:val="0"/>
          <w:kern w:val="0"/>
          <w:sz w:val="32"/>
          <w:lang w:val="en-US" w:eastAsia="zh-CN"/>
        </w:rPr>
        <w:t>工作要求，精准服务企业，开展夏粮收购业务培训，保障全区2023年度夏粮收购任务圆满完成。</w:t>
      </w:r>
    </w:p>
    <w:p>
      <w:pPr>
        <w:keepNext w:val="0"/>
        <w:keepLines w:val="0"/>
        <w:pageBreakBefore w:val="0"/>
        <w:widowControl w:val="0"/>
        <w:kinsoku/>
        <w:wordWrap/>
        <w:overflowPunct/>
        <w:topLinePunct w:val="0"/>
        <w:autoSpaceDE/>
        <w:autoSpaceDN/>
        <w:bidi w:val="0"/>
        <w:adjustRightInd w:val="0"/>
        <w:snapToGrid w:val="0"/>
        <w:spacing w:line="540" w:lineRule="exact"/>
        <w:jc w:val="both"/>
        <w:textAlignment w:val="auto"/>
        <w:rPr>
          <w:rFonts w:hint="eastAsia" w:ascii="Times New Roman" w:hAnsi="Times New Roman"/>
          <w:b w:val="0"/>
          <w:bCs w:val="0"/>
          <w:snapToGrid w:val="0"/>
          <w:color w:val="000000"/>
          <w:kern w:val="0"/>
          <w:sz w:val="32"/>
          <w:lang w:val="en-US" w:eastAsia="zh-CN"/>
        </w:rPr>
      </w:pPr>
      <w:r>
        <w:rPr>
          <w:rFonts w:hint="eastAsia" w:ascii="Times New Roman" w:hAnsi="Times New Roman"/>
          <w:b w:val="0"/>
          <w:bCs w:val="0"/>
          <w:snapToGrid w:val="0"/>
          <w:kern w:val="0"/>
          <w:sz w:val="32"/>
          <w:lang w:val="en-US" w:eastAsia="zh-CN"/>
        </w:rPr>
        <w:t>二是加强制度管粮管储，坚决守住粮食安全底线。开展</w:t>
      </w:r>
      <w:r>
        <w:rPr>
          <w:rFonts w:hint="eastAsia" w:ascii="Times New Roman" w:hAnsi="Times New Roman"/>
          <w:b w:val="0"/>
          <w:bCs w:val="0"/>
          <w:snapToGrid w:val="0"/>
          <w:kern w:val="0"/>
          <w:sz w:val="32"/>
        </w:rPr>
        <w:t>粮油安全普查</w:t>
      </w:r>
      <w:r>
        <w:rPr>
          <w:rFonts w:hint="eastAsia" w:ascii="Times New Roman" w:hAnsi="Times New Roman"/>
          <w:b w:val="0"/>
          <w:bCs w:val="0"/>
          <w:snapToGrid w:val="0"/>
          <w:kern w:val="0"/>
          <w:sz w:val="32"/>
          <w:lang w:val="en-US" w:eastAsia="zh-CN"/>
        </w:rPr>
        <w:t>行动，督导粮储企业落实</w:t>
      </w:r>
      <w:r>
        <w:rPr>
          <w:rFonts w:hint="eastAsia" w:ascii="Times New Roman" w:hAnsi="Times New Roman"/>
          <w:b w:val="0"/>
          <w:bCs w:val="0"/>
          <w:snapToGrid w:val="0"/>
          <w:kern w:val="0"/>
          <w:sz w:val="32"/>
        </w:rPr>
        <w:t>“一规定、两守则”</w:t>
      </w:r>
      <w:r>
        <w:rPr>
          <w:rFonts w:hint="eastAsia" w:ascii="Times New Roman" w:hAnsi="Times New Roman"/>
          <w:b w:val="0"/>
          <w:bCs w:val="0"/>
          <w:snapToGrid w:val="0"/>
          <w:kern w:val="0"/>
          <w:sz w:val="32"/>
          <w:lang w:val="en-US" w:eastAsia="zh-CN"/>
        </w:rPr>
        <w:t>和粮情巡查制度</w:t>
      </w:r>
      <w:r>
        <w:rPr>
          <w:rFonts w:hint="eastAsia" w:ascii="Times New Roman" w:hAnsi="Times New Roman"/>
          <w:b w:val="0"/>
          <w:bCs w:val="0"/>
          <w:snapToGrid w:val="0"/>
          <w:kern w:val="0"/>
          <w:sz w:val="32"/>
        </w:rPr>
        <w:t>，</w:t>
      </w:r>
      <w:r>
        <w:rPr>
          <w:rFonts w:hint="eastAsia" w:ascii="Times New Roman" w:hAnsi="Times New Roman"/>
          <w:b w:val="0"/>
          <w:bCs w:val="0"/>
          <w:snapToGrid w:val="0"/>
          <w:kern w:val="0"/>
          <w:sz w:val="32"/>
          <w:lang w:val="en-US" w:eastAsia="zh-CN"/>
        </w:rPr>
        <w:t>做到</w:t>
      </w:r>
      <w:r>
        <w:rPr>
          <w:rFonts w:hint="eastAsia" w:ascii="Times New Roman" w:hAnsi="Times New Roman"/>
          <w:b w:val="0"/>
          <w:bCs w:val="0"/>
          <w:snapToGrid w:val="0"/>
          <w:kern w:val="0"/>
          <w:sz w:val="32"/>
        </w:rPr>
        <w:t>无异常粮情</w:t>
      </w:r>
      <w:r>
        <w:rPr>
          <w:rFonts w:hint="eastAsia" w:ascii="Times New Roman" w:hAnsi="Times New Roman"/>
          <w:b w:val="0"/>
          <w:bCs w:val="0"/>
          <w:snapToGrid w:val="0"/>
          <w:kern w:val="0"/>
          <w:sz w:val="32"/>
          <w:lang w:eastAsia="zh-CN"/>
        </w:rPr>
        <w:t>，</w:t>
      </w:r>
      <w:r>
        <w:rPr>
          <w:rFonts w:hint="eastAsia" w:ascii="Times New Roman" w:hAnsi="Times New Roman"/>
          <w:b w:val="0"/>
          <w:bCs w:val="0"/>
          <w:snapToGrid w:val="0"/>
          <w:kern w:val="0"/>
          <w:sz w:val="32"/>
          <w:lang w:val="en-US" w:eastAsia="zh-CN"/>
        </w:rPr>
        <w:t>储粮设施完好。</w:t>
      </w:r>
      <w:r>
        <w:rPr>
          <w:rFonts w:hint="eastAsia" w:ascii="Times New Roman" w:hAnsi="Times New Roman"/>
          <w:b w:val="0"/>
          <w:bCs w:val="0"/>
          <w:snapToGrid w:val="0"/>
          <w:color w:val="auto"/>
          <w:kern w:val="0"/>
          <w:sz w:val="32"/>
          <w:lang w:val="en-US" w:eastAsia="zh-CN"/>
        </w:rPr>
        <w:t>充分运用“智慧粮库”建设成果，落实</w:t>
      </w:r>
      <w:r>
        <w:rPr>
          <w:rFonts w:hint="eastAsia"/>
          <w:b w:val="0"/>
          <w:bCs w:val="0"/>
          <w:snapToGrid w:val="0"/>
          <w:color w:val="auto"/>
          <w:kern w:val="0"/>
          <w:sz w:val="32"/>
          <w:lang w:val="en-US" w:eastAsia="zh-CN"/>
        </w:rPr>
        <w:t>“</w:t>
      </w:r>
      <w:r>
        <w:rPr>
          <w:rFonts w:hint="eastAsia" w:ascii="Times New Roman" w:hAnsi="Times New Roman"/>
          <w:b w:val="0"/>
          <w:bCs w:val="0"/>
          <w:snapToGrid w:val="0"/>
          <w:color w:val="auto"/>
          <w:kern w:val="0"/>
          <w:sz w:val="32"/>
          <w:lang w:val="en-US" w:eastAsia="zh-CN"/>
        </w:rPr>
        <w:t>一整两通</w:t>
      </w:r>
      <w:r>
        <w:rPr>
          <w:rFonts w:hint="eastAsia"/>
          <w:b w:val="0"/>
          <w:bCs w:val="0"/>
          <w:snapToGrid w:val="0"/>
          <w:color w:val="auto"/>
          <w:kern w:val="0"/>
          <w:sz w:val="32"/>
          <w:lang w:val="en-US" w:eastAsia="zh-CN"/>
        </w:rPr>
        <w:t>”</w:t>
      </w:r>
      <w:r>
        <w:rPr>
          <w:rFonts w:hint="eastAsia" w:ascii="Times New Roman" w:hAnsi="Times New Roman"/>
          <w:b w:val="0"/>
          <w:bCs w:val="0"/>
          <w:snapToGrid w:val="0"/>
          <w:color w:val="auto"/>
          <w:kern w:val="0"/>
          <w:sz w:val="32"/>
          <w:lang w:val="en-US" w:eastAsia="zh-CN"/>
        </w:rPr>
        <w:t>动态监管制度，实现省、市、区对地方储备粮购销全过程监管。</w:t>
      </w:r>
      <w:r>
        <w:rPr>
          <w:rFonts w:hint="eastAsia" w:ascii="Times New Roman" w:hAnsi="Times New Roman"/>
          <w:b w:val="0"/>
          <w:bCs w:val="0"/>
          <w:snapToGrid w:val="0"/>
          <w:color w:val="000000"/>
          <w:kern w:val="0"/>
          <w:sz w:val="32"/>
          <w:lang w:val="en-US" w:eastAsia="zh-CN"/>
        </w:rPr>
        <w:t>完成全区9家应急供应网点提升改造，进一步提高粮食领域突发公共事件处置能力。</w:t>
      </w:r>
    </w:p>
    <w:p>
      <w:pPr>
        <w:keepNext w:val="0"/>
        <w:keepLines w:val="0"/>
        <w:pageBreakBefore w:val="0"/>
        <w:widowControl w:val="0"/>
        <w:kinsoku/>
        <w:wordWrap/>
        <w:overflowPunct/>
        <w:topLinePunct w:val="0"/>
        <w:autoSpaceDE/>
        <w:autoSpaceDN/>
        <w:bidi w:val="0"/>
        <w:adjustRightInd w:val="0"/>
        <w:snapToGrid w:val="0"/>
        <w:spacing w:line="540" w:lineRule="exact"/>
        <w:jc w:val="both"/>
        <w:textAlignment w:val="auto"/>
        <w:rPr>
          <w:rFonts w:hint="default" w:ascii="Times New Roman" w:hAnsi="Times New Roman" w:eastAsia="仿宋_GB2312" w:cs="仿宋_GB2312"/>
          <w:i w:val="0"/>
          <w:iCs w:val="0"/>
          <w:caps w:val="0"/>
          <w:snapToGrid w:val="0"/>
          <w:color w:val="000000"/>
          <w:spacing w:val="0"/>
          <w:kern w:val="0"/>
          <w:sz w:val="32"/>
          <w:szCs w:val="32"/>
          <w:lang w:val="en-US" w:eastAsia="zh-CN"/>
        </w:rPr>
      </w:pPr>
      <w:r>
        <w:rPr>
          <w:rFonts w:hint="eastAsia"/>
          <w:lang w:val="en-US" w:eastAsia="zh-CN"/>
        </w:rPr>
        <w:t>三是加强精细化管理，确保应急物资储备安全。</w:t>
      </w:r>
      <w:r>
        <w:rPr>
          <w:rFonts w:hint="eastAsia" w:cs="黑体"/>
          <w:snapToGrid w:val="0"/>
          <w:kern w:val="0"/>
          <w:sz w:val="32"/>
          <w:szCs w:val="32"/>
          <w:lang w:val="en-US" w:eastAsia="zh-CN"/>
        </w:rPr>
        <w:t>完成2023年度</w:t>
      </w:r>
      <w:r>
        <w:rPr>
          <w:rFonts w:hint="eastAsia" w:ascii="Times New Roman" w:hAnsi="Times New Roman" w:cs="黑体"/>
          <w:snapToGrid w:val="0"/>
          <w:kern w:val="0"/>
          <w:sz w:val="32"/>
          <w:szCs w:val="32"/>
          <w:lang w:val="en-US" w:eastAsia="zh-CN"/>
        </w:rPr>
        <w:t>应急物资</w:t>
      </w:r>
      <w:r>
        <w:rPr>
          <w:rFonts w:hint="eastAsia" w:cs="黑体"/>
          <w:snapToGrid w:val="0"/>
          <w:kern w:val="0"/>
          <w:sz w:val="32"/>
          <w:szCs w:val="32"/>
          <w:lang w:val="en-US" w:eastAsia="zh-CN"/>
        </w:rPr>
        <w:t>采购储备任务</w:t>
      </w:r>
      <w:r>
        <w:rPr>
          <w:rFonts w:hint="eastAsia"/>
          <w:snapToGrid w:val="0"/>
          <w:kern w:val="0"/>
          <w:sz w:val="32"/>
          <w:lang w:val="en-US" w:eastAsia="zh-CN"/>
        </w:rPr>
        <w:t>，加强</w:t>
      </w:r>
      <w:r>
        <w:rPr>
          <w:rFonts w:hint="eastAsia" w:ascii="Times New Roman" w:hAnsi="Times New Roman"/>
          <w:snapToGrid w:val="0"/>
          <w:kern w:val="0"/>
          <w:sz w:val="32"/>
          <w:lang w:val="en-US" w:eastAsia="zh-CN"/>
        </w:rPr>
        <w:t>对疫情防控时期调拨物资进行回收入库，杜绝物资浪费。</w:t>
      </w:r>
    </w:p>
    <w:p>
      <w:pPr>
        <w:bidi w:val="0"/>
        <w:rPr>
          <w:rFonts w:hint="eastAsia"/>
          <w:lang w:val="en-US" w:eastAsia="zh-CN"/>
        </w:rPr>
      </w:pPr>
    </w:p>
    <w:p>
      <w:pPr>
        <w:keepNext w:val="0"/>
        <w:keepLines w:val="0"/>
        <w:pageBreakBefore w:val="0"/>
        <w:widowControl w:val="0"/>
        <w:kinsoku/>
        <w:wordWrap/>
        <w:overflowPunct/>
        <w:topLinePunct w:val="0"/>
        <w:autoSpaceDE/>
        <w:autoSpaceDN/>
        <w:bidi w:val="0"/>
        <w:adjustRightInd w:val="0"/>
        <w:snapToGrid w:val="0"/>
        <w:spacing w:line="540" w:lineRule="exact"/>
        <w:jc w:val="both"/>
        <w:textAlignment w:val="auto"/>
        <w:rPr>
          <w:rFonts w:hint="eastAsia" w:ascii="Times New Roman" w:hAnsi="Times New Roman"/>
          <w:b w:val="0"/>
          <w:bCs w:val="0"/>
          <w:snapToGrid w:val="0"/>
          <w:color w:val="000000"/>
          <w:kern w:val="0"/>
          <w:sz w:val="32"/>
          <w:lang w:val="en-US" w:eastAsia="zh-CN"/>
        </w:rPr>
      </w:pPr>
    </w:p>
    <w:p>
      <w:pPr>
        <w:pStyle w:val="5"/>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auto"/>
        <w:rPr>
          <w:rFonts w:hint="eastAsia" w:ascii="Times New Roman" w:hAnsi="Times New Roman"/>
          <w:b w:val="0"/>
          <w:bCs w:val="0"/>
          <w:snapToGrid w:val="0"/>
          <w:kern w:val="0"/>
          <w:sz w:val="32"/>
          <w:lang w:val="en-US" w:eastAsia="zh-CN"/>
        </w:rPr>
      </w:pPr>
    </w:p>
    <w:p>
      <w:pPr>
        <w:pStyle w:val="5"/>
        <w:keepNext w:val="0"/>
        <w:keepLines w:val="0"/>
        <w:pageBreakBefore w:val="0"/>
        <w:widowControl w:val="0"/>
        <w:numPr>
          <w:ilvl w:val="0"/>
          <w:numId w:val="0"/>
        </w:numPr>
        <w:kinsoku/>
        <w:wordWrap/>
        <w:overflowPunct/>
        <w:topLinePunct w:val="0"/>
        <w:autoSpaceDE/>
        <w:autoSpaceDN/>
        <w:bidi w:val="0"/>
        <w:adjustRightInd w:val="0"/>
        <w:snapToGrid w:val="0"/>
        <w:spacing w:line="540" w:lineRule="exact"/>
        <w:ind w:firstLine="640" w:firstLineChars="200"/>
        <w:jc w:val="both"/>
        <w:textAlignment w:val="auto"/>
        <w:rPr>
          <w:rFonts w:hint="default" w:ascii="Times New Roman" w:hAnsi="Times New Roman"/>
          <w:b w:val="0"/>
          <w:bCs w:val="0"/>
          <w:snapToGrid w:val="0"/>
          <w:kern w:val="0"/>
          <w:sz w:val="32"/>
          <w:lang w:val="en-US" w:eastAsia="zh-CN"/>
        </w:rPr>
      </w:pPr>
    </w:p>
    <w:p>
      <w:pPr>
        <w:bidi w:val="0"/>
        <w:rPr>
          <w:rFonts w:hint="default"/>
          <w:lang w:val="en-US" w:eastAsia="zh-CN"/>
        </w:rPr>
      </w:pPr>
    </w:p>
    <w:p>
      <w:pPr>
        <w:bidi w:val="0"/>
        <w:rPr>
          <w:rFonts w:hint="default"/>
          <w:lang w:val="en-US" w:eastAsia="zh-CN"/>
        </w:rPr>
      </w:pPr>
    </w:p>
    <w:sectPr>
      <w:pgSz w:w="11906" w:h="16838"/>
      <w:pgMar w:top="2098" w:right="1531" w:bottom="2098" w:left="1531" w:header="851" w:footer="992" w:gutter="0"/>
      <w:cols w:space="0" w:num="1"/>
      <w:rtlGutter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华文宋体">
    <w:panose1 w:val="02010600040101010101"/>
    <w:charset w:val="86"/>
    <w:family w:val="auto"/>
    <w:pitch w:val="default"/>
    <w:sig w:usb0="00000287" w:usb1="080F0000" w:usb2="00000000" w:usb3="00000000" w:csb0="0004009F" w:csb1="DFD70000"/>
  </w:font>
  <w:font w:name="华文细黑">
    <w:panose1 w:val="02010600040101010101"/>
    <w:charset w:val="86"/>
    <w:family w:val="auto"/>
    <w:pitch w:val="default"/>
    <w:sig w:usb0="00000287" w:usb1="080F0000" w:usb2="00000000" w:usb3="00000000" w:csb0="0004009F" w:csb1="DFD70000"/>
  </w:font>
  <w:font w:name="华文隶书">
    <w:panose1 w:val="02010800040101010101"/>
    <w:charset w:val="86"/>
    <w:family w:val="auto"/>
    <w:pitch w:val="default"/>
    <w:sig w:usb0="00000001" w:usb1="080F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方正粗黑宋简体">
    <w:panose1 w:val="02000000000000000000"/>
    <w:charset w:val="86"/>
    <w:family w:val="auto"/>
    <w:pitch w:val="default"/>
    <w:sig w:usb0="A00002BF" w:usb1="184F6CFA" w:usb2="00000012"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Y4ODNlZjE4MTA4NGE3ODg3ZDRmYzZmODk4OTFmYTgifQ=="/>
  </w:docVars>
  <w:rsids>
    <w:rsidRoot w:val="00000000"/>
    <w:rsid w:val="0AC621C3"/>
    <w:rsid w:val="0F8E3C3A"/>
    <w:rsid w:val="17EE4D3F"/>
    <w:rsid w:val="1D6F6AB1"/>
    <w:rsid w:val="24F70F1B"/>
    <w:rsid w:val="34CA3C73"/>
    <w:rsid w:val="3716398A"/>
    <w:rsid w:val="39AD0E91"/>
    <w:rsid w:val="3B495853"/>
    <w:rsid w:val="3C0A40C7"/>
    <w:rsid w:val="3CD92CE2"/>
    <w:rsid w:val="3F1438DE"/>
    <w:rsid w:val="50566AB3"/>
    <w:rsid w:val="51387B0A"/>
    <w:rsid w:val="57EE5C73"/>
    <w:rsid w:val="5D0D7360"/>
    <w:rsid w:val="5DE6099B"/>
    <w:rsid w:val="65375CDC"/>
    <w:rsid w:val="69196CE5"/>
    <w:rsid w:val="698A2951"/>
    <w:rsid w:val="6D077569"/>
    <w:rsid w:val="765C5F6B"/>
    <w:rsid w:val="7859484E"/>
    <w:rsid w:val="7D6F46C1"/>
    <w:rsid w:val="7FC830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ind w:firstLine="862" w:firstLineChars="200"/>
      <w:jc w:val="both"/>
    </w:pPr>
    <w:rPr>
      <w:rFonts w:ascii="Times New Roman" w:hAnsi="Times New Roman" w:eastAsia="仿宋_GB2312" w:cs="Times New Roman"/>
      <w:kern w:val="2"/>
      <w:sz w:val="32"/>
      <w:szCs w:val="32"/>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unhideWhenUsed/>
    <w:qFormat/>
    <w:uiPriority w:val="0"/>
    <w:pPr>
      <w:keepNext/>
      <w:keepLines/>
      <w:spacing w:beforeLines="0" w:beforeAutospacing="0" w:afterLines="0" w:afterAutospacing="0" w:line="560" w:lineRule="exact"/>
      <w:ind w:firstLine="880" w:firstLineChars="200"/>
      <w:outlineLvl w:val="1"/>
    </w:pPr>
    <w:rPr>
      <w:rFonts w:ascii="Times New Roman" w:hAnsi="Times New Roman" w:eastAsia="黑体"/>
      <w:sz w:val="32"/>
      <w:szCs w:val="32"/>
    </w:rPr>
  </w:style>
  <w:style w:type="paragraph" w:styleId="4">
    <w:name w:val="heading 3"/>
    <w:basedOn w:val="1"/>
    <w:next w:val="1"/>
    <w:unhideWhenUsed/>
    <w:qFormat/>
    <w:uiPriority w:val="0"/>
    <w:pPr>
      <w:keepNext w:val="0"/>
      <w:keepLines w:val="0"/>
      <w:spacing w:beforeAutospacing="0" w:afterLines="0" w:afterAutospacing="0" w:line="560" w:lineRule="exact"/>
      <w:ind w:firstLine="880" w:firstLineChars="200"/>
      <w:jc w:val="left"/>
      <w:outlineLvl w:val="2"/>
    </w:pPr>
    <w:rPr>
      <w:rFonts w:ascii="楷体_GB2312" w:hAnsi="楷体_GB2312" w:eastAsia="楷体_GB2312" w:cs="楷体_GB2312"/>
      <w:sz w:val="32"/>
      <w:szCs w:val="22"/>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5">
    <w:name w:val="Plain Text"/>
    <w:basedOn w:val="1"/>
    <w:qFormat/>
    <w:uiPriority w:val="0"/>
    <w:rPr>
      <w:rFonts w:ascii="宋体" w:hAnsi="Courier New"/>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TotalTime>
  <ScaleCrop>false</ScaleCrop>
  <LinksUpToDate>false</LinksUpToDate>
  <CharactersWithSpaces>0</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2023-07-24T02:16:00Z</dcterms:created>
  <dc:creator>Administrator</dc:creator>
  <cp:lastModifiedBy>当那一天来临</cp:lastModifiedBy>
  <cp:lastPrinted>2023-12-06T02:57:00Z</cp:lastPrinted>
  <dcterms:modified xsi:type="dcterms:W3CDTF">2023-12-06T03:16:44Z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EF834A0345B74A75BB7DEB8A127AA21B_12</vt:lpwstr>
  </property>
</Properties>
</file>