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tabs>
          <w:tab w:val="left" w:pos="720"/>
        </w:tabs>
        <w:adjustRightIn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张店区发展和改革局</w:t>
      </w:r>
    </w:p>
    <w:p>
      <w:pPr>
        <w:pStyle w:val="2"/>
        <w:jc w:val="center"/>
        <w:rPr>
          <w:rFonts w:ascii="方正小标宋简体" w:eastAsia="方正小标宋简体"/>
          <w:sz w:val="44"/>
          <w:szCs w:val="44"/>
        </w:rPr>
      </w:pPr>
      <w:r>
        <w:rPr>
          <w:rFonts w:hint="eastAsia" w:ascii="方正小标宋简体" w:eastAsia="方正小标宋简体"/>
          <w:sz w:val="44"/>
          <w:szCs w:val="44"/>
        </w:rPr>
        <w:t>2022年工作计划</w:t>
      </w:r>
    </w:p>
    <w:p>
      <w:pPr>
        <w:widowControl/>
        <w:tabs>
          <w:tab w:val="left" w:pos="720"/>
        </w:tabs>
        <w:adjustRightInd w:val="0"/>
        <w:spacing w:line="560" w:lineRule="exact"/>
        <w:ind w:firstLine="640" w:firstLineChars="200"/>
        <w:rPr>
          <w:rFonts w:hint="eastAsia" w:ascii="楷体_GB2312" w:hAnsi="华文中宋" w:eastAsia="楷体_GB2312"/>
          <w:b/>
          <w:sz w:val="32"/>
          <w:szCs w:val="32"/>
        </w:rPr>
      </w:pPr>
      <w:r>
        <w:rPr>
          <w:rFonts w:hint="eastAsia" w:eastAsia="仿宋_GB2312"/>
          <w:color w:val="000000"/>
          <w:sz w:val="32"/>
          <w:szCs w:val="32"/>
        </w:rPr>
        <w:t>2022年，区发改局将紧紧围绕区委、区政府的中心工作，在区人大的监督支持下，立足职能职责，进一步创新工作方法，以更大的力度、更硬的作风，为推进张店区经济社会高质量发展贡献发改力量。重点做好以下工作：</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1.锚定目标，促进经济健康运行。</w:t>
      </w:r>
    </w:p>
    <w:p>
      <w:pPr>
        <w:spacing w:line="560" w:lineRule="exact"/>
        <w:ind w:firstLine="640" w:firstLineChars="200"/>
        <w:jc w:val="left"/>
        <w:rPr>
          <w:rFonts w:ascii="仿宋_GB2312" w:eastAsia="仿宋_GB2312"/>
          <w:bCs/>
          <w:sz w:val="32"/>
          <w:szCs w:val="32"/>
        </w:rPr>
      </w:pPr>
      <w:r>
        <w:rPr>
          <w:rFonts w:hint="eastAsia" w:ascii="仿宋_GB2312" w:hAnsi="仿宋_GB2312" w:eastAsia="仿宋_GB2312" w:cs="仿宋_GB2312"/>
          <w:sz w:val="32"/>
          <w:szCs w:val="32"/>
        </w:rPr>
        <w:t>科学编制并组织实施全区国民经济和社会事业发展年度计划，提前筹备2023年国民经济和社会发展计划编制工作。</w:t>
      </w:r>
      <w:r>
        <w:rPr>
          <w:rFonts w:hint="eastAsia" w:ascii="仿宋_GB2312" w:eastAsia="仿宋_GB2312"/>
          <w:sz w:val="32"/>
          <w:szCs w:val="32"/>
        </w:rPr>
        <w:t>要锚定主要经济指标目标任务，确保地区生产总值增长6%以上。健全落实“稳中求进”高质量发展政策联系协调机制，建立政策落实台账，加强调度督导，促进经济健康运行。</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2.制度保障，抓实重点项目建设。</w:t>
      </w:r>
    </w:p>
    <w:p>
      <w:pPr>
        <w:spacing w:line="560" w:lineRule="exact"/>
        <w:ind w:firstLine="640"/>
        <w:rPr>
          <w:rFonts w:ascii="楷体" w:hAnsi="楷体" w:eastAsia="楷体" w:cs="楷体"/>
          <w:sz w:val="32"/>
          <w:szCs w:val="32"/>
        </w:rPr>
      </w:pPr>
      <w:r>
        <w:rPr>
          <w:rFonts w:hint="eastAsia" w:ascii="仿宋_GB2312" w:hAnsi="仿宋_GB2312" w:eastAsia="仿宋_GB2312" w:cs="仿宋_GB2312"/>
          <w:sz w:val="32"/>
          <w:szCs w:val="32"/>
        </w:rPr>
        <w:t>科学制定《张店区重点项目管理办法》，建立重点项目定期调度制度，确保项目早落地、早开工、早达效。强化要素保障，加强督导力度，确保区重点项目完成投资130亿元以上。要重点抓好所有计划新开工项目9月底前开工建设。</w:t>
      </w:r>
      <w:r>
        <w:rPr>
          <w:rFonts w:hint="eastAsia" w:ascii="仿宋_GB2312" w:eastAsia="仿宋_GB2312"/>
          <w:sz w:val="32"/>
          <w:szCs w:val="32"/>
        </w:rPr>
        <w:t>聚焦构建“2+4”现代产业布局，</w:t>
      </w:r>
      <w:r>
        <w:rPr>
          <w:rFonts w:hint="eastAsia" w:ascii="仿宋_GB2312" w:hAnsi="仿宋_GB2312" w:eastAsia="仿宋_GB2312" w:cs="仿宋_GB2312"/>
          <w:sz w:val="32"/>
          <w:szCs w:val="32"/>
        </w:rPr>
        <w:t>及时将优质项目纳入重点项目库，提前做好2022年市重大项目半年调整工作，争取更多项目列入市重大项目名单。</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3.强化调度，实现固定资产投资稳定增长。</w:t>
      </w:r>
    </w:p>
    <w:p>
      <w:pPr>
        <w:spacing w:line="560" w:lineRule="exact"/>
        <w:ind w:firstLine="640" w:firstLineChars="200"/>
        <w:rPr>
          <w:rFonts w:eastAsia="仿宋_GB2312"/>
          <w:sz w:val="32"/>
          <w:szCs w:val="32"/>
        </w:rPr>
      </w:pPr>
      <w:r>
        <w:rPr>
          <w:rFonts w:hint="eastAsia" w:ascii="仿宋_GB2312" w:eastAsia="仿宋_GB2312"/>
          <w:bCs/>
          <w:sz w:val="32"/>
          <w:szCs w:val="32"/>
        </w:rPr>
        <w:t>加强投资运行调度分析，</w:t>
      </w:r>
      <w:r>
        <w:rPr>
          <w:rFonts w:hint="eastAsia" w:eastAsia="仿宋_GB2312"/>
          <w:sz w:val="32"/>
          <w:szCs w:val="32"/>
        </w:rPr>
        <w:t>全面摸清新开工项目底数，做好服务指导工作，实现固定资产投资增长</w:t>
      </w:r>
      <w:r>
        <w:rPr>
          <w:rFonts w:eastAsia="仿宋_GB2312"/>
          <w:sz w:val="32"/>
          <w:szCs w:val="32"/>
        </w:rPr>
        <w:t>12%</w:t>
      </w:r>
      <w:r>
        <w:rPr>
          <w:rFonts w:hint="eastAsia" w:eastAsia="仿宋_GB2312"/>
          <w:sz w:val="32"/>
          <w:szCs w:val="32"/>
        </w:rPr>
        <w:t>以上。加大项目调度力度，确保省补短板项目完成年度投资</w:t>
      </w:r>
      <w:r>
        <w:rPr>
          <w:rFonts w:eastAsia="仿宋_GB2312"/>
          <w:sz w:val="32"/>
          <w:szCs w:val="32"/>
        </w:rPr>
        <w:t>3.2</w:t>
      </w:r>
      <w:r>
        <w:rPr>
          <w:rFonts w:hint="eastAsia" w:eastAsia="仿宋_GB2312"/>
          <w:sz w:val="32"/>
          <w:szCs w:val="32"/>
        </w:rPr>
        <w:t>亿元。重点做好国家反馈的</w:t>
      </w:r>
      <w:r>
        <w:rPr>
          <w:rFonts w:eastAsia="仿宋_GB2312"/>
          <w:sz w:val="32"/>
          <w:szCs w:val="32"/>
        </w:rPr>
        <w:t>18</w:t>
      </w:r>
      <w:r>
        <w:rPr>
          <w:rFonts w:hint="eastAsia" w:eastAsia="仿宋_GB2312"/>
          <w:sz w:val="32"/>
          <w:szCs w:val="32"/>
        </w:rPr>
        <w:t>个项目服务保障工作，确保项目能够顺利发债。同时，组织做好我区项目集中开工工作。</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4. 全力以赴，力促双创、新经济发展。</w:t>
      </w:r>
    </w:p>
    <w:p>
      <w:pPr>
        <w:spacing w:line="560" w:lineRule="exact"/>
        <w:ind w:firstLine="747"/>
        <w:textAlignment w:val="baseline"/>
        <w:rPr>
          <w:rFonts w:ascii="仿宋_GB2312" w:eastAsia="仿宋_GB2312"/>
          <w:b/>
          <w:bCs/>
          <w:sz w:val="32"/>
          <w:szCs w:val="32"/>
        </w:rPr>
      </w:pPr>
      <w:r>
        <w:rPr>
          <w:rFonts w:hint="eastAsia" w:ascii="仿宋_GB2312" w:hAnsi="仿宋_GB2312" w:eastAsia="仿宋_GB2312" w:cs="仿宋_GB2312"/>
          <w:sz w:val="32"/>
          <w:szCs w:val="32"/>
        </w:rPr>
        <w:t>深推国家双创示范基地建设，以建设“青年创业友好型城市”为目标，聚焦高校毕业生创业就业，在全区实施创业带动就业示范行动，</w:t>
      </w:r>
      <w:r>
        <w:rPr>
          <w:rFonts w:hint="eastAsia" w:eastAsia="仿宋_GB2312"/>
          <w:sz w:val="32"/>
          <w:szCs w:val="32"/>
        </w:rPr>
        <w:t>做好国务院激励奖励争取工作</w:t>
      </w:r>
      <w:r>
        <w:rPr>
          <w:rFonts w:hint="eastAsia" w:ascii="仿宋_GB2312" w:hAnsi="仿宋_GB2312" w:eastAsia="仿宋_GB2312" w:cs="仿宋_GB2312"/>
          <w:sz w:val="32"/>
          <w:szCs w:val="32"/>
        </w:rPr>
        <w:t>。加快筹建淄博市虚拟产业园，力争年底线上线下注册企业数量超100家，园区营业收入规模突破30亿元。建设无人驾驶展示中心，力争年内布局无人驾驶各类车型300辆。围绕产业新赛道，重点支持新经济企业发展和新应用场景的推广应用。加强对省优选、省双招双引签约项目调度管理，确保项目投资完成率达到100%以上。</w:t>
      </w:r>
      <w:r>
        <w:rPr>
          <w:rFonts w:hint="eastAsia" w:ascii="仿宋_GB2312" w:hAnsi="仿宋_GB2312" w:eastAsia="仿宋_GB2312" w:cs="仿宋_GB2312"/>
          <w:bCs/>
          <w:sz w:val="32"/>
          <w:szCs w:val="32"/>
        </w:rPr>
        <w:t>做好十强产业、“四新”经济考核指标的调度管理工作。</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5.打造品牌，加强信用建设优化营商环境。</w:t>
      </w:r>
    </w:p>
    <w:p>
      <w:pPr>
        <w:spacing w:line="560" w:lineRule="exact"/>
        <w:ind w:firstLine="645"/>
        <w:rPr>
          <w:rFonts w:ascii="仿宋" w:hAnsi="仿宋" w:eastAsia="仿宋_GB2312"/>
          <w:kern w:val="0"/>
          <w:sz w:val="32"/>
          <w:szCs w:val="32"/>
        </w:rPr>
      </w:pPr>
      <w:r>
        <w:rPr>
          <w:rFonts w:hint="eastAsia" w:ascii="仿宋_GB2312" w:eastAsia="仿宋_GB2312"/>
          <w:bCs/>
          <w:sz w:val="32"/>
          <w:szCs w:val="32"/>
        </w:rPr>
        <w:t>全面优化营商环境，</w:t>
      </w:r>
      <w:r>
        <w:rPr>
          <w:rFonts w:hint="eastAsia" w:ascii="仿宋" w:hAnsi="仿宋" w:eastAsia="仿宋_GB2312" w:cs="仿宋_GB2312"/>
          <w:sz w:val="32"/>
          <w:szCs w:val="32"/>
        </w:rPr>
        <w:t>针对短板、弱项，形成整改清单，力争优化营商环境考核排名再上新台阶。</w:t>
      </w:r>
      <w:r>
        <w:rPr>
          <w:rFonts w:hint="eastAsia" w:ascii="仿宋_GB2312" w:eastAsia="仿宋_GB2312"/>
          <w:bCs/>
          <w:sz w:val="32"/>
          <w:szCs w:val="32"/>
        </w:rPr>
        <w:t>加强信用体系建设</w:t>
      </w:r>
      <w:r>
        <w:rPr>
          <w:rFonts w:hint="eastAsia" w:ascii="仿宋_GB2312" w:hAnsi="仿宋" w:eastAsia="仿宋_GB2312"/>
          <w:kern w:val="0"/>
          <w:sz w:val="32"/>
          <w:szCs w:val="32"/>
        </w:rPr>
        <w:t>做好数据归集工作，加快构建社会诚信“一体系”，形成信用信息“一张网”。</w:t>
      </w:r>
      <w:r>
        <w:rPr>
          <w:rFonts w:hint="eastAsia" w:ascii="仿宋_GB2312" w:hAnsi="仿宋_GB2312" w:eastAsia="仿宋_GB2312" w:cs="仿宋_GB2312"/>
          <w:sz w:val="32"/>
          <w:szCs w:val="32"/>
        </w:rPr>
        <w:t>在建设水晶街“诚信经营示范街”基础上，再建设</w:t>
      </w:r>
      <w:r>
        <w:rPr>
          <w:rFonts w:eastAsia="仿宋_GB2312"/>
          <w:sz w:val="32"/>
          <w:szCs w:val="32"/>
        </w:rPr>
        <w:t>6</w:t>
      </w:r>
      <w:r>
        <w:rPr>
          <w:rFonts w:hint="eastAsia" w:ascii="仿宋_GB2312" w:hAnsi="仿宋_GB2312" w:eastAsia="仿宋_GB2312" w:cs="仿宋_GB2312"/>
          <w:sz w:val="32"/>
          <w:szCs w:val="32"/>
        </w:rPr>
        <w:t>条诚信示范街区，</w:t>
      </w:r>
      <w:r>
        <w:rPr>
          <w:rFonts w:hint="eastAsia" w:ascii="仿宋_GB2312" w:hAnsi="仿宋" w:eastAsia="仿宋_GB2312"/>
          <w:kern w:val="0"/>
          <w:sz w:val="32"/>
          <w:szCs w:val="32"/>
        </w:rPr>
        <w:t>积极拓展“信易+”应用场景落地落实，</w:t>
      </w:r>
      <w:r>
        <w:rPr>
          <w:rFonts w:hint="eastAsia" w:ascii="仿宋" w:hAnsi="仿宋" w:eastAsia="仿宋_GB2312"/>
          <w:sz w:val="32"/>
          <w:szCs w:val="32"/>
        </w:rPr>
        <w:t>打造张店区诚信品牌。</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6.融合发展，做好全面深化改革工作。</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_GB2312" w:cs="仿宋_GB2312"/>
          <w:bCs/>
          <w:sz w:val="32"/>
          <w:szCs w:val="32"/>
        </w:rPr>
        <w:t>做好区域融合发展工作，</w:t>
      </w:r>
      <w:r>
        <w:rPr>
          <w:rFonts w:hint="eastAsia" w:ascii="仿宋" w:hAnsi="仿宋" w:eastAsia="仿宋_GB2312" w:cs="仿宋_GB2312"/>
          <w:sz w:val="32"/>
          <w:szCs w:val="32"/>
        </w:rPr>
        <w:t>建立健全黄河流域生态保护和高质量发展工作体制机制，主动融入全市黄河流域生态保护和高质量发展大局。落实省市关于省会经济圈、济淄一体化工作部署。加快推进城乡融合发展工作，制定全区2022年城乡融合工作要点，建立城乡融合项目库。</w:t>
      </w:r>
      <w:r>
        <w:rPr>
          <w:rFonts w:hint="eastAsia" w:ascii="仿宋_GB2312" w:hAnsi="仿宋_GB2312" w:eastAsia="仿宋_GB2312" w:cs="仿宋_GB2312"/>
          <w:sz w:val="32"/>
          <w:szCs w:val="32"/>
        </w:rPr>
        <w:t>成立军民融合发展产业专班，充分调动发挥全区各相关部门作用，形成工作合力。争取更多的企业和项目纳入省市军民融合发展盘子，力争年底绩效考核获得“好”评价等次。牵头做好全区深化经济体制和生态文明体制改革工作，做好改革创新项目谋划，认真做好重点领域和关键环节改革、加快系统集成改革等改革创新工作，为全面深化改革工作增添亮点。</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7.以民为本，着力推进品质民生建设。</w:t>
      </w:r>
    </w:p>
    <w:p>
      <w:pPr>
        <w:spacing w:line="560" w:lineRule="exact"/>
        <w:ind w:firstLine="641"/>
        <w:rPr>
          <w:rFonts w:ascii="仿宋_GB2312" w:hAnsi="仿宋" w:eastAsia="仿宋_GB2312"/>
          <w:sz w:val="32"/>
          <w:szCs w:val="32"/>
        </w:rPr>
      </w:pPr>
      <w:r>
        <w:rPr>
          <w:rFonts w:hint="eastAsia" w:ascii="仿宋_GB2312" w:hAnsi="仿宋" w:eastAsia="仿宋_GB2312" w:cs="仿宋_GB2312"/>
          <w:bCs/>
          <w:sz w:val="32"/>
          <w:szCs w:val="32"/>
        </w:rPr>
        <w:t>扎实做好促增收基础工作，</w:t>
      </w:r>
      <w:r>
        <w:rPr>
          <w:rFonts w:hint="eastAsia" w:ascii="仿宋_GB2312" w:hAnsi="仿宋" w:eastAsia="仿宋_GB2312" w:cs="仿宋_GB2312"/>
          <w:sz w:val="32"/>
          <w:szCs w:val="32"/>
        </w:rPr>
        <w:t>健全民生政策精准推送机制，多渠道增加城乡居民收入，2022年城乡居民可支配收入达到5.4万元。</w:t>
      </w:r>
      <w:r>
        <w:rPr>
          <w:rFonts w:hint="eastAsia" w:ascii="仿宋_GB2312" w:hAnsi="仿宋" w:eastAsia="仿宋_GB2312" w:cs="仿宋_GB2312"/>
          <w:bCs/>
          <w:sz w:val="32"/>
          <w:szCs w:val="32"/>
        </w:rPr>
        <w:t>持续抓好重大民生实事</w:t>
      </w:r>
      <w:r>
        <w:rPr>
          <w:rFonts w:hint="eastAsia" w:ascii="仿宋_GB2312" w:hAnsi="仿宋" w:eastAsia="仿宋_GB2312" w:cs="仿宋_GB2312"/>
          <w:kern w:val="0"/>
          <w:sz w:val="32"/>
          <w:szCs w:val="32"/>
          <w:lang/>
        </w:rPr>
        <w:t>，督促各责任部门明确季度目标，拿出工作措施，推动项目落实落地，</w:t>
      </w:r>
      <w:r>
        <w:rPr>
          <w:rFonts w:hint="eastAsia" w:ascii="仿宋_GB2312" w:hAnsi="仿宋" w:eastAsia="仿宋_GB2312" w:cs="仿宋_GB2312"/>
          <w:sz w:val="32"/>
          <w:szCs w:val="32"/>
        </w:rPr>
        <w:t>确保按时高质量完成</w:t>
      </w:r>
      <w:r>
        <w:rPr>
          <w:rFonts w:hint="eastAsia" w:ascii="仿宋_GB2312" w:eastAsia="仿宋_GB2312" w:cs="仿宋_GB2312"/>
          <w:kern w:val="0"/>
          <w:sz w:val="32"/>
          <w:szCs w:val="32"/>
          <w:lang/>
        </w:rPr>
        <w:t>10</w:t>
      </w:r>
      <w:r>
        <w:rPr>
          <w:rFonts w:hint="eastAsia" w:ascii="仿宋_GB2312" w:hAnsi="仿宋" w:eastAsia="仿宋_GB2312" w:cs="仿宋_GB2312"/>
          <w:kern w:val="0"/>
          <w:sz w:val="32"/>
          <w:szCs w:val="32"/>
          <w:lang/>
        </w:rPr>
        <w:t>件重大民生实事。</w:t>
      </w:r>
      <w:r>
        <w:rPr>
          <w:rFonts w:hint="eastAsia" w:ascii="仿宋_GB2312" w:hAnsi="仿宋" w:eastAsia="仿宋_GB2312"/>
          <w:bCs/>
          <w:sz w:val="32"/>
          <w:szCs w:val="32"/>
        </w:rPr>
        <w:t>持续推进建设</w:t>
      </w:r>
      <w:r>
        <w:rPr>
          <w:rFonts w:hint="eastAsia" w:ascii="仿宋_GB2312" w:hAnsi="仿宋" w:eastAsia="仿宋_GB2312" w:cs="仿宋_GB2312"/>
          <w:kern w:val="0"/>
          <w:sz w:val="32"/>
          <w:szCs w:val="32"/>
          <w:lang/>
        </w:rPr>
        <w:t>多彩</w:t>
      </w:r>
      <w:r>
        <w:rPr>
          <w:rFonts w:hint="eastAsia" w:ascii="仿宋_GB2312" w:hAnsi="仿宋" w:eastAsia="仿宋_GB2312"/>
          <w:bCs/>
          <w:sz w:val="32"/>
          <w:szCs w:val="32"/>
        </w:rPr>
        <w:t>活力的青年创业友好型城市建设，</w:t>
      </w:r>
      <w:r>
        <w:rPr>
          <w:rFonts w:hint="eastAsia" w:ascii="仿宋_GB2312" w:hAnsi="仿宋" w:eastAsia="仿宋_GB2312"/>
          <w:sz w:val="32"/>
          <w:szCs w:val="32"/>
        </w:rPr>
        <w:t>出台2022年工作要点，强化统筹调度，确保青年友好型城市25条政策措施落到实处。落实《关于建设高品质民生促进共同富裕的行动方案》（2022—2024年）相关工作。</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8.关注民生，稳妥做好价格管理和价格服务。</w:t>
      </w:r>
    </w:p>
    <w:p>
      <w:pPr>
        <w:widowControl/>
        <w:spacing w:line="560" w:lineRule="exact"/>
        <w:ind w:firstLine="641"/>
        <w:jc w:val="left"/>
        <w:rPr>
          <w:rFonts w:ascii="仿宋_GB2312" w:hAnsi="仿宋" w:eastAsia="仿宋_GB2312"/>
          <w:sz w:val="32"/>
          <w:szCs w:val="32"/>
        </w:rPr>
      </w:pPr>
      <w:r>
        <w:rPr>
          <w:rFonts w:hint="eastAsia" w:ascii="仿宋_GB2312" w:hAnsi="仿宋" w:eastAsia="仿宋_GB2312"/>
          <w:bCs/>
          <w:sz w:val="32"/>
          <w:szCs w:val="32"/>
        </w:rPr>
        <w:t>做好相关商品和服务价格的制定、调整工作。提前对2021年会商涉及的智慧停车服务费、生活垃圾处理费、公益性公墓销售价格等做好相关调研。适时对公办、非营利性民办幼儿园保教费进行调整。进一步规范涉企收费、行业协会商会收费清理规范。对2022年度区级实行政府定价的经营服务性收费标准目录清单进行梳理并公开发布。开展政府定价景区门票成本监审工作，督促景区落实运营情况、收支监管和信息公开制度。做好2022年人才公寓周边房地产市场价格评估。</w:t>
      </w:r>
    </w:p>
    <w:p>
      <w:pPr>
        <w:widowControl/>
        <w:spacing w:line="560" w:lineRule="exact"/>
        <w:ind w:firstLine="641"/>
        <w:jc w:val="left"/>
        <w:rPr>
          <w:rFonts w:ascii="仿宋_GB2312" w:hAnsi="仿宋" w:eastAsia="仿宋_GB2312"/>
          <w:sz w:val="32"/>
          <w:szCs w:val="32"/>
        </w:rPr>
      </w:pPr>
      <w:r>
        <w:rPr>
          <w:rFonts w:hint="eastAsia" w:ascii="仿宋_GB2312" w:hAnsi="仿宋" w:eastAsia="仿宋_GB2312"/>
          <w:sz w:val="32"/>
          <w:szCs w:val="32"/>
        </w:rPr>
        <w:t>认真做好涉纪、涉刑案件价格认定工作，保持全市前列。</w:t>
      </w:r>
    </w:p>
    <w:p>
      <w:pPr>
        <w:widowControl/>
        <w:spacing w:line="560" w:lineRule="exact"/>
        <w:ind w:firstLine="641"/>
        <w:jc w:val="left"/>
        <w:rPr>
          <w:rFonts w:ascii="仿宋_GB2312" w:hAnsi="仿宋" w:eastAsia="仿宋_GB2312"/>
          <w:sz w:val="32"/>
          <w:szCs w:val="32"/>
        </w:rPr>
      </w:pPr>
      <w:r>
        <w:rPr>
          <w:rFonts w:hint="eastAsia" w:ascii="仿宋_GB2312" w:hAnsi="仿宋" w:eastAsia="仿宋_GB2312"/>
          <w:sz w:val="32"/>
          <w:szCs w:val="32"/>
        </w:rPr>
        <w:t>价格监测数据和信息及时报送，做到不漏报、无延误，上报数据准确真实。</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9.履职尽责，抓实能源安全生产工作。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区委、区政府和上级主管部门的安全生产重大决策部署。强化被监管企业安全生产“第一责任人”履职意识。监督企业建立健全安全生产规章制度，并督促抓好落实。督促企业加大人防、技防和安全教育投入。切实履行监管责任，协助企业做好安全隐患排查，并督促整改落实。</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10.落实责任，全方位做好能源供应保障。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抓好能源安全生产工作</w:t>
      </w:r>
      <w:r>
        <w:rPr>
          <w:rFonts w:hint="eastAsia" w:ascii="仿宋_GB2312" w:hAnsi="仿宋_GB2312" w:eastAsia="仿宋_GB2312" w:cs="仿宋_GB2312"/>
          <w:sz w:val="32"/>
          <w:szCs w:val="32"/>
        </w:rPr>
        <w:t>，完善应急预案，加强应急演练。切实履行监管责任。</w:t>
      </w:r>
      <w:r>
        <w:rPr>
          <w:rFonts w:hint="eastAsia" w:ascii="仿宋_GB2312" w:hAnsi="仿宋_GB2312" w:eastAsia="仿宋_GB2312" w:cs="仿宋_GB2312"/>
          <w:bCs/>
          <w:sz w:val="32"/>
          <w:szCs w:val="32"/>
        </w:rPr>
        <w:t>认真做好能源保供工作，</w:t>
      </w:r>
      <w:r>
        <w:rPr>
          <w:rFonts w:hint="eastAsia" w:ascii="仿宋_GB2312" w:hAnsi="仿宋_GB2312" w:eastAsia="仿宋_GB2312" w:cs="仿宋_GB2312"/>
          <w:sz w:val="32"/>
          <w:szCs w:val="32"/>
        </w:rPr>
        <w:t>做好城乡集中供暖，扎实做好清洁煤炭配送工作，确保群众温暖过冬。协调供电部门做好冬、夏季有序用电工作，确保全区用电安全正常运转。</w:t>
      </w:r>
      <w:r>
        <w:rPr>
          <w:rFonts w:hint="eastAsia" w:ascii="仿宋_GB2312" w:hAnsi="仿宋_GB2312" w:eastAsia="仿宋_GB2312" w:cs="仿宋_GB2312"/>
          <w:bCs/>
          <w:sz w:val="32"/>
          <w:szCs w:val="32"/>
        </w:rPr>
        <w:t>全面完成</w:t>
      </w:r>
      <w:r>
        <w:rPr>
          <w:rFonts w:hint="eastAsia" w:ascii="仿宋_GB2312" w:hAnsi="仿宋_GB2312" w:eastAsia="仿宋_GB2312" w:cs="仿宋_GB2312"/>
          <w:sz w:val="32"/>
          <w:szCs w:val="32"/>
        </w:rPr>
        <w:t>成市政府下达的张店区压煤任务及万元GDP能耗下降工作考核任务。做好油气管道保护企地协调工作。做好新上项目用能服务工作。做好分布式光伏发电并网消纳工作。做好电动汽车充电桩备案监管工作，跟踪建设情况。做好煤质检测工作，确保我区生产、生活不使用劣质煤。督促企业完善应急预案，加强</w:t>
      </w:r>
      <w:bookmarkStart w:id="0" w:name="_GoBack"/>
      <w:bookmarkEnd w:id="0"/>
      <w:r>
        <w:rPr>
          <w:rFonts w:hint="eastAsia" w:ascii="仿宋_GB2312" w:hAnsi="仿宋_GB2312" w:eastAsia="仿宋_GB2312" w:cs="仿宋_GB2312"/>
          <w:sz w:val="32"/>
          <w:szCs w:val="32"/>
        </w:rPr>
        <w:t>应急演练。</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11.绸缪跟进，聚力做好粮食和物资储备各项任务。</w:t>
      </w:r>
    </w:p>
    <w:p>
      <w:pPr>
        <w:rPr>
          <w:rFonts w:ascii="宋体" w:hAnsi="Calibri"/>
          <w:sz w:val="44"/>
        </w:rPr>
      </w:pPr>
      <w:r>
        <w:rPr>
          <w:rFonts w:hint="eastAsia" w:ascii="宋体" w:hAnsi="Calibri"/>
          <w:sz w:val="44"/>
        </w:rPr>
        <w:t xml:space="preserve">   </w:t>
      </w:r>
      <w:r>
        <w:rPr>
          <w:rFonts w:hint="eastAsia" w:ascii="仿宋" w:hAnsi="仿宋" w:eastAsia="仿宋_GB2312"/>
          <w:sz w:val="32"/>
          <w:szCs w:val="32"/>
        </w:rPr>
        <w:t>致力完成2022年5868吨地方储备粮轮换任务，及早联系做好300吨花生油轮换工作。持续加大3300吨应急成品粮承储监管力度，完成每季度巡查任务，确保应急成品粮数量充足、质量合格。强化粮油价格监测预警，完成社会粮油供需平衡调查工作。紧抓军粮保障供应工作，构建良好的军民关系，保持服务部队满意度100%，聚力完成军粮供应保障及双拥工作。加强应急保障体系建设，足量购置储备疫情防控物资和应急救灾物资，应急状态下拿得出、调得快、用得上，持续提升我区应急保障能力。</w:t>
      </w:r>
    </w:p>
    <w:p>
      <w:pPr>
        <w:widowControl/>
        <w:tabs>
          <w:tab w:val="left" w:pos="720"/>
        </w:tabs>
        <w:adjustRightInd w:val="0"/>
        <w:spacing w:line="560" w:lineRule="exact"/>
        <w:ind w:firstLine="643" w:firstLineChars="200"/>
        <w:rPr>
          <w:rFonts w:ascii="楷体_GB2312" w:hAnsi="华文中宋" w:eastAsia="楷体_GB2312"/>
          <w:b/>
          <w:sz w:val="32"/>
          <w:szCs w:val="32"/>
        </w:rPr>
      </w:pPr>
      <w:r>
        <w:rPr>
          <w:rFonts w:hint="eastAsia" w:ascii="楷体_GB2312" w:hAnsi="华文中宋" w:eastAsia="楷体_GB2312"/>
          <w:b/>
          <w:sz w:val="32"/>
          <w:szCs w:val="32"/>
        </w:rPr>
        <w:t>12.吃透政策，立足区情全面做好对上争取工作。</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要要深入学习、把握好各级投资政策，抓好重点领域项目策划，加大地方政府专项债券、中央预算内资金争取工作。二要推进乡村振兴“十百千”示范工程建设，做好全省乡村振兴“十百千”示范村申报工作。三要积极做好老工业城市产业转型升级重点项目、工业遗产利用重点项目等中央预算内投资的争取工作。四要做好省级新旧动能转换重大课题攻关项目、“雁阵型”领军企业及集群的对上争取工作，力争实现零的突破。</w:t>
      </w:r>
    </w:p>
    <w:p>
      <w:pPr>
        <w:widowControl/>
        <w:tabs>
          <w:tab w:val="left" w:pos="720"/>
        </w:tabs>
        <w:adjustRightInd w:val="0"/>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E0628"/>
    <w:rsid w:val="00040A57"/>
    <w:rsid w:val="000B64B8"/>
    <w:rsid w:val="000D1C74"/>
    <w:rsid w:val="002E0628"/>
    <w:rsid w:val="00351299"/>
    <w:rsid w:val="003D313A"/>
    <w:rsid w:val="005B63E8"/>
    <w:rsid w:val="005C25B6"/>
    <w:rsid w:val="006662B2"/>
    <w:rsid w:val="008A5D1E"/>
    <w:rsid w:val="00AB09B9"/>
    <w:rsid w:val="426162A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ody Text"/>
    <w:basedOn w:val="1"/>
    <w:link w:val="10"/>
    <w:unhideWhenUsed/>
    <w:uiPriority w:val="99"/>
    <w:pPr>
      <w:spacing w:after="120"/>
    </w:p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character" w:customStyle="1" w:styleId="10">
    <w:name w:val="正文文本 Char"/>
    <w:basedOn w:val="6"/>
    <w:link w:val="2"/>
    <w:semiHidden/>
    <w:uiPriority w:val="99"/>
    <w:rPr>
      <w:rFonts w:ascii="Times New Roman" w:hAnsi="Times New Roman" w:eastAsia="宋体" w:cs="Times New Roman"/>
      <w:szCs w:val="24"/>
    </w:rPr>
  </w:style>
  <w:style w:type="character" w:customStyle="1" w:styleId="11">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413</Words>
  <Characters>2359</Characters>
  <Lines>19</Lines>
  <Paragraphs>5</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2022-04-13T06:38:00Z</dcterms:created>
  <dc:creator>微软用户</dc:creator>
  <cp:lastModifiedBy>Administrator</cp:lastModifiedBy>
  <cp:lastPrinted>2022-06-08T02:02:51Z</cp:lastPrinted>
  <dcterms:modified xsi:type="dcterms:W3CDTF">2022-06-08T06:10:30Z</dcterms:modified>
  <dc:title>张店区发展和改革局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