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ind w:right="-260" w:rightChars="-124"/>
        <w:jc w:val="left"/>
        <w:rPr>
          <w:rFonts w:hint="eastAsia" w:ascii="楷体" w:hAnsi="楷体" w:eastAsia="楷体" w:cs="楷体"/>
          <w:sz w:val="30"/>
          <w:szCs w:val="30"/>
        </w:rPr>
      </w:pPr>
      <w:r>
        <w:rPr>
          <w:rFonts w:hint="eastAsia" w:ascii="宋体" w:hAnsi="宋体" w:eastAsia="宋体" w:cs="宋体"/>
          <w:b w:val="0"/>
          <w:bCs w:val="0"/>
          <w:color w:val="FF0000"/>
          <w:w w:val="42"/>
          <w:sz w:val="144"/>
          <w:szCs w:val="144"/>
        </w:rPr>
        <w:t>淄</w:t>
      </w:r>
      <w:bookmarkStart w:id="0" w:name="_GoBack"/>
      <w:bookmarkEnd w:id="0"/>
      <w:r>
        <w:rPr>
          <w:rFonts w:hint="eastAsia" w:ascii="宋体" w:hAnsi="宋体" w:eastAsia="宋体" w:cs="宋体"/>
          <w:b w:val="0"/>
          <w:bCs w:val="0"/>
          <w:color w:val="FF0000"/>
          <w:w w:val="42"/>
          <w:sz w:val="144"/>
          <w:szCs w:val="144"/>
        </w:rPr>
        <w:t>博市张店区服务业发展中心文件</w:t>
      </w:r>
    </w:p>
    <w:p>
      <w:pPr>
        <w:keepNext w:val="0"/>
        <w:keepLines w:val="0"/>
        <w:pageBreakBefore w:val="0"/>
        <w:widowControl w:val="0"/>
        <w:kinsoku/>
        <w:wordWrap/>
        <w:overflowPunct/>
        <w:topLinePunct w:val="0"/>
        <w:autoSpaceDE/>
        <w:autoSpaceDN/>
        <w:bidi w:val="0"/>
        <w:adjustRightInd/>
        <w:snapToGrid/>
        <w:spacing w:line="320" w:lineRule="exact"/>
        <w:ind w:right="378" w:rightChars="180"/>
        <w:jc w:val="center"/>
        <w:textAlignment w:val="auto"/>
        <w:outlineLvl w:val="9"/>
        <w:rPr>
          <w:rFonts w:hint="eastAsia" w:ascii="楷体" w:hAnsi="楷体" w:eastAsia="楷体" w:cs="楷体"/>
          <w:sz w:val="30"/>
          <w:szCs w:val="30"/>
          <w:lang w:eastAsia="zh-CN"/>
        </w:rPr>
      </w:pPr>
      <w:r>
        <w:rPr>
          <w:rFonts w:hint="eastAsia" w:ascii="楷体" w:hAnsi="楷体" w:eastAsia="楷体" w:cs="楷体"/>
          <w:sz w:val="30"/>
          <w:szCs w:val="30"/>
        </w:rPr>
        <w:t xml:space="preserve">    </w:t>
      </w:r>
    </w:p>
    <w:p>
      <w:pPr>
        <w:ind w:right="378" w:rightChars="180"/>
        <w:jc w:val="center"/>
        <w:rPr>
          <w:rFonts w:ascii="Times New Roman" w:hAnsi="Times New Roman"/>
          <w:sz w:val="30"/>
          <w:szCs w:val="30"/>
        </w:rPr>
      </w:pPr>
      <w:r>
        <w:rPr>
          <w:rFonts w:hint="eastAsia" w:ascii="楷体_GB2312" w:hAnsi="楷体_GB2312" w:eastAsia="楷体_GB2312" w:cs="楷体_GB2312"/>
          <w:sz w:val="30"/>
          <w:szCs w:val="30"/>
        </w:rPr>
        <w:t>张服字〔202</w:t>
      </w:r>
      <w:r>
        <w:rPr>
          <w:rFonts w:hint="eastAsia" w:ascii="楷体_GB2312" w:hAnsi="楷体_GB2312" w:eastAsia="楷体_GB2312" w:cs="楷体_GB2312"/>
          <w:sz w:val="30"/>
          <w:szCs w:val="30"/>
          <w:lang w:val="en-US" w:eastAsia="zh-CN"/>
        </w:rPr>
        <w:t>1</w:t>
      </w: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val="en-US" w:eastAsia="zh-CN"/>
        </w:rPr>
        <w:t>46</w:t>
      </w:r>
      <w:r>
        <w:rPr>
          <w:rFonts w:hint="eastAsia" w:ascii="楷体_GB2312" w:hAnsi="楷体_GB2312" w:eastAsia="楷体_GB2312" w:cs="楷体_GB2312"/>
          <w:sz w:val="30"/>
          <w:szCs w:val="30"/>
        </w:rPr>
        <w:t>号</w:t>
      </w: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黑体" w:hAnsi="黑体" w:eastAsia="黑体" w:cs="黑体"/>
          <w:spacing w:val="11"/>
          <w:sz w:val="36"/>
          <w:szCs w:val="36"/>
        </w:rPr>
      </w:pPr>
      <w:r>
        <w:rPr>
          <w:rFonts w:ascii="Times New Roman" w:hAnsi="Times New Roman" w:eastAsia="方正小标宋简体"/>
          <w:color w:val="FF0000"/>
          <w:spacing w:val="56"/>
          <w:w w:val="66"/>
          <w:sz w:val="84"/>
          <w:szCs w:val="84"/>
          <w:lang w:val="zh-CN"/>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78105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6.15pt;height:0pt;width:442.2pt;z-index:251660288;mso-width-relative:page;mso-height-relative:page;" filled="f" stroked="t" coordsize="21600,21600" o:gfxdata="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vyzy0wAAAAcBAAAPAAAAAAAAAAEAIAAAACIAAABkcnMvZG93bnJldi54bWxQSwECFAAU&#10;AAAACACHTuJAJ7NnofYBAADlAwAADgAAAAAAAAABACAAAAAiAQAAZHJzL2Uyb0RvYy54bWxQSwUG&#10;AAAAAAYABgBZAQAAigUAAAAA&#10;">
                <v:fill on="f" focussize="0,0"/>
                <v:stroke weight="2pt" color="#FF0000" joinstyle="round"/>
                <v:imagedata o:title=""/>
                <o:lock v:ext="edit" aspectratio="f"/>
              </v:line>
            </w:pict>
          </mc:Fallback>
        </mc:AlternateContent>
      </w:r>
    </w:p>
    <w:p>
      <w:pPr>
        <w:keepNext w:val="0"/>
        <w:keepLines w:val="0"/>
        <w:pageBreakBefore w:val="0"/>
        <w:kinsoku/>
        <w:wordWrap/>
        <w:topLinePunct w:val="0"/>
        <w:bidi w:val="0"/>
        <w:spacing w:before="156" w:beforeLines="50" w:line="560" w:lineRule="exact"/>
        <w:jc w:val="center"/>
        <w:rPr>
          <w:rFonts w:hint="eastAsia" w:ascii="楷体_GB2312" w:hAnsi="楷体_GB2312" w:eastAsia="楷体_GB2312" w:cs="楷体_GB2312"/>
          <w:bCs/>
          <w:sz w:val="32"/>
          <w:szCs w:val="32"/>
        </w:rPr>
      </w:pPr>
      <w:r>
        <w:rPr>
          <w:rFonts w:hint="eastAsia" w:ascii="方正小标宋简体" w:hAnsi="黑体" w:eastAsia="方正小标宋简体" w:cs="黑体"/>
          <w:snapToGrid w:val="0"/>
          <w:kern w:val="0"/>
          <w:sz w:val="44"/>
          <w:szCs w:val="44"/>
        </w:rPr>
        <w:t>张店区服务业综合改革试点工作总结报告</w:t>
      </w:r>
    </w:p>
    <w:p>
      <w:pPr>
        <w:keepNext w:val="0"/>
        <w:keepLines w:val="0"/>
        <w:pageBreakBefore w:val="0"/>
        <w:kinsoku/>
        <w:wordWrap/>
        <w:topLinePunct w:val="0"/>
        <w:bidi w:val="0"/>
        <w:spacing w:before="156" w:beforeLines="50" w:line="560" w:lineRule="exact"/>
        <w:jc w:val="center"/>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rPr>
        <w:t>淄博</w:t>
      </w:r>
      <w:r>
        <w:rPr>
          <w:rFonts w:ascii="楷体_GB2312" w:hAnsi="楷体_GB2312" w:eastAsia="楷体_GB2312" w:cs="楷体_GB2312"/>
          <w:bCs/>
          <w:sz w:val="32"/>
          <w:szCs w:val="32"/>
        </w:rPr>
        <w:t>市</w:t>
      </w:r>
      <w:r>
        <w:rPr>
          <w:rFonts w:hint="eastAsia" w:ascii="楷体_GB2312" w:hAnsi="楷体_GB2312" w:eastAsia="楷体_GB2312" w:cs="楷体_GB2312"/>
          <w:bCs/>
          <w:sz w:val="32"/>
          <w:szCs w:val="32"/>
        </w:rPr>
        <w:t>张店区</w:t>
      </w:r>
      <w:r>
        <w:rPr>
          <w:rFonts w:hint="eastAsia" w:ascii="楷体_GB2312" w:hAnsi="楷体_GB2312" w:eastAsia="楷体_GB2312" w:cs="楷体_GB2312"/>
          <w:bCs/>
          <w:sz w:val="32"/>
          <w:szCs w:val="32"/>
          <w:lang w:val="en-US" w:eastAsia="zh-CN"/>
        </w:rPr>
        <w:t>服务业发展中心</w:t>
      </w:r>
    </w:p>
    <w:p>
      <w:pPr>
        <w:keepNext w:val="0"/>
        <w:keepLines w:val="0"/>
        <w:pageBreakBefore w:val="0"/>
        <w:kinsoku/>
        <w:wordWrap/>
        <w:topLinePunct w:val="0"/>
        <w:bidi w:val="0"/>
        <w:spacing w:before="156" w:beforeLines="50" w:line="560" w:lineRule="exac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(20</w:t>
      </w:r>
      <w:r>
        <w:rPr>
          <w:rFonts w:hint="eastAsia" w:ascii="楷体_GB2312" w:hAnsi="楷体_GB2312" w:eastAsia="楷体_GB2312" w:cs="楷体_GB2312"/>
          <w:bCs/>
          <w:sz w:val="32"/>
          <w:szCs w:val="32"/>
          <w:lang w:val="en-US" w:eastAsia="zh-CN"/>
        </w:rPr>
        <w:t>21</w:t>
      </w:r>
      <w:r>
        <w:rPr>
          <w:rFonts w:hint="eastAsia" w:ascii="楷体_GB2312" w:hAnsi="楷体_GB2312" w:eastAsia="楷体_GB2312" w:cs="楷体_GB2312"/>
          <w:bCs/>
          <w:sz w:val="32"/>
          <w:szCs w:val="32"/>
        </w:rPr>
        <w:t>年9月）</w:t>
      </w:r>
    </w:p>
    <w:p>
      <w:pPr>
        <w:keepNext w:val="0"/>
        <w:keepLines w:val="0"/>
        <w:pageBreakBefore w:val="0"/>
        <w:kinsoku/>
        <w:wordWrap/>
        <w:topLinePunct w:val="0"/>
        <w:bidi w:val="0"/>
        <w:spacing w:before="156" w:beforeLines="50" w:line="560" w:lineRule="exact"/>
        <w:jc w:val="left"/>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Cs/>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SA"/>
        </w:rPr>
        <w:t>2017年张店区列入“十三五”山东省服务业综合改革试点区以来，我区紧密结合张店实际，紧抓改革试点政策机遇，进一步完善体制机制和政策措施，加强服务业载体建设、营造服务业良好发展环境、促使服务业创新发展、加快我区服务业转型升级，努力实现服务业向“全业态”拓展，力争全面建设区域性现代服务业发展高地。现将工作情况汇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center"/>
        <w:outlineLvl w:val="9"/>
        <w:rPr>
          <w:rFonts w:hint="eastAsia" w:ascii="仿宋_GB2312" w:hAnsi="仿宋_GB2312" w:eastAsia="仿宋_GB2312" w:cs="仿宋_GB2312"/>
          <w:sz w:val="32"/>
          <w:szCs w:val="32"/>
          <w:lang w:val="en-US" w:eastAsia="zh-CN"/>
        </w:rPr>
      </w:pPr>
      <w:r>
        <w:rPr>
          <w:rFonts w:hint="eastAsia" w:ascii="黑体" w:hAnsi="Times New Roman" w:eastAsia="黑体" w:cs="方正黑体_GBK"/>
          <w:sz w:val="32"/>
          <w:szCs w:val="32"/>
          <w:lang w:val="en-US" w:eastAsia="zh-CN"/>
        </w:rPr>
        <w:t>一、服务业</w:t>
      </w:r>
      <w:r>
        <w:rPr>
          <w:rFonts w:hint="eastAsia" w:ascii="黑体" w:hAnsi="Times New Roman" w:eastAsia="黑体" w:cs="方正黑体_GBK"/>
          <w:sz w:val="32"/>
          <w:szCs w:val="32"/>
        </w:rPr>
        <w:t>发展情况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center"/>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年服务业各项指标实现稳定增长，整体实力明显增强。截至20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年底，</w:t>
      </w:r>
      <w:r>
        <w:rPr>
          <w:rFonts w:hint="eastAsia" w:ascii="仿宋_GB2312" w:hAnsi="仿宋_GB2312" w:eastAsia="仿宋_GB2312" w:cs="仿宋_GB2312"/>
          <w:sz w:val="32"/>
          <w:szCs w:val="32"/>
          <w:lang w:val="en-US" w:eastAsia="zh-CN"/>
        </w:rPr>
        <w:t>张店区</w:t>
      </w:r>
      <w:r>
        <w:rPr>
          <w:rFonts w:hint="eastAsia" w:ascii="仿宋_GB2312" w:hAnsi="仿宋_GB2312" w:eastAsia="仿宋_GB2312" w:cs="仿宋_GB2312"/>
          <w:sz w:val="32"/>
          <w:szCs w:val="32"/>
        </w:rPr>
        <w:t>服务业增加值完成</w:t>
      </w:r>
      <w:r>
        <w:rPr>
          <w:rFonts w:hint="eastAsia" w:ascii="仿宋_GB2312" w:hAnsi="仿宋_GB2312" w:eastAsia="仿宋_GB2312" w:cs="仿宋_GB2312"/>
          <w:sz w:val="32"/>
          <w:szCs w:val="32"/>
          <w:lang w:val="en-US" w:eastAsia="zh-CN"/>
        </w:rPr>
        <w:t>461.7</w:t>
      </w:r>
      <w:r>
        <w:rPr>
          <w:rFonts w:hint="eastAsia" w:ascii="仿宋_GB2312" w:hAnsi="仿宋_GB2312" w:eastAsia="仿宋_GB2312" w:cs="仿宋_GB2312"/>
          <w:sz w:val="32"/>
          <w:szCs w:val="32"/>
        </w:rPr>
        <w:t>亿元，同比增长</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全区三次产业比例由2015年的0.14:42.23：57.63调整为2020年的0.2:32.1：67.7。2020年</w:t>
      </w:r>
      <w:r>
        <w:rPr>
          <w:rFonts w:hint="eastAsia" w:ascii="仿宋_GB2312" w:hAnsi="仿宋_GB2312" w:eastAsia="仿宋_GB2312" w:cs="仿宋_GB2312"/>
          <w:sz w:val="32"/>
          <w:szCs w:val="32"/>
        </w:rPr>
        <w:t>服务业增加值占GDP比重达到</w:t>
      </w:r>
      <w:r>
        <w:rPr>
          <w:rFonts w:hint="eastAsia" w:ascii="仿宋_GB2312" w:hAnsi="仿宋_GB2312" w:eastAsia="仿宋_GB2312" w:cs="仿宋_GB2312"/>
          <w:sz w:val="32"/>
          <w:szCs w:val="32"/>
          <w:lang w:val="en-US" w:eastAsia="zh-CN"/>
        </w:rPr>
        <w:t>67.72</w:t>
      </w:r>
      <w:r>
        <w:rPr>
          <w:rFonts w:hint="eastAsia" w:ascii="仿宋_GB2312" w:hAnsi="仿宋_GB2312" w:eastAsia="仿宋_GB2312" w:cs="仿宋_GB2312"/>
          <w:sz w:val="32"/>
          <w:szCs w:val="32"/>
        </w:rPr>
        <w:t>%,同比提高</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个百分点。</w:t>
      </w:r>
      <w:r>
        <w:rPr>
          <w:rFonts w:hint="eastAsia" w:ascii="仿宋_GB2312" w:hAnsi="仿宋_GB2312" w:eastAsia="仿宋_GB2312" w:cs="仿宋_GB2312"/>
          <w:sz w:val="32"/>
          <w:szCs w:val="32"/>
          <w:lang w:val="en-US" w:eastAsia="zh-CN"/>
        </w:rPr>
        <w:t xml:space="preserve">服务业对经济增长贡献率为43.7%，服务业税收收入55.63亿元，占税收总比重74.43%，服务业劳动生产率27.91%，社会消费品零售额3437924万元，规模以上服务业企业130家，完成营业收入124.7亿元。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center"/>
        <w:outlineLvl w:val="9"/>
        <w:rPr>
          <w:rFonts w:hint="default"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二、服务业载体建设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楷体_GB2312" w:hAnsi="楷体_GB2312" w:eastAsia="楷体_GB2312" w:cs="楷体_GB2312"/>
          <w:bCs/>
          <w:color w:val="auto"/>
          <w:kern w:val="0"/>
          <w:sz w:val="32"/>
          <w:szCs w:val="32"/>
          <w:lang w:val="en-US" w:eastAsia="zh-CN"/>
        </w:rPr>
      </w:pPr>
      <w:r>
        <w:rPr>
          <w:rFonts w:hint="eastAsia" w:ascii="楷体_GB2312" w:hAnsi="楷体_GB2312" w:eastAsia="楷体_GB2312" w:cs="楷体_GB2312"/>
          <w:bCs/>
          <w:color w:val="auto"/>
          <w:kern w:val="0"/>
          <w:sz w:val="32"/>
          <w:szCs w:val="32"/>
          <w:lang w:eastAsia="zh-CN"/>
        </w:rPr>
        <w:t>（</w:t>
      </w:r>
      <w:r>
        <w:rPr>
          <w:rFonts w:hint="eastAsia" w:ascii="楷体_GB2312" w:hAnsi="楷体_GB2312" w:eastAsia="楷体_GB2312" w:cs="楷体_GB2312"/>
          <w:bCs/>
          <w:color w:val="auto"/>
          <w:kern w:val="0"/>
          <w:sz w:val="32"/>
          <w:szCs w:val="32"/>
          <w:lang w:val="en-US" w:eastAsia="zh-CN"/>
        </w:rPr>
        <w:t>一</w:t>
      </w:r>
      <w:r>
        <w:rPr>
          <w:rFonts w:hint="eastAsia" w:ascii="楷体_GB2312" w:hAnsi="楷体_GB2312" w:eastAsia="楷体_GB2312" w:cs="楷体_GB2312"/>
          <w:bCs/>
          <w:color w:val="auto"/>
          <w:kern w:val="0"/>
          <w:sz w:val="32"/>
          <w:szCs w:val="32"/>
          <w:lang w:eastAsia="zh-CN"/>
        </w:rPr>
        <w:t>）</w:t>
      </w:r>
      <w:r>
        <w:rPr>
          <w:rFonts w:hint="eastAsia" w:ascii="楷体_GB2312" w:hAnsi="楷体_GB2312" w:eastAsia="楷体_GB2312" w:cs="楷体_GB2312"/>
          <w:bCs/>
          <w:color w:val="auto"/>
          <w:kern w:val="0"/>
          <w:sz w:val="32"/>
          <w:szCs w:val="32"/>
          <w:lang w:val="en-US" w:eastAsia="zh-CN"/>
        </w:rPr>
        <w:t>产业园区和特色街区建设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val="0"/>
          <w:color w:val="auto"/>
          <w:kern w:val="0"/>
          <w:sz w:val="32"/>
          <w:szCs w:val="32"/>
          <w:lang w:val="en-US" w:eastAsia="zh-CN"/>
        </w:rPr>
        <w:t>一是</w:t>
      </w:r>
      <w:r>
        <w:rPr>
          <w:rFonts w:hint="eastAsia" w:ascii="仿宋_GB2312" w:hAnsi="仿宋_GB2312" w:eastAsia="仿宋_GB2312" w:cs="仿宋_GB2312"/>
          <w:b/>
          <w:bCs w:val="0"/>
          <w:color w:val="auto"/>
          <w:kern w:val="0"/>
          <w:sz w:val="32"/>
          <w:szCs w:val="32"/>
        </w:rPr>
        <w:t>搞好服务业园区规划，</w:t>
      </w:r>
      <w:r>
        <w:rPr>
          <w:rFonts w:hint="eastAsia" w:ascii="仿宋_GB2312" w:hAnsi="仿宋_GB2312" w:eastAsia="仿宋_GB2312" w:cs="仿宋_GB2312"/>
          <w:b/>
          <w:bCs w:val="0"/>
          <w:color w:val="auto"/>
          <w:kern w:val="0"/>
          <w:sz w:val="32"/>
          <w:szCs w:val="32"/>
          <w:lang w:val="en-US" w:eastAsia="zh-CN"/>
        </w:rPr>
        <w:t>以产业园区带动产业聚集，</w:t>
      </w:r>
      <w:r>
        <w:rPr>
          <w:rFonts w:hint="eastAsia" w:ascii="仿宋_GB2312" w:hAnsi="仿宋_GB2312" w:eastAsia="仿宋_GB2312" w:cs="仿宋_GB2312"/>
          <w:b/>
          <w:bCs/>
          <w:color w:val="auto"/>
          <w:kern w:val="0"/>
          <w:sz w:val="32"/>
          <w:szCs w:val="32"/>
          <w:lang w:val="en-US" w:eastAsia="zh-CN"/>
        </w:rPr>
        <w:t>以平台思维探索招商运营新模式。</w:t>
      </w:r>
      <w:r>
        <w:rPr>
          <w:rFonts w:hint="eastAsia" w:ascii="仿宋_GB2312" w:hAnsi="仿宋_GB2312" w:eastAsia="仿宋_GB2312" w:cs="仿宋_GB2312"/>
          <w:color w:val="auto"/>
          <w:kern w:val="0"/>
          <w:sz w:val="32"/>
          <w:szCs w:val="32"/>
          <w:lang w:val="en-US" w:eastAsia="zh-CN"/>
        </w:rPr>
        <w:t>创新性引进国内领先园区运营商——上海归心谷，打造‘上海——张店’产业资源直通平台，深挖龙头企业资源链接能力，将优势产业资源快速导入张店，构造企业孵化成长体系，培育本土企业创新发展的能力，从而推动社会形成创新创业氛围。淄博市张店区青年创业园（张店区大学生创业园）始建于2015年，是张店区委区政府响应国家“大众创业，万众创新”的号召，集合全区优势资源打造综合性创业创新示范园区，由5座写字楼组成，总计面积7.4万平方米。投入使用以来，入住企业千余家，解决就业13000余人，产业聚焦电子商务、服务贸易、人力资源、科技服务等现代服务业。先后获评省级创业示范园区、省级科技企业孵化器、省级人力资源产业园、省级青年创业孵化基地、省级创新创业示范综合体、省级小型微型企业创业创新示范基地等荣誉。目前园内企业230余家，2020年实现税收6000余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二是</w:t>
      </w:r>
      <w:r>
        <w:rPr>
          <w:rFonts w:hint="eastAsia" w:ascii="仿宋_GB2312" w:hAnsi="仿宋_GB2312" w:eastAsia="仿宋_GB2312" w:cs="仿宋_GB2312"/>
          <w:b/>
          <w:bCs w:val="0"/>
          <w:color w:val="auto"/>
          <w:kern w:val="0"/>
          <w:sz w:val="32"/>
          <w:szCs w:val="32"/>
        </w:rPr>
        <w:t>搭建发展载体</w:t>
      </w:r>
      <w:r>
        <w:rPr>
          <w:rFonts w:hint="eastAsia" w:ascii="仿宋_GB2312" w:hAnsi="仿宋_GB2312" w:eastAsia="仿宋_GB2312" w:cs="仿宋_GB2312"/>
          <w:b/>
          <w:bCs w:val="0"/>
          <w:color w:val="auto"/>
          <w:kern w:val="0"/>
          <w:sz w:val="32"/>
          <w:szCs w:val="32"/>
          <w:lang w:eastAsia="zh-CN"/>
        </w:rPr>
        <w:t>，</w:t>
      </w:r>
      <w:r>
        <w:rPr>
          <w:rFonts w:hint="eastAsia" w:ascii="仿宋_GB2312" w:hAnsi="仿宋_GB2312" w:eastAsia="仿宋_GB2312" w:cs="仿宋_GB2312"/>
          <w:b/>
          <w:bCs w:val="0"/>
          <w:color w:val="auto"/>
          <w:kern w:val="0"/>
          <w:sz w:val="32"/>
          <w:szCs w:val="32"/>
        </w:rPr>
        <w:t>提供融合平台</w:t>
      </w:r>
      <w:r>
        <w:rPr>
          <w:rFonts w:hint="eastAsia" w:ascii="仿宋_GB2312" w:hAnsi="仿宋_GB2312" w:eastAsia="仿宋_GB2312" w:cs="仿宋_GB2312"/>
          <w:b/>
          <w:bCs w:val="0"/>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提升张店区创新创业环境</w:t>
      </w:r>
      <w:r>
        <w:rPr>
          <w:rFonts w:hint="eastAsia" w:ascii="仿宋_GB2312" w:hAnsi="仿宋_GB2312" w:eastAsia="仿宋_GB2312" w:cs="仿宋_GB2312"/>
          <w:color w:val="auto"/>
          <w:kern w:val="0"/>
          <w:sz w:val="32"/>
          <w:szCs w:val="32"/>
          <w:lang w:val="en-US" w:eastAsia="zh-CN"/>
        </w:rPr>
        <w:t>。响应市委平台思维发展理念，园区于2020年7月份引入国内领先园区运营商上海归心谷创客空间管理有限公司开展战略合作。旨在依托归心谷一线城市招商资源和海外23家人才工作站优势及其完善的创业孵化体系，打通“淄博—上海”产业生态通道，助力园区企业快速成长，全力打造集“高端人才集聚——创业创新孵化——产业资源对接”三位一体的国家级创业创新示范基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三是创新运营模式，</w:t>
      </w:r>
      <w:r>
        <w:rPr>
          <w:rFonts w:hint="eastAsia" w:ascii="仿宋_GB2312" w:hAnsi="仿宋_GB2312" w:eastAsia="仿宋_GB2312" w:cs="仿宋_GB2312"/>
          <w:b/>
          <w:bCs w:val="0"/>
          <w:color w:val="auto"/>
          <w:kern w:val="0"/>
          <w:sz w:val="32"/>
          <w:szCs w:val="32"/>
        </w:rPr>
        <w:t>打造产业集群，</w:t>
      </w:r>
      <w:r>
        <w:rPr>
          <w:rFonts w:hint="eastAsia" w:ascii="仿宋_GB2312" w:hAnsi="仿宋_GB2312" w:eastAsia="仿宋_GB2312" w:cs="仿宋_GB2312"/>
          <w:b/>
          <w:bCs/>
          <w:color w:val="000000"/>
          <w:kern w:val="0"/>
          <w:sz w:val="32"/>
          <w:szCs w:val="32"/>
          <w:lang w:val="en-US" w:eastAsia="zh-CN" w:bidi="ar"/>
        </w:rPr>
        <w:t>构建“2+4+6”运营模式和孵化服务体系。“2”</w:t>
      </w:r>
      <w:r>
        <w:rPr>
          <w:rFonts w:hint="eastAsia" w:ascii="仿宋_GB2312" w:hAnsi="仿宋_GB2312" w:eastAsia="仿宋_GB2312" w:cs="仿宋_GB2312"/>
          <w:color w:val="000000"/>
          <w:kern w:val="0"/>
          <w:sz w:val="32"/>
          <w:szCs w:val="32"/>
          <w:lang w:val="en-US" w:eastAsia="zh-CN" w:bidi="ar"/>
        </w:rPr>
        <w:t xml:space="preserve"> 即“政府主管部门+专业化团队”的运营模式，政府强化领导和政策协调，有利于资源的统筹和聚集。专业团队服务，可以保障服务的专业性和成效性。为实现园区提质增效，突破园区发展瓶颈，提升张店区创新创业环境，响应市委平台思维发展理念，园区于 2020 年 7 月份引入国内领先园区运营商上海归心谷创客空间管理有限公司开展战略合作。上海归心谷Homevalley——企业跨境一站式服务平台，坐落于上海核心商圈，致力于全方位打造集园区孵化、归心谷未来学院等为核心内容的全球化高端人才服务平台。归心谷深受上海市政府大力扶持，汇集政府、资本、技术和市场力量，联动硅谷、纽约、西雅图等海外智库与市场资源，提供产业园区、教育培训、海外人才、企业咨询和投融资等服务。“</w:t>
      </w:r>
      <w:r>
        <w:rPr>
          <w:rFonts w:hint="eastAsia" w:ascii="仿宋_GB2312" w:hAnsi="仿宋_GB2312" w:eastAsia="仿宋_GB2312" w:cs="仿宋_GB2312"/>
          <w:b/>
          <w:bCs/>
          <w:color w:val="000000"/>
          <w:kern w:val="0"/>
          <w:sz w:val="32"/>
          <w:szCs w:val="32"/>
          <w:lang w:val="en-US" w:eastAsia="zh-CN" w:bidi="ar"/>
        </w:rPr>
        <w:t>4”</w:t>
      </w:r>
      <w:r>
        <w:rPr>
          <w:rFonts w:hint="eastAsia" w:ascii="仿宋_GB2312" w:hAnsi="仿宋_GB2312" w:eastAsia="仿宋_GB2312" w:cs="仿宋_GB2312"/>
          <w:color w:val="000000"/>
          <w:kern w:val="0"/>
          <w:sz w:val="32"/>
          <w:szCs w:val="32"/>
          <w:lang w:val="en-US" w:eastAsia="zh-CN" w:bidi="ar"/>
        </w:rPr>
        <w:t>即“苗圃-孵化器-加速器-产业园”一体化的四级孵化体系，为企业提供全生命周期的孵化服务。</w:t>
      </w:r>
      <w:r>
        <w:rPr>
          <w:rFonts w:hint="eastAsia" w:ascii="仿宋_GB2312" w:hAnsi="仿宋_GB2312" w:eastAsia="仿宋_GB2312" w:cs="仿宋_GB2312"/>
          <w:b/>
          <w:bCs/>
          <w:color w:val="000000"/>
          <w:kern w:val="0"/>
          <w:sz w:val="32"/>
          <w:szCs w:val="32"/>
          <w:lang w:val="en-US" w:eastAsia="zh-CN" w:bidi="ar"/>
        </w:rPr>
        <w:t>“6”</w:t>
      </w:r>
      <w:r>
        <w:rPr>
          <w:rFonts w:hint="eastAsia" w:ascii="仿宋_GB2312" w:hAnsi="仿宋_GB2312" w:eastAsia="仿宋_GB2312" w:cs="仿宋_GB2312"/>
          <w:color w:val="000000"/>
          <w:kern w:val="0"/>
          <w:sz w:val="32"/>
          <w:szCs w:val="32"/>
          <w:lang w:val="en-US" w:eastAsia="zh-CN" w:bidi="ar"/>
        </w:rPr>
        <w:t>即为更好地立足园区，辐射全市，建设了6大服务平台。通过专业服务平台的搭建，提升双创服务能力和辐射强度，</w:t>
      </w:r>
      <w:r>
        <w:rPr>
          <w:rFonts w:hint="eastAsia" w:ascii="仿宋_GB2312" w:hAnsi="仿宋_GB2312" w:eastAsia="仿宋_GB2312" w:cs="仿宋_GB2312"/>
          <w:color w:val="000000"/>
          <w:kern w:val="0"/>
          <w:sz w:val="32"/>
          <w:szCs w:val="32"/>
          <w:u w:val="none"/>
          <w:lang w:val="en-US" w:eastAsia="zh-CN" w:bidi="ar"/>
        </w:rPr>
        <w:t>将创业孵化服务、投融资服务、人力资源服务、创业创新研究、产业对接服务、创业创新人才培养等多功能聚合,形成</w:t>
      </w:r>
      <w:r>
        <w:rPr>
          <w:rFonts w:hint="eastAsia" w:ascii="仿宋_GB2312" w:hAnsi="仿宋_GB2312" w:eastAsia="仿宋_GB2312" w:cs="仿宋_GB2312"/>
          <w:color w:val="000000"/>
          <w:kern w:val="0"/>
          <w:sz w:val="32"/>
          <w:szCs w:val="32"/>
          <w:lang w:val="en-US" w:eastAsia="zh-CN" w:bidi="ar"/>
        </w:rPr>
        <w:t>具有较强吸引力的创业创新生态，推动区域经济发展。</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四是搭建共商共赢新平台，打造夜间经济新生态，积极提升夜间经济试点街区</w:t>
      </w:r>
      <w:r>
        <w:rPr>
          <w:rFonts w:hint="eastAsia" w:ascii="仿宋_GB2312" w:hAnsi="仿宋_GB2312" w:eastAsia="仿宋_GB2312" w:cs="仿宋_GB2312"/>
          <w:color w:val="000000"/>
          <w:kern w:val="0"/>
          <w:sz w:val="32"/>
          <w:szCs w:val="32"/>
          <w:lang w:val="en-US" w:eastAsia="zh-CN" w:bidi="ar"/>
        </w:rPr>
        <w:t>。张店区共12家夜间经济试点街区（功能区调整后），包括华润淄博万象汇商圈、尚美第三城、水晶街、淄博王府井广场商圈、淄博印象汇、东坊文创园、万达广场商圈、玉黛湖夜经济综合体、唐库文创园、宏程新天地商业街、东方四季餐饮、齐新文创园。</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促进夜间经济快速规范发展，张店区以“搭建共商共赢新平台，打造夜间经济新生态”为题，通过搭建“四个平台”（街区建设指导平台、活动推广策划平台、绿色审批平台、资源融合平台），对夜间经济试点街区分类指导，积极协助街区管理主体，进一步优化街区主题定位，着力实现“四个提升”（提升城区建设“夜魅力”、助力市民出行“夜动力”、激发试点街区“夜活力”、提高街区晚间“夜实力”），力争把繁荣发展夜间经济作为提升城市“时尚气质”和“活力指数”的新增长极。其中，以淄博水晶街、淄博万象汇、唐库文创园为代表的夜间经济街区特色明显，成为市民的网红打卡点。</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淄博水晶街全长1200米，是淄博新城区新崛起的成熟商圈。南靠山东理工大学，西邻新区金融街、淄博市体育中心，北傍淄博市文化中心、市图书馆、中国陶瓷琉璃博物馆、保利大剧院，能够辐射林泽花园、祥瑞园、金石晶城、龙凤苑、龙泰国际等10万常住居民。街区入驻商户210家，其中餐饮业占比约60%，更能提供时尚零售、亲子互动、教育培训等多元化消费体验，夜间借助青炉里、轰趴馆、水晶量贩KTV等消费娱乐场所动态消费，实现24小时消费全覆盖。为了丰富商业街业态和吸引客流，提升市民娱乐品质，水晶街设置了110余台同等规格颜色各异的网红餐车和集装箱用于打造特色营业场地，安装了“旋转木马”、“海盗船”、“旋转塔”，拥有青炉里、聚友斋、舍得小串、汲遇菜博山菜等为代表的明星餐厅20余家，日均人流可达3万人次，街区先后被CCTV财经频道、山东卫视、学习强国-山东故事、淄博日报播出和刊发。</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（二）公共服务平台建设</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一是设立“一站式”企业开办专区，实现企业开办集成办。</w:t>
      </w:r>
      <w:r>
        <w:rPr>
          <w:rFonts w:hint="eastAsia" w:ascii="仿宋_GB2312" w:hAnsi="仿宋_GB2312" w:eastAsia="仿宋_GB2312" w:cs="仿宋_GB2312"/>
          <w:b w:val="0"/>
          <w:bCs w:val="0"/>
          <w:kern w:val="2"/>
          <w:sz w:val="32"/>
          <w:szCs w:val="32"/>
          <w:lang w:val="en-US" w:eastAsia="zh-CN" w:bidi="ar-SA"/>
        </w:rPr>
        <w:t>张店区行政审批局在后</w:t>
      </w:r>
      <w:r>
        <w:rPr>
          <w:rFonts w:hint="eastAsia" w:ascii="仿宋_GB2312" w:hAnsi="仿宋_GB2312" w:eastAsia="仿宋_GB2312" w:cs="仿宋_GB2312"/>
          <w:kern w:val="2"/>
          <w:sz w:val="32"/>
          <w:szCs w:val="32"/>
          <w:lang w:val="en-US" w:eastAsia="zh-CN" w:bidi="ar-SA"/>
        </w:rPr>
        <w:t>台实行集成服务，将原来的串联办理变为并联审批，通过前后台全程无缝衔接，实现企业开办服务事项“一站”办齐，实际办理时间压缩至2小时以内，并为企业免费赠送“企业开办大礼包”。</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二是“全程网办+秒批秒办”实现企业开办零见面、零等待、零干预。</w:t>
      </w:r>
      <w:r>
        <w:rPr>
          <w:rFonts w:hint="eastAsia" w:ascii="仿宋_GB2312" w:hAnsi="仿宋_GB2312" w:eastAsia="仿宋_GB2312" w:cs="仿宋_GB2312"/>
          <w:kern w:val="2"/>
          <w:sz w:val="32"/>
          <w:szCs w:val="32"/>
          <w:lang w:val="en-US" w:eastAsia="zh-CN" w:bidi="ar-SA"/>
        </w:rPr>
        <w:t>全面推广应用山东政务服务网“一窗通”系统、“爱山东APP”、微信公众号“张店审批服务”，实现企业开办网上办、即时办、随时办、一点就办。我区率先在全市实现通过微信公众号办理企业开办登记。目前张店区企业开办网办率达99%以上。</w:t>
      </w:r>
    </w:p>
    <w:p>
      <w:pPr>
        <w:pStyle w:val="2"/>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率先研发应用商事登记秒批秒办24小时自助服务终端。在全省唯一开展“商事登记全程智能化登记服务”试点，打造以“身份识别+自主申报+自动审核+自助打照”的智能登记为主，涵盖执照自助打印、企业信息和个体信息查询打印等5项功能于一体的商事登记全程智能化登记新模式，目前已将25台自助终端机延伸投放至镇办、银行、商场等群众就近场所，为企业提供信息查询打印、营业执照自助打印及商事登记“秒批秒办”等服务。</w:t>
      </w:r>
    </w:p>
    <w:p>
      <w:pPr>
        <w:pStyle w:val="2"/>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全面推广应用电子证照。全面梳理全区政务服务部门涉企政务服务事项，全区380余项业务可应用电子营业执照，550余项业务可应用电子身份证，全区所有涉及自然人业务可应用电子身份证，实现一部手机办企业。</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三是“全员帮办+全程代办”服务模式，实现企业开办即时办、随时办、一地办。</w:t>
      </w:r>
      <w:r>
        <w:rPr>
          <w:rFonts w:hint="eastAsia" w:ascii="仿宋_GB2312" w:hAnsi="仿宋_GB2312" w:eastAsia="仿宋_GB2312" w:cs="仿宋_GB2312"/>
          <w:kern w:val="2"/>
          <w:sz w:val="32"/>
          <w:szCs w:val="32"/>
          <w:lang w:val="en-US" w:eastAsia="zh-CN" w:bidi="ar-SA"/>
        </w:rPr>
        <w:t>创新“全员帮办+全程代办”服务模式。窗口人员即是帮办人员，实行“全员帮办+全程代办”服务，主动为办事群众提供全链条、全流程免费帮办代办服务，实现政务服务从理念到机制的新突破。</w:t>
      </w:r>
    </w:p>
    <w:p>
      <w:pPr>
        <w:pStyle w:val="2"/>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行延时、预约、上门等特色服务，打造“5+2”全天候常态化服务机制。设立“潮汐”窗口，在办件高峰时间段，增设“潮汐”窗口及服务人员，缓解高峰期窗口业务压力，减少市民办事等待时间；将工作日早、午、晚延时服务与双休日服务相结合，实行延时、预约、上门等特色服务，成功打造“5+2”全天候常态化服务机制，破解企业群众办事“上班没空办、下班没处办”的痛点难点。</w:t>
      </w:r>
    </w:p>
    <w:p>
      <w:pPr>
        <w:pStyle w:val="2"/>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创新推出“通办全省、帮办全国”服务。在全省首先将60项网办层级高的高频审批服务事项纳入“全省通办”，专设“全省通办”窗口，配备专员，建立沟通对接机制，对全国范围内政务服务事项提供帮办服务，对全省通办事项提供无偿代办服务，建立起“异地受理、属地审批、快递邮寄”的政务服务新模式。</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四是“告知承诺+容缺受理大信封”实现群众办事“最多跑一次”。</w:t>
      </w:r>
      <w:r>
        <w:rPr>
          <w:rFonts w:hint="eastAsia" w:ascii="仿宋_GB2312" w:hAnsi="仿宋_GB2312" w:eastAsia="仿宋_GB2312" w:cs="仿宋_GB2312"/>
          <w:kern w:val="2"/>
          <w:sz w:val="32"/>
          <w:szCs w:val="32"/>
          <w:lang w:val="en-US" w:eastAsia="zh-CN" w:bidi="ar-SA"/>
        </w:rPr>
        <w:t>扩大精简审批事项范围，分批梳理公布审批事项取消及容缺材料清单，实现涉企事项100%容缺受理，同时细化容缺受理措施，创新集成印制“容缺受理大信封”。将容缺受理补齐补正材料通知书和承诺书集成印制“容缺受理大信封”，一次告知，寄递双向免费，真正实现群众办事“最多跑一次”。</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五是“证照联办+一业一证”，实现企业“一证准营”。</w:t>
      </w:r>
      <w:r>
        <w:rPr>
          <w:rFonts w:hint="eastAsia" w:ascii="仿宋_GB2312" w:hAnsi="仿宋_GB2312" w:eastAsia="仿宋_GB2312" w:cs="仿宋_GB2312"/>
          <w:kern w:val="2"/>
          <w:sz w:val="32"/>
          <w:szCs w:val="32"/>
          <w:lang w:val="en-US" w:eastAsia="zh-CN" w:bidi="ar-SA"/>
        </w:rPr>
        <w:t>实行一次告知。线上问答智能导引、精准告知,线下整合办理流程、提交材料、表单文本等内容，制定提交材料规范和文书样本，为申请人提供“一件事”一次性告知服务。实行一表申请。针对一个行业经营涉及多事项许可的情况，推行“多表合一、一表申报”,实行共享数据自行复用、个性信息自主填报，实现一次提交、多次复用。实行一窗受理。政务服务中心设置“一业一证”“一链办理”办理窗口，实现一窗受理、集成服务。实行一次踏勘。现场核查环节推行超前辅导模式，从许可受理起主动介入，进行现场全方位指导优化，通过“证照联办+特事特办+全程服务”的联动核查模式和互联网远程勘验模式等举措，推行多个事项一次勘查,整改意见一口告知。实行一次发证。一次发放相关证照，按申请人意愿，相关证照可综合为行业综合许可证，行业经营许可信息一码覆盖，为“一业一证”提供有力信息化支撑，提高办事效率。我区承担了“一业一证”先试先行任务，为“一业一证”在全市推广奠定了基础。</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Cs/>
          <w:color w:val="00B0F0"/>
          <w:kern w:val="0"/>
          <w:sz w:val="32"/>
          <w:szCs w:val="32"/>
        </w:rPr>
      </w:pPr>
      <w:r>
        <w:rPr>
          <w:rFonts w:hint="eastAsia" w:ascii="仿宋_GB2312" w:hAnsi="仿宋_GB2312" w:eastAsia="仿宋_GB2312" w:cs="仿宋_GB2312"/>
          <w:b/>
          <w:bCs/>
          <w:kern w:val="2"/>
          <w:sz w:val="32"/>
          <w:szCs w:val="32"/>
          <w:lang w:val="en-US" w:eastAsia="zh-CN" w:bidi="ar-SA"/>
        </w:rPr>
        <w:t>六是加强信息公示，深入推进审批信息公开透明。</w:t>
      </w:r>
      <w:r>
        <w:rPr>
          <w:rFonts w:hint="eastAsia" w:ascii="仿宋_GB2312" w:hAnsi="仿宋_GB2312" w:eastAsia="仿宋_GB2312" w:cs="仿宋_GB2312"/>
          <w:kern w:val="2"/>
          <w:sz w:val="32"/>
          <w:szCs w:val="32"/>
          <w:lang w:val="en-US" w:eastAsia="zh-CN" w:bidi="ar-SA"/>
        </w:rPr>
        <w:t>不断完善数字化建设，加强信息公示。线上通过山东政务服务网对所有政务服务事项的所有要素进行公示，利用微信公众号对法律文件、改革措施、便民服务等及时向公众推送；线下在市民中心投放电子立屏，摆放业务指南，利用大屏幕宣传，实现线上线下全方位信息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（三）重点项目建设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张店区市级服务业重点项目开工率、投资完成率均高于全市平均水平，所开工的多个项目建成后社会效益和经济效益显著，为我区服务业高质量发展夯实了坚实基础。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一是根据淄博市所通报的市级服务业重点项目统计分析，我区各项指标完成情况均位于全市前列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z w:val="32"/>
          <w:szCs w:val="32"/>
          <w:lang w:val="en-US" w:eastAsia="zh-CN"/>
        </w:rPr>
        <w:t>018年</w:t>
      </w:r>
      <w:r>
        <w:rPr>
          <w:rFonts w:hint="eastAsia" w:ascii="仿宋_GB2312" w:hAnsi="仿宋_GB2312" w:eastAsia="仿宋_GB2312" w:cs="仿宋_GB2312"/>
          <w:sz w:val="32"/>
          <w:szCs w:val="32"/>
        </w:rPr>
        <w:t>全市服务业重点建设项目累计完成投资</w:t>
      </w:r>
      <w:r>
        <w:rPr>
          <w:rFonts w:hint="eastAsia" w:ascii="仿宋_GB2312" w:hAnsi="仿宋_GB2312" w:eastAsia="仿宋_GB2312" w:cs="仿宋_GB2312"/>
          <w:sz w:val="32"/>
          <w:szCs w:val="32"/>
          <w:lang w:val="en-US" w:eastAsia="zh-CN"/>
        </w:rPr>
        <w:t>300.24</w:t>
      </w:r>
      <w:r>
        <w:rPr>
          <w:rFonts w:hint="eastAsia" w:ascii="仿宋_GB2312" w:hAnsi="仿宋_GB2312" w:eastAsia="仿宋_GB2312" w:cs="仿宋_GB2312"/>
          <w:sz w:val="32"/>
          <w:szCs w:val="32"/>
        </w:rPr>
        <w:t>亿元，占年度计划的</w:t>
      </w:r>
      <w:r>
        <w:rPr>
          <w:rFonts w:hint="eastAsia" w:ascii="仿宋_GB2312" w:hAnsi="仿宋_GB2312" w:eastAsia="仿宋_GB2312" w:cs="仿宋_GB2312"/>
          <w:sz w:val="32"/>
          <w:szCs w:val="32"/>
          <w:lang w:val="en-US" w:eastAsia="zh-CN"/>
        </w:rPr>
        <w:t>105.17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93个新建项目全部开工，开工率100%；累计</w:t>
      </w:r>
      <w:r>
        <w:rPr>
          <w:rFonts w:hint="eastAsia" w:ascii="仿宋_GB2312" w:hAnsi="仿宋_GB2312" w:eastAsia="仿宋_GB2312" w:cs="仿宋_GB2312"/>
          <w:sz w:val="32"/>
          <w:szCs w:val="32"/>
        </w:rPr>
        <w:t>完成投资</w:t>
      </w:r>
      <w:r>
        <w:rPr>
          <w:rFonts w:hint="eastAsia" w:ascii="仿宋_GB2312" w:hAnsi="仿宋_GB2312" w:eastAsia="仿宋_GB2312" w:cs="仿宋_GB2312"/>
          <w:sz w:val="32"/>
          <w:szCs w:val="32"/>
          <w:lang w:val="en-US" w:eastAsia="zh-CN"/>
        </w:rPr>
        <w:t>157.68</w:t>
      </w:r>
      <w:r>
        <w:rPr>
          <w:rFonts w:hint="eastAsia" w:ascii="仿宋_GB2312" w:hAnsi="仿宋_GB2312" w:eastAsia="仿宋_GB2312" w:cs="仿宋_GB2312"/>
          <w:sz w:val="32"/>
          <w:szCs w:val="32"/>
        </w:rPr>
        <w:t>亿元，占年度计划的</w:t>
      </w:r>
      <w:r>
        <w:rPr>
          <w:rFonts w:hint="eastAsia" w:ascii="仿宋_GB2312" w:hAnsi="仿宋_GB2312" w:eastAsia="仿宋_GB2312" w:cs="仿宋_GB2312"/>
          <w:sz w:val="32"/>
          <w:szCs w:val="32"/>
          <w:lang w:val="en-US" w:eastAsia="zh-CN"/>
        </w:rPr>
        <w:t>99.24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个续建项目，</w:t>
      </w:r>
      <w:r>
        <w:rPr>
          <w:rFonts w:hint="eastAsia" w:ascii="仿宋_GB2312" w:hAnsi="仿宋_GB2312" w:eastAsia="仿宋_GB2312" w:cs="仿宋_GB2312"/>
          <w:sz w:val="32"/>
          <w:szCs w:val="32"/>
          <w:lang w:val="en-US" w:eastAsia="zh-CN"/>
        </w:rPr>
        <w:t>累计</w:t>
      </w:r>
      <w:r>
        <w:rPr>
          <w:rFonts w:hint="eastAsia" w:ascii="仿宋_GB2312" w:hAnsi="仿宋_GB2312" w:eastAsia="仿宋_GB2312" w:cs="仿宋_GB2312"/>
          <w:sz w:val="32"/>
          <w:szCs w:val="32"/>
        </w:rPr>
        <w:t>完成投资</w:t>
      </w:r>
      <w:r>
        <w:rPr>
          <w:rFonts w:hint="eastAsia" w:ascii="仿宋_GB2312" w:hAnsi="仿宋_GB2312" w:eastAsia="仿宋_GB2312" w:cs="仿宋_GB2312"/>
          <w:sz w:val="32"/>
          <w:szCs w:val="32"/>
          <w:lang w:val="en-US" w:eastAsia="zh-CN"/>
        </w:rPr>
        <w:t>142.55</w:t>
      </w:r>
      <w:r>
        <w:rPr>
          <w:rFonts w:hint="eastAsia" w:ascii="仿宋_GB2312" w:hAnsi="仿宋_GB2312" w:eastAsia="仿宋_GB2312" w:cs="仿宋_GB2312"/>
          <w:sz w:val="32"/>
          <w:szCs w:val="32"/>
        </w:rPr>
        <w:t>亿元，占年度计划的</w:t>
      </w:r>
      <w:r>
        <w:rPr>
          <w:rFonts w:hint="eastAsia" w:ascii="仿宋_GB2312" w:hAnsi="仿宋_GB2312" w:eastAsia="仿宋_GB2312" w:cs="仿宋_GB2312"/>
          <w:sz w:val="32"/>
          <w:szCs w:val="32"/>
          <w:lang w:val="en-US" w:eastAsia="zh-CN"/>
        </w:rPr>
        <w:t>112.6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张店区服务业投资完成率高于全市平均水平；新建和续建项目均超额完成</w:t>
      </w:r>
      <w:r>
        <w:rPr>
          <w:rFonts w:hint="eastAsia" w:ascii="仿宋_GB2312" w:hAnsi="仿宋_GB2312" w:eastAsia="仿宋_GB2312" w:cs="仿宋_GB2312"/>
          <w:color w:val="000000"/>
          <w:kern w:val="0"/>
          <w:sz w:val="32"/>
          <w:szCs w:val="32"/>
          <w:lang w:val="en-US" w:eastAsia="zh-CN" w:bidi="ar"/>
        </w:rPr>
        <w:t>年度工作目标。2019年</w:t>
      </w:r>
      <w:r>
        <w:rPr>
          <w:rFonts w:hint="eastAsia" w:ascii="仿宋_GB2312" w:hAnsi="仿宋_GB2312" w:eastAsia="仿宋_GB2312" w:cs="仿宋_GB2312"/>
          <w:sz w:val="32"/>
          <w:szCs w:val="32"/>
        </w:rPr>
        <w:t>全市服务业重点建设项目累计完成投资</w:t>
      </w:r>
      <w:r>
        <w:rPr>
          <w:rFonts w:hint="eastAsia" w:ascii="仿宋_GB2312" w:hAnsi="仿宋_GB2312" w:eastAsia="仿宋_GB2312" w:cs="仿宋_GB2312"/>
          <w:sz w:val="32"/>
          <w:szCs w:val="32"/>
          <w:lang w:val="en-US" w:eastAsia="zh-CN"/>
        </w:rPr>
        <w:t>297.9</w:t>
      </w:r>
      <w:r>
        <w:rPr>
          <w:rFonts w:hint="eastAsia" w:ascii="仿宋_GB2312" w:hAnsi="仿宋_GB2312" w:eastAsia="仿宋_GB2312" w:cs="仿宋_GB2312"/>
          <w:sz w:val="32"/>
          <w:szCs w:val="32"/>
        </w:rPr>
        <w:t>亿元，占年度计划的</w:t>
      </w:r>
      <w:r>
        <w:rPr>
          <w:rFonts w:hint="eastAsia" w:ascii="仿宋_GB2312" w:hAnsi="仿宋_GB2312" w:eastAsia="仿宋_GB2312" w:cs="仿宋_GB2312"/>
          <w:sz w:val="32"/>
          <w:szCs w:val="32"/>
          <w:lang w:val="en-US" w:eastAsia="zh-CN"/>
        </w:rPr>
        <w:t>98.7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95个新建项目，开工建设92个，开工率为96.8%；累计</w:t>
      </w:r>
      <w:r>
        <w:rPr>
          <w:rFonts w:hint="eastAsia" w:ascii="仿宋_GB2312" w:hAnsi="仿宋_GB2312" w:eastAsia="仿宋_GB2312" w:cs="仿宋_GB2312"/>
          <w:sz w:val="32"/>
          <w:szCs w:val="32"/>
        </w:rPr>
        <w:t>完成投资</w:t>
      </w:r>
      <w:r>
        <w:rPr>
          <w:rFonts w:hint="eastAsia" w:ascii="仿宋_GB2312" w:hAnsi="仿宋_GB2312" w:eastAsia="仿宋_GB2312" w:cs="仿宋_GB2312"/>
          <w:sz w:val="32"/>
          <w:szCs w:val="32"/>
          <w:lang w:val="en-US" w:eastAsia="zh-CN"/>
        </w:rPr>
        <w:t>138.9</w:t>
      </w:r>
      <w:r>
        <w:rPr>
          <w:rFonts w:hint="eastAsia" w:ascii="仿宋_GB2312" w:hAnsi="仿宋_GB2312" w:eastAsia="仿宋_GB2312" w:cs="仿宋_GB2312"/>
          <w:sz w:val="32"/>
          <w:szCs w:val="32"/>
        </w:rPr>
        <w:t>亿元，占年度计划的</w:t>
      </w:r>
      <w:r>
        <w:rPr>
          <w:rFonts w:hint="eastAsia" w:ascii="仿宋_GB2312" w:hAnsi="仿宋_GB2312" w:eastAsia="仿宋_GB2312" w:cs="仿宋_GB2312"/>
          <w:sz w:val="32"/>
          <w:szCs w:val="32"/>
          <w:lang w:val="en-US" w:eastAsia="zh-CN"/>
        </w:rPr>
        <w:t>95.7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个续建项目，</w:t>
      </w:r>
      <w:r>
        <w:rPr>
          <w:rFonts w:hint="eastAsia" w:ascii="仿宋_GB2312" w:hAnsi="仿宋_GB2312" w:eastAsia="仿宋_GB2312" w:cs="仿宋_GB2312"/>
          <w:sz w:val="32"/>
          <w:szCs w:val="32"/>
          <w:lang w:val="en-US" w:eastAsia="zh-CN"/>
        </w:rPr>
        <w:t>累计</w:t>
      </w:r>
      <w:r>
        <w:rPr>
          <w:rFonts w:hint="eastAsia" w:ascii="仿宋_GB2312" w:hAnsi="仿宋_GB2312" w:eastAsia="仿宋_GB2312" w:cs="仿宋_GB2312"/>
          <w:sz w:val="32"/>
          <w:szCs w:val="32"/>
        </w:rPr>
        <w:t>完成投资</w:t>
      </w:r>
      <w:r>
        <w:rPr>
          <w:rFonts w:hint="eastAsia" w:ascii="仿宋_GB2312" w:hAnsi="仿宋_GB2312" w:eastAsia="仿宋_GB2312" w:cs="仿宋_GB2312"/>
          <w:sz w:val="32"/>
          <w:szCs w:val="32"/>
          <w:lang w:val="en-US" w:eastAsia="zh-CN"/>
        </w:rPr>
        <w:t>158.9</w:t>
      </w:r>
      <w:r>
        <w:rPr>
          <w:rFonts w:hint="eastAsia" w:ascii="仿宋_GB2312" w:hAnsi="仿宋_GB2312" w:eastAsia="仿宋_GB2312" w:cs="仿宋_GB2312"/>
          <w:sz w:val="32"/>
          <w:szCs w:val="32"/>
        </w:rPr>
        <w:t>亿元，占年度计划的</w:t>
      </w:r>
      <w:r>
        <w:rPr>
          <w:rFonts w:hint="eastAsia" w:ascii="仿宋_GB2312" w:hAnsi="仿宋_GB2312" w:eastAsia="仿宋_GB2312" w:cs="仿宋_GB2312"/>
          <w:sz w:val="32"/>
          <w:szCs w:val="32"/>
          <w:lang w:val="en-US" w:eastAsia="zh-CN"/>
        </w:rPr>
        <w:t>101.5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张店区服务业投资完成率高于全市平均水平</w:t>
      </w:r>
      <w:r>
        <w:rPr>
          <w:rFonts w:hint="eastAsia" w:ascii="仿宋_GB2312" w:hAnsi="仿宋_GB2312" w:eastAsia="仿宋_GB2312" w:cs="仿宋_GB2312"/>
          <w:color w:val="000000"/>
          <w:kern w:val="0"/>
          <w:sz w:val="32"/>
          <w:szCs w:val="32"/>
          <w:lang w:val="en-US" w:eastAsia="zh-CN" w:bidi="ar"/>
        </w:rPr>
        <w:t>，超额完成年度投资计划，新建项目开工率完成100%。2020年</w:t>
      </w:r>
      <w:r>
        <w:rPr>
          <w:rFonts w:hint="eastAsia" w:ascii="仿宋_GB2312" w:hAnsi="仿宋_GB2312" w:eastAsia="仿宋_GB2312" w:cs="仿宋_GB2312"/>
          <w:sz w:val="32"/>
          <w:szCs w:val="32"/>
        </w:rPr>
        <w:t>全市服务业重点建设项目累计完成投资</w:t>
      </w:r>
      <w:r>
        <w:rPr>
          <w:rFonts w:hint="eastAsia" w:ascii="仿宋_GB2312" w:hAnsi="仿宋_GB2312" w:eastAsia="仿宋_GB2312" w:cs="仿宋_GB2312"/>
          <w:sz w:val="32"/>
          <w:szCs w:val="32"/>
          <w:lang w:val="en-US" w:eastAsia="zh-CN"/>
        </w:rPr>
        <w:t>224.7</w:t>
      </w:r>
      <w:r>
        <w:rPr>
          <w:rFonts w:hint="eastAsia" w:ascii="仿宋_GB2312" w:hAnsi="仿宋_GB2312" w:eastAsia="仿宋_GB2312" w:cs="仿宋_GB2312"/>
          <w:sz w:val="32"/>
          <w:szCs w:val="32"/>
        </w:rPr>
        <w:t>亿元，占年度计划的</w:t>
      </w:r>
      <w:r>
        <w:rPr>
          <w:rFonts w:hint="eastAsia" w:ascii="仿宋_GB2312" w:hAnsi="仿宋_GB2312" w:eastAsia="仿宋_GB2312" w:cs="仿宋_GB2312"/>
          <w:sz w:val="32"/>
          <w:szCs w:val="32"/>
          <w:lang w:val="en-US" w:eastAsia="zh-CN"/>
        </w:rPr>
        <w:t>100.2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64个新建项目，开工建设62个，开工率96.9%，累计</w:t>
      </w:r>
      <w:r>
        <w:rPr>
          <w:rFonts w:hint="eastAsia" w:ascii="仿宋_GB2312" w:hAnsi="仿宋_GB2312" w:eastAsia="仿宋_GB2312" w:cs="仿宋_GB2312"/>
          <w:sz w:val="32"/>
          <w:szCs w:val="32"/>
        </w:rPr>
        <w:t>完成投资</w:t>
      </w:r>
      <w:r>
        <w:rPr>
          <w:rFonts w:hint="eastAsia" w:ascii="仿宋_GB2312" w:hAnsi="仿宋_GB2312" w:eastAsia="仿宋_GB2312" w:cs="仿宋_GB2312"/>
          <w:sz w:val="32"/>
          <w:szCs w:val="32"/>
          <w:lang w:val="en-US" w:eastAsia="zh-CN"/>
        </w:rPr>
        <w:t>79.4</w:t>
      </w:r>
      <w:r>
        <w:rPr>
          <w:rFonts w:hint="eastAsia" w:ascii="仿宋_GB2312" w:hAnsi="仿宋_GB2312" w:eastAsia="仿宋_GB2312" w:cs="仿宋_GB2312"/>
          <w:sz w:val="32"/>
          <w:szCs w:val="32"/>
        </w:rPr>
        <w:t>亿元，占年度计划的</w:t>
      </w:r>
      <w:r>
        <w:rPr>
          <w:rFonts w:hint="eastAsia" w:ascii="仿宋_GB2312" w:hAnsi="仿宋_GB2312" w:eastAsia="仿宋_GB2312" w:cs="仿宋_GB2312"/>
          <w:sz w:val="32"/>
          <w:szCs w:val="32"/>
          <w:lang w:val="en-US" w:eastAsia="zh-CN"/>
        </w:rPr>
        <w:t>94.5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个续建项目，</w:t>
      </w:r>
      <w:r>
        <w:rPr>
          <w:rFonts w:hint="eastAsia" w:ascii="仿宋_GB2312" w:hAnsi="仿宋_GB2312" w:eastAsia="仿宋_GB2312" w:cs="仿宋_GB2312"/>
          <w:sz w:val="32"/>
          <w:szCs w:val="32"/>
          <w:lang w:val="en-US" w:eastAsia="zh-CN"/>
        </w:rPr>
        <w:t>累计</w:t>
      </w:r>
      <w:r>
        <w:rPr>
          <w:rFonts w:hint="eastAsia" w:ascii="仿宋_GB2312" w:hAnsi="仿宋_GB2312" w:eastAsia="仿宋_GB2312" w:cs="仿宋_GB2312"/>
          <w:sz w:val="32"/>
          <w:szCs w:val="32"/>
        </w:rPr>
        <w:t>完成投资</w:t>
      </w:r>
      <w:r>
        <w:rPr>
          <w:rFonts w:hint="eastAsia" w:ascii="仿宋_GB2312" w:hAnsi="仿宋_GB2312" w:eastAsia="仿宋_GB2312" w:cs="仿宋_GB2312"/>
          <w:sz w:val="32"/>
          <w:szCs w:val="32"/>
          <w:lang w:val="en-US" w:eastAsia="zh-CN"/>
        </w:rPr>
        <w:t>145.3</w:t>
      </w:r>
      <w:r>
        <w:rPr>
          <w:rFonts w:hint="eastAsia" w:ascii="仿宋_GB2312" w:hAnsi="仿宋_GB2312" w:eastAsia="仿宋_GB2312" w:cs="仿宋_GB2312"/>
          <w:sz w:val="32"/>
          <w:szCs w:val="32"/>
        </w:rPr>
        <w:t>亿元，占年度计划的</w:t>
      </w:r>
      <w:r>
        <w:rPr>
          <w:rFonts w:hint="eastAsia" w:ascii="仿宋_GB2312" w:hAnsi="仿宋_GB2312" w:eastAsia="仿宋_GB2312" w:cs="仿宋_GB2312"/>
          <w:sz w:val="32"/>
          <w:szCs w:val="32"/>
          <w:lang w:val="en-US" w:eastAsia="zh-CN"/>
        </w:rPr>
        <w:t>103.5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张店区服务业投资完成率高于全市平均水平，且新建项目均已开工建设。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spacing w:val="8"/>
          <w:kern w:val="0"/>
          <w:sz w:val="32"/>
          <w:szCs w:val="32"/>
          <w:shd w:val="clear" w:color="auto" w:fill="FFFFFF"/>
          <w:lang w:bidi="ar"/>
        </w:rPr>
      </w:pPr>
      <w:r>
        <w:rPr>
          <w:rFonts w:hint="eastAsia" w:ascii="仿宋_GB2312" w:hAnsi="仿宋_GB2312" w:eastAsia="仿宋_GB2312" w:cs="仿宋_GB2312"/>
          <w:b/>
          <w:bCs/>
          <w:sz w:val="32"/>
          <w:szCs w:val="32"/>
          <w:lang w:val="en-US" w:eastAsia="zh-CN"/>
        </w:rPr>
        <w:t>二是建成项目项目社会效益、经济效益显著。</w:t>
      </w:r>
      <w:r>
        <w:rPr>
          <w:rFonts w:hint="eastAsia" w:ascii="仿宋_GB2312" w:hAnsi="仿宋_GB2312" w:eastAsia="仿宋_GB2312" w:cs="仿宋_GB2312"/>
          <w:sz w:val="32"/>
          <w:szCs w:val="32"/>
          <w:lang w:val="en-US" w:eastAsia="zh-CN"/>
        </w:rPr>
        <w:t>通过梳理我区市级服务业重点项目中已建成的进行分析，多家项目社会效益、经济效益显著。</w:t>
      </w:r>
      <w:r>
        <w:rPr>
          <w:rFonts w:hint="eastAsia" w:ascii="仿宋_GB2312" w:hAnsi="仿宋_GB2312" w:eastAsia="仿宋_GB2312" w:cs="仿宋_GB2312"/>
          <w:b/>
          <w:bCs/>
          <w:sz w:val="32"/>
          <w:szCs w:val="32"/>
          <w:lang w:val="en-US" w:eastAsia="zh-CN"/>
        </w:rPr>
        <w:t>如淄博富力·万达广场，</w:t>
      </w:r>
      <w:r>
        <w:rPr>
          <w:rFonts w:hint="eastAsia" w:ascii="仿宋_GB2312" w:hAnsi="仿宋_GB2312" w:eastAsia="仿宋_GB2312" w:cs="仿宋_GB2312"/>
          <w:sz w:val="32"/>
          <w:szCs w:val="32"/>
          <w:lang w:val="en-US" w:eastAsia="zh-CN"/>
        </w:rPr>
        <w:t>是富力集团与万达集团联合</w:t>
      </w:r>
      <w:r>
        <w:rPr>
          <w:rFonts w:hint="eastAsia" w:ascii="仿宋_GB2312" w:hAnsi="仿宋_GB2312" w:eastAsia="仿宋_GB2312" w:cs="仿宋_GB2312"/>
          <w:bCs/>
          <w:sz w:val="32"/>
          <w:szCs w:val="32"/>
        </w:rPr>
        <w:t>打造，</w:t>
      </w:r>
      <w:r>
        <w:rPr>
          <w:rFonts w:hint="eastAsia" w:ascii="仿宋_GB2312" w:hAnsi="仿宋_GB2312" w:eastAsia="仿宋_GB2312" w:cs="仿宋_GB2312"/>
          <w:i w:val="0"/>
          <w:iCs w:val="0"/>
          <w:caps w:val="0"/>
          <w:color w:val="191919"/>
          <w:spacing w:val="0"/>
          <w:sz w:val="32"/>
          <w:szCs w:val="32"/>
          <w:shd w:val="clear" w:color="auto" w:fill="FFFFFF"/>
        </w:rPr>
        <w:t>是</w:t>
      </w:r>
      <w:r>
        <w:rPr>
          <w:rFonts w:hint="eastAsia" w:ascii="仿宋_GB2312" w:hAnsi="仿宋_GB2312" w:eastAsia="仿宋_GB2312" w:cs="仿宋_GB2312"/>
          <w:i w:val="0"/>
          <w:iCs w:val="0"/>
          <w:caps w:val="0"/>
          <w:color w:val="191919"/>
          <w:spacing w:val="0"/>
          <w:sz w:val="32"/>
          <w:szCs w:val="32"/>
          <w:shd w:val="clear" w:color="auto" w:fill="FFFFFF"/>
          <w:lang w:val="en-US" w:eastAsia="zh-CN"/>
        </w:rPr>
        <w:t>万达集团在淄博市落址的第一座万达广场，也是山东省的第23座万达广场</w:t>
      </w:r>
      <w:r>
        <w:rPr>
          <w:rFonts w:hint="eastAsia" w:ascii="仿宋_GB2312" w:hAnsi="仿宋_GB2312" w:eastAsia="仿宋_GB2312" w:cs="仿宋_GB2312"/>
          <w:bCs/>
          <w:sz w:val="32"/>
          <w:szCs w:val="32"/>
        </w:rPr>
        <w:t>。项目总投资额为33.9亿元</w:t>
      </w:r>
      <w:r>
        <w:rPr>
          <w:rFonts w:hint="eastAsia" w:ascii="仿宋_GB2312" w:hAnsi="仿宋_GB2312" w:eastAsia="仿宋_GB2312" w:cs="仿宋_GB2312"/>
          <w:sz w:val="32"/>
          <w:szCs w:val="32"/>
        </w:rPr>
        <w:t>建成后（7月份投入使用），截止2020年12月31日总营业额31591.82万元，商管总收入4273万元，实现总税收（398.23万元，商管纳税金额与商户经营无关），带动就业3000余人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i w:val="0"/>
          <w:iCs w:val="0"/>
          <w:caps w:val="0"/>
          <w:color w:val="191919"/>
          <w:spacing w:val="0"/>
          <w:sz w:val="32"/>
          <w:szCs w:val="32"/>
          <w:shd w:val="clear" w:color="auto" w:fill="FFFFFF"/>
        </w:rPr>
        <w:t>吸引了</w:t>
      </w:r>
      <w:r>
        <w:rPr>
          <w:rStyle w:val="11"/>
          <w:rFonts w:hint="eastAsia" w:ascii="仿宋_GB2312" w:hAnsi="仿宋_GB2312" w:eastAsia="仿宋_GB2312" w:cs="仿宋_GB2312"/>
          <w:b w:val="0"/>
          <w:bCs w:val="0"/>
          <w:i w:val="0"/>
          <w:iCs w:val="0"/>
          <w:caps w:val="0"/>
          <w:color w:val="191919"/>
          <w:spacing w:val="0"/>
          <w:sz w:val="32"/>
          <w:szCs w:val="32"/>
          <w:shd w:val="clear" w:color="auto" w:fill="FFFFFF"/>
        </w:rPr>
        <w:t>万达影城、圣豪超市、室内动物乐园格林咔咔</w:t>
      </w:r>
      <w:r>
        <w:rPr>
          <w:rFonts w:hint="eastAsia" w:ascii="仿宋_GB2312" w:hAnsi="仿宋_GB2312" w:eastAsia="仿宋_GB2312" w:cs="仿宋_GB2312"/>
          <w:b w:val="0"/>
          <w:bCs w:val="0"/>
          <w:i w:val="0"/>
          <w:iCs w:val="0"/>
          <w:caps w:val="0"/>
          <w:color w:val="191919"/>
          <w:spacing w:val="0"/>
          <w:sz w:val="32"/>
          <w:szCs w:val="32"/>
          <w:shd w:val="clear" w:color="auto" w:fill="FFFFFF"/>
        </w:rPr>
        <w:t>等15大主次力店、244家知名品牌入驻，其中 </w:t>
      </w:r>
      <w:r>
        <w:rPr>
          <w:rStyle w:val="11"/>
          <w:rFonts w:hint="eastAsia" w:ascii="仿宋_GB2312" w:hAnsi="仿宋_GB2312" w:eastAsia="仿宋_GB2312" w:cs="仿宋_GB2312"/>
          <w:b w:val="0"/>
          <w:bCs w:val="0"/>
          <w:i w:val="0"/>
          <w:iCs w:val="0"/>
          <w:caps w:val="0"/>
          <w:color w:val="191919"/>
          <w:spacing w:val="0"/>
          <w:sz w:val="32"/>
          <w:szCs w:val="32"/>
          <w:shd w:val="clear" w:color="auto" w:fill="FFFFFF"/>
        </w:rPr>
        <w:t>61家为</w:t>
      </w:r>
      <w:r>
        <w:rPr>
          <w:rStyle w:val="11"/>
          <w:rFonts w:hint="eastAsia" w:ascii="仿宋_GB2312" w:hAnsi="仿宋_GB2312" w:eastAsia="仿宋_GB2312" w:cs="仿宋_GB2312"/>
          <w:b w:val="0"/>
          <w:bCs w:val="0"/>
          <w:i w:val="0"/>
          <w:iCs w:val="0"/>
          <w:caps w:val="0"/>
          <w:color w:val="191919"/>
          <w:spacing w:val="0"/>
          <w:sz w:val="32"/>
          <w:szCs w:val="32"/>
          <w:shd w:val="clear" w:color="auto" w:fill="FFFFFF"/>
          <w:lang w:val="en-US" w:eastAsia="zh-CN"/>
        </w:rPr>
        <w:t>全市</w:t>
      </w:r>
      <w:r>
        <w:rPr>
          <w:rStyle w:val="11"/>
          <w:rFonts w:hint="eastAsia" w:ascii="仿宋_GB2312" w:hAnsi="仿宋_GB2312" w:eastAsia="仿宋_GB2312" w:cs="仿宋_GB2312"/>
          <w:b w:val="0"/>
          <w:bCs w:val="0"/>
          <w:i w:val="0"/>
          <w:iCs w:val="0"/>
          <w:caps w:val="0"/>
          <w:color w:val="191919"/>
          <w:spacing w:val="0"/>
          <w:sz w:val="32"/>
          <w:szCs w:val="32"/>
          <w:shd w:val="clear" w:color="auto" w:fill="FFFFFF"/>
        </w:rPr>
        <w:t>首进</w:t>
      </w:r>
      <w:r>
        <w:rPr>
          <w:rStyle w:val="11"/>
          <w:rFonts w:hint="eastAsia" w:ascii="仿宋_GB2312" w:hAnsi="仿宋_GB2312" w:eastAsia="仿宋_GB2312" w:cs="仿宋_GB2312"/>
          <w:b w:val="0"/>
          <w:bCs w:val="0"/>
          <w:i w:val="0"/>
          <w:iCs w:val="0"/>
          <w:caps w:val="0"/>
          <w:color w:val="191919"/>
          <w:spacing w:val="0"/>
          <w:sz w:val="32"/>
          <w:szCs w:val="32"/>
          <w:shd w:val="clear" w:color="auto" w:fill="FFFFFF"/>
          <w:lang w:eastAsia="zh-CN"/>
        </w:rPr>
        <w:t>，</w:t>
      </w:r>
      <w:r>
        <w:rPr>
          <w:rStyle w:val="11"/>
          <w:rFonts w:hint="eastAsia" w:ascii="仿宋_GB2312" w:hAnsi="仿宋_GB2312" w:eastAsia="仿宋_GB2312" w:cs="仿宋_GB2312"/>
          <w:b w:val="0"/>
          <w:bCs w:val="0"/>
          <w:i w:val="0"/>
          <w:iCs w:val="0"/>
          <w:caps w:val="0"/>
          <w:color w:val="191919"/>
          <w:spacing w:val="0"/>
          <w:sz w:val="32"/>
          <w:szCs w:val="32"/>
          <w:shd w:val="clear" w:color="auto" w:fill="FFFFFF"/>
          <w:lang w:val="en-US" w:eastAsia="zh-CN"/>
        </w:rPr>
        <w:t>全省领先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鼎成</w:t>
      </w:r>
      <w:r>
        <w:rPr>
          <w:rFonts w:hint="eastAsia" w:ascii="仿宋_GB2312" w:hAnsi="仿宋_GB2312" w:eastAsia="仿宋_GB2312" w:cs="仿宋_GB2312"/>
          <w:b/>
          <w:bCs/>
          <w:sz w:val="32"/>
          <w:szCs w:val="32"/>
          <w:lang w:val="en-US" w:eastAsia="zh-CN"/>
        </w:rPr>
        <w:t>大厦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总投资5亿元，</w:t>
      </w:r>
      <w:r>
        <w:rPr>
          <w:rFonts w:hint="eastAsia" w:ascii="仿宋_GB2312" w:hAnsi="仿宋_GB2312" w:eastAsia="仿宋_GB2312" w:cs="仿宋_GB2312"/>
          <w:sz w:val="32"/>
          <w:szCs w:val="32"/>
        </w:rPr>
        <w:t>总</w:t>
      </w:r>
      <w:r>
        <w:rPr>
          <w:rFonts w:hint="eastAsia" w:ascii="仿宋_GB2312" w:hAnsi="仿宋_GB2312" w:eastAsia="仿宋_GB2312" w:cs="仿宋_GB2312"/>
          <w:sz w:val="32"/>
          <w:szCs w:val="32"/>
          <w:lang w:val="en-US" w:eastAsia="zh-CN"/>
        </w:rPr>
        <w:t>占地面积16.5亩</w:t>
      </w:r>
      <w:r>
        <w:rPr>
          <w:rFonts w:hint="eastAsia" w:ascii="仿宋_GB2312" w:hAnsi="仿宋_GB2312" w:eastAsia="仿宋_GB2312" w:cs="仿宋_GB2312"/>
          <w:sz w:val="32"/>
          <w:szCs w:val="32"/>
        </w:rPr>
        <w:t>，建成后，年产值45000万元，年营业收入27800万元，年纳税1800万元，带动职工再就业，带动第三产业发展，比如希尔顿酒店、广告公司、律师事务所、大型婚介机构等，辐射淄博西部，城市发展多元化，带动就业2800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color w:val="000000"/>
          <w:sz w:val="32"/>
          <w:szCs w:val="32"/>
        </w:rPr>
        <w:t>山东东方时尚驾驶培训有限公司</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隶属于东方时尚驾驶学校股份有限公司的一家控股子公</w:t>
      </w:r>
      <w:r>
        <w:rPr>
          <w:rFonts w:hint="eastAsia" w:ascii="仿宋_GB2312" w:hAnsi="仿宋_GB2312" w:eastAsia="仿宋_GB2312" w:cs="仿宋_GB2312"/>
          <w:color w:val="auto"/>
          <w:sz w:val="32"/>
          <w:szCs w:val="32"/>
        </w:rPr>
        <w:t>司。</w:t>
      </w:r>
      <w:r>
        <w:rPr>
          <w:rFonts w:hint="eastAsia" w:ascii="仿宋_GB2312" w:hAnsi="仿宋_GB2312" w:eastAsia="仿宋_GB2312" w:cs="仿宋_GB2312"/>
          <w:color w:val="auto"/>
          <w:sz w:val="32"/>
          <w:szCs w:val="32"/>
          <w:shd w:val="clear" w:color="auto" w:fill="FFFFFF"/>
        </w:rPr>
        <w:t>总公司坐落于北京市大兴区，占地面积3000余亩，</w:t>
      </w:r>
      <w:r>
        <w:rPr>
          <w:rFonts w:hint="eastAsia" w:ascii="仿宋_GB2312" w:hAnsi="仿宋_GB2312" w:eastAsia="仿宋_GB2312" w:cs="仿宋_GB2312"/>
          <w:color w:val="auto"/>
          <w:sz w:val="32"/>
          <w:szCs w:val="32"/>
        </w:rPr>
        <w:t>是经世界纪录协会认证的“世界上规模最大的驾驶员培训机构”，也是国内唯一在主板上市的驾驶学校（股票简称：东方时尚，A股代码：603377）。占地面积</w:t>
      </w:r>
      <w:r>
        <w:rPr>
          <w:rFonts w:hint="eastAsia" w:ascii="仿宋_GB2312" w:hAnsi="仿宋_GB2312" w:eastAsia="仿宋_GB2312" w:cs="仿宋_GB2312"/>
          <w:sz w:val="32"/>
          <w:szCs w:val="32"/>
          <w:lang w:val="en-US" w:eastAsia="zh-CN"/>
        </w:rPr>
        <w:t>1160</w:t>
      </w:r>
      <w:r>
        <w:rPr>
          <w:rFonts w:hint="eastAsia" w:ascii="仿宋_GB2312" w:hAnsi="仿宋_GB2312" w:eastAsia="仿宋_GB2312" w:cs="仿宋_GB2312"/>
          <w:color w:val="auto"/>
          <w:sz w:val="32"/>
          <w:szCs w:val="32"/>
        </w:rPr>
        <w:t>亩，训练用车</w:t>
      </w:r>
      <w:r>
        <w:rPr>
          <w:rFonts w:hint="eastAsia" w:ascii="仿宋_GB2312" w:hAnsi="仿宋_GB2312" w:eastAsia="仿宋_GB2312" w:cs="仿宋_GB2312"/>
          <w:color w:val="auto"/>
          <w:sz w:val="32"/>
          <w:szCs w:val="32"/>
          <w:lang w:val="en-US" w:eastAsia="zh-CN"/>
        </w:rPr>
        <w:t>500</w:t>
      </w:r>
      <w:r>
        <w:rPr>
          <w:rFonts w:hint="eastAsia" w:ascii="仿宋_GB2312" w:hAnsi="仿宋_GB2312" w:eastAsia="仿宋_GB2312" w:cs="仿宋_GB2312"/>
          <w:color w:val="auto"/>
          <w:sz w:val="32"/>
          <w:szCs w:val="32"/>
        </w:rPr>
        <w:t>余辆，</w:t>
      </w:r>
      <w:r>
        <w:rPr>
          <w:rFonts w:hint="eastAsia" w:ascii="仿宋_GB2312" w:hAnsi="仿宋_GB2312" w:eastAsia="仿宋_GB2312" w:cs="仿宋_GB2312"/>
          <w:color w:val="auto"/>
          <w:sz w:val="32"/>
          <w:szCs w:val="32"/>
          <w:lang w:val="en-US" w:eastAsia="zh-CN"/>
        </w:rPr>
        <w:t>年培训量预计15万人。</w:t>
      </w:r>
      <w:r>
        <w:rPr>
          <w:rFonts w:hint="eastAsia" w:ascii="仿宋_GB2312" w:hAnsi="仿宋_GB2312" w:eastAsia="仿宋_GB2312" w:cs="仿宋_GB2312"/>
          <w:bCs/>
          <w:spacing w:val="8"/>
          <w:kern w:val="0"/>
          <w:sz w:val="32"/>
          <w:szCs w:val="32"/>
          <w:shd w:val="clear" w:color="auto" w:fill="FFFFFF"/>
          <w:lang w:bidi="ar"/>
        </w:rPr>
        <w:t>基地自组建运营以来，就吸引着社会各界人士前来参观，淄博市委党校领导、张店区政协常委会莅临参观指导，并给予了高度的评价和认可。淄博武警官兵、淄博市桓台学顺达校车服务公司、淄博市自来水公司等企事业单位以及多所大、中、小学校陆续前来参观学习，累计受益人数万余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三是我区征地、增量土地供应，均按照国家、省、市要求进行组卷报上级部门审批</w:t>
      </w:r>
      <w:r>
        <w:rPr>
          <w:rFonts w:hint="eastAsia" w:ascii="仿宋_GB2312" w:hAnsi="仿宋_GB2312" w:eastAsia="仿宋_GB2312" w:cs="仿宋_GB2312"/>
          <w:sz w:val="32"/>
          <w:szCs w:val="32"/>
          <w:lang w:val="en-US" w:eastAsia="zh-CN"/>
        </w:rPr>
        <w:t>。我区牢牢把握高质量发展这一主线，在思想作风上聚焦“境界、格局、目标、标准”四个提升，高点定位谋划发展，主动作为、强力推进，全面提升自然资源管理水平，有力地保障了经济发展。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做好耕地保护督察</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调整征地区片综合地价。</w:t>
      </w:r>
      <w:r>
        <w:rPr>
          <w:rFonts w:hint="eastAsia" w:ascii="仿宋_GB2312" w:hAnsi="仿宋_GB2312" w:eastAsia="仿宋_GB2312" w:cs="仿宋_GB2312"/>
          <w:sz w:val="32"/>
          <w:szCs w:val="32"/>
        </w:rPr>
        <w:t>成立工作专班，统筹负责督导调度耕地保护督察整改工作。对照清单目录，建立“一案一策”“一案一卷”，分类细化整改措施，倒排工期，对占用永久基本农田的，坚决拆除整改到位，恢复耕种。对永久基本农田划定保护不严不实、政府主导项目违法违规占用耕地问题等内容加强监管，持续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为维护被征地农民利益，长远生计有保障。扎实开展了张店区征地区片综合地价调整工作，对现行区片进行调整测算，初步成果经市级、省级平衡和听证后经区政府同意将调整成果报淄博市自然资源局汇总。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sz w:val="32"/>
          <w:szCs w:val="32"/>
        </w:rPr>
        <w:t>开展闲置土地盘活</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kern w:val="2"/>
          <w:sz w:val="32"/>
          <w:szCs w:val="32"/>
          <w:lang w:val="en-US" w:eastAsia="zh-CN" w:bidi="ar-SA"/>
        </w:rPr>
        <w:t>开展第三次国土调查工作。</w:t>
      </w:r>
      <w:r>
        <w:rPr>
          <w:rFonts w:hint="eastAsia" w:ascii="仿宋_GB2312" w:hAnsi="仿宋_GB2312" w:eastAsia="仿宋_GB2312" w:cs="仿宋_GB2312"/>
          <w:sz w:val="32"/>
          <w:szCs w:val="32"/>
        </w:rPr>
        <w:t>组织调查了全区因政策性关停的686家企业，总占地面积约为3146亩，建立了闲置土地盘活利用台账。功能区</w:t>
      </w:r>
      <w:r>
        <w:rPr>
          <w:rFonts w:hint="eastAsia" w:ascii="仿宋_GB2312" w:hAnsi="仿宋_GB2312" w:eastAsia="仿宋_GB2312" w:cs="仿宋_GB2312"/>
          <w:sz w:val="32"/>
          <w:szCs w:val="32"/>
          <w:lang w:val="en-US" w:eastAsia="zh-CN"/>
        </w:rPr>
        <w:t>划转后</w:t>
      </w:r>
      <w:r>
        <w:rPr>
          <w:rFonts w:hint="eastAsia" w:ascii="仿宋_GB2312" w:hAnsi="仿宋_GB2312" w:eastAsia="仿宋_GB2312" w:cs="仿宋_GB2312"/>
          <w:sz w:val="32"/>
          <w:szCs w:val="32"/>
        </w:rPr>
        <w:t>，我区盘活任务总量现为262宗、858亩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通过政府收回、收购、征收，原土地使用权人处置盘活，市场主体开发模式，原农村集体经济组织处置盘活，生态恢复及恢复农地等处置方式盘活闲置土地。</w:t>
      </w:r>
      <w:r>
        <w:rPr>
          <w:rFonts w:hint="eastAsia" w:ascii="仿宋_GB2312" w:hAnsi="仿宋_GB2312" w:eastAsia="仿宋_GB2312" w:cs="仿宋_GB2312"/>
          <w:kern w:val="2"/>
          <w:sz w:val="32"/>
          <w:szCs w:val="32"/>
          <w:lang w:val="en-US" w:eastAsia="zh-CN" w:bidi="ar-SA"/>
        </w:rPr>
        <w:t>我区第三次国土调查初始库通过省厅质检核查上报自然资源部。在完成统一时点更新的基础上，结合自然资源精细化管理及专项工作的需要，开展成果更新等系列专项调查的资料收集准备工作。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扎实做好防火和地质灾害防治工作。</w:t>
      </w:r>
      <w:r>
        <w:rPr>
          <w:rFonts w:hint="eastAsia" w:ascii="仿宋_GB2312" w:hAnsi="仿宋_GB2312" w:eastAsia="仿宋_GB2312" w:cs="仿宋_GB2312"/>
          <w:sz w:val="32"/>
          <w:szCs w:val="32"/>
          <w:lang w:val="en-US" w:eastAsia="zh-CN"/>
        </w:rPr>
        <w:t>针对森林防火，一方面</w:t>
      </w:r>
      <w:r>
        <w:rPr>
          <w:rFonts w:hint="eastAsia" w:ascii="仿宋_GB2312" w:hAnsi="仿宋_GB2312" w:eastAsia="仿宋_GB2312" w:cs="仿宋_GB2312"/>
          <w:sz w:val="32"/>
          <w:szCs w:val="32"/>
        </w:rPr>
        <w:t>加强网格化管理，落实应急措施，完善应急预案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全面推行森林防火网格化管理机制。开展“五清”专项行动，消除森林火灾隐患。严格火源管理，采取有效措施管住火源。</w:t>
      </w:r>
      <w:r>
        <w:rPr>
          <w:rFonts w:hint="eastAsia" w:ascii="仿宋_GB2312" w:hAnsi="仿宋_GB2312" w:eastAsia="仿宋_GB2312" w:cs="仿宋_GB2312"/>
          <w:sz w:val="32"/>
          <w:szCs w:val="32"/>
          <w:lang w:val="en-US" w:eastAsia="zh-CN"/>
        </w:rPr>
        <w:t>另一方面</w:t>
      </w:r>
      <w:r>
        <w:rPr>
          <w:rFonts w:hint="eastAsia" w:ascii="仿宋_GB2312" w:hAnsi="仿宋_GB2312" w:eastAsia="仿宋_GB2312" w:cs="仿宋_GB2312"/>
          <w:sz w:val="32"/>
          <w:szCs w:val="32"/>
        </w:rPr>
        <w:t>加大宣传力度，特别是加大对典型火灾案例的宣传。针对汛期地质灾害防治工作，成立主要负责人任组长的汛期地质灾害防治工作领导小组和有技术支撑单位人员参加的应急救援队伍。印发了《关于做好2020年汛期地质灾害防治工作的通知》，建立完善</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汛期巡回检查、速报、值班制度。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sz w:val="32"/>
          <w:szCs w:val="32"/>
          <w:highlight w:val="none"/>
          <w:lang w:val="en-US" w:eastAsia="zh-CN"/>
        </w:rPr>
      </w:pPr>
      <w:r>
        <w:rPr>
          <w:rFonts w:hint="eastAsia" w:ascii="楷体_GB2312" w:hAnsi="楷体_GB2312" w:eastAsia="楷体_GB2312" w:cs="楷体_GB2312"/>
          <w:b w:val="0"/>
          <w:bCs/>
          <w:kern w:val="2"/>
          <w:sz w:val="32"/>
          <w:szCs w:val="32"/>
          <w:lang w:val="en-US" w:eastAsia="zh-CN" w:bidi="ar-SA"/>
        </w:rPr>
        <w:t>持续优化营商环境，做好省、市重大项目用地保障工作，严格执法检查。</w:t>
      </w:r>
      <w:r>
        <w:rPr>
          <w:rFonts w:hint="eastAsia" w:ascii="仿宋_GB2312" w:hAnsi="仿宋_GB2312" w:eastAsia="仿宋_GB2312" w:cs="仿宋_GB2312"/>
          <w:kern w:val="2"/>
          <w:sz w:val="32"/>
          <w:szCs w:val="32"/>
          <w:lang w:val="en-US" w:eastAsia="zh-CN" w:bidi="ar-SA"/>
        </w:rPr>
        <w:t>组织开展“关于开展优化营商环境大讨论大反思大提升”活动，推动营商环境更加优化。组织开展了“强化技能、服务高效”业务学习活动，开展了大练兵和作风整顿。做好了全市不动产登记系统升级改造，打造不动产登记业务随时随地线上申请、网上预审、随到随办的“一网通办”新模式。实现了24 用户自助查询，自助打印、自助提取。按照省、市相关工作清单，涉及张店区的省重点项目3个，市重大项目24个，目前向市局上报了4个省、市重大项目新增建设用地指标申请材料，市局下达了上述市重大项目的新增建设用地指标1004.76亩。</w:t>
      </w:r>
      <w:r>
        <w:rPr>
          <w:rFonts w:hint="eastAsia" w:ascii="仿宋_GB2312" w:hAnsi="仿宋_GB2312" w:eastAsia="仿宋_GB2312" w:cs="仿宋_GB2312"/>
          <w:sz w:val="32"/>
          <w:szCs w:val="32"/>
        </w:rPr>
        <w:t>全面开展了违建别墅清理清查工作。完成了违法占地整改不到位案件清查排查和违法占用耕地自查工作。开展农村乱占耕地建房排查工作。</w:t>
      </w:r>
      <w:r>
        <w:rPr>
          <w:rFonts w:hint="eastAsia" w:ascii="仿宋_GB2312" w:hAnsi="仿宋_GB2312" w:eastAsia="仿宋_GB2312" w:cs="仿宋_GB2312"/>
          <w:sz w:val="32"/>
          <w:szCs w:val="32"/>
          <w:lang w:val="en-US" w:eastAsia="zh-CN"/>
        </w:rPr>
        <w:t>积极开展</w:t>
      </w:r>
      <w:r>
        <w:rPr>
          <w:rFonts w:hint="eastAsia" w:ascii="仿宋_GB2312" w:hAnsi="仿宋_GB2312" w:eastAsia="仿宋_GB2312" w:cs="仿宋_GB2312"/>
          <w:sz w:val="32"/>
          <w:szCs w:val="32"/>
        </w:rPr>
        <w:t>“大棚房”</w:t>
      </w:r>
      <w:r>
        <w:rPr>
          <w:rFonts w:hint="eastAsia" w:ascii="仿宋_GB2312" w:hAnsi="仿宋_GB2312" w:eastAsia="仿宋_GB2312" w:cs="仿宋_GB2312"/>
          <w:sz w:val="32"/>
          <w:szCs w:val="32"/>
          <w:lang w:val="en-US" w:eastAsia="zh-CN"/>
        </w:rPr>
        <w:t>回头看专项行动，</w:t>
      </w:r>
      <w:r>
        <w:rPr>
          <w:rFonts w:hint="eastAsia" w:ascii="仿宋_GB2312" w:hAnsi="仿宋_GB2312" w:eastAsia="仿宋_GB2312" w:cs="仿宋_GB2312"/>
          <w:sz w:val="32"/>
          <w:szCs w:val="32"/>
        </w:rPr>
        <w:t>有效遏制问题反弹。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（四）龙头企业培育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val="0"/>
          <w:color w:val="auto"/>
          <w:kern w:val="0"/>
          <w:sz w:val="32"/>
          <w:szCs w:val="32"/>
          <w:lang w:val="en-US" w:eastAsia="zh-CN"/>
        </w:rPr>
        <w:t>一是</w:t>
      </w:r>
      <w:r>
        <w:rPr>
          <w:rFonts w:hint="eastAsia" w:ascii="仿宋_GB2312" w:hAnsi="仿宋_GB2312" w:eastAsia="仿宋_GB2312" w:cs="仿宋_GB2312"/>
          <w:b/>
          <w:bCs w:val="0"/>
          <w:color w:val="auto"/>
          <w:kern w:val="0"/>
          <w:sz w:val="32"/>
          <w:szCs w:val="32"/>
        </w:rPr>
        <w:t>完善政策措施，</w:t>
      </w:r>
      <w:r>
        <w:rPr>
          <w:rFonts w:hint="eastAsia" w:ascii="仿宋_GB2312" w:hAnsi="仿宋_GB2312" w:eastAsia="仿宋_GB2312" w:cs="仿宋_GB2312"/>
          <w:b/>
          <w:bCs w:val="0"/>
          <w:color w:val="auto"/>
          <w:kern w:val="0"/>
          <w:sz w:val="32"/>
          <w:szCs w:val="32"/>
          <w:lang w:val="en-US" w:eastAsia="zh-CN"/>
        </w:rPr>
        <w:t>扶持企业发展</w:t>
      </w:r>
      <w:r>
        <w:rPr>
          <w:rFonts w:hint="eastAsia" w:ascii="仿宋_GB2312" w:hAnsi="仿宋_GB2312" w:eastAsia="仿宋_GB2312" w:cs="仿宋_GB2312"/>
          <w:b/>
          <w:bCs w:val="0"/>
          <w:color w:val="auto"/>
          <w:kern w:val="0"/>
          <w:sz w:val="32"/>
          <w:szCs w:val="32"/>
        </w:rPr>
        <w:t>。</w:t>
      </w:r>
      <w:r>
        <w:rPr>
          <w:rFonts w:hint="eastAsia" w:ascii="仿宋_GB2312" w:hAnsi="仿宋_GB2312" w:eastAsia="仿宋_GB2312" w:cs="仿宋_GB2312"/>
          <w:b w:val="0"/>
          <w:bCs/>
          <w:color w:val="auto"/>
          <w:kern w:val="0"/>
          <w:sz w:val="32"/>
          <w:szCs w:val="32"/>
          <w:lang w:val="en-US" w:eastAsia="zh-CN"/>
        </w:rPr>
        <w:t>成立张店区推进夜间经济发展领导小组，</w:t>
      </w:r>
      <w:r>
        <w:rPr>
          <w:rFonts w:hint="eastAsia" w:ascii="仿宋_GB2312" w:hAnsi="仿宋_GB2312" w:eastAsia="仿宋_GB2312" w:cs="仿宋_GB2312"/>
          <w:b w:val="0"/>
          <w:bCs w:val="0"/>
          <w:color w:val="auto"/>
          <w:kern w:val="0"/>
          <w:sz w:val="32"/>
          <w:szCs w:val="32"/>
          <w:lang w:val="en-US" w:eastAsia="zh-CN"/>
        </w:rPr>
        <w:t>出台《张店区扶持企业加快发展办法》，对已纳统企业、首次纳统企业均有相对应的扶持政策。对首次纳入限额以上批发零售企业统计范围且实现销售额正增长、限额以上住宿餐饮企业统计范围且实现营业额正增长、规模以上服务业统计范围且实现营业收入正增长的企业，一次性奖励5万元。多措并举</w:t>
      </w:r>
      <w:r>
        <w:rPr>
          <w:rFonts w:hint="eastAsia" w:ascii="仿宋_GB2312" w:hAnsi="仿宋_GB2312" w:eastAsia="仿宋_GB2312" w:cs="仿宋_GB2312"/>
          <w:b w:val="0"/>
          <w:bCs w:val="0"/>
          <w:snapToGrid w:val="0"/>
          <w:color w:val="auto"/>
          <w:kern w:val="0"/>
          <w:sz w:val="32"/>
          <w:szCs w:val="32"/>
          <w:lang w:val="en-US" w:eastAsia="zh-CN"/>
        </w:rPr>
        <w:t>鼓励企业及时纳统、准</w:t>
      </w:r>
      <w:r>
        <w:rPr>
          <w:rFonts w:hint="eastAsia" w:ascii="仿宋_GB2312" w:hAnsi="仿宋_GB2312" w:eastAsia="仿宋_GB2312" w:cs="仿宋_GB2312"/>
          <w:color w:val="auto"/>
          <w:sz w:val="32"/>
          <w:szCs w:val="32"/>
          <w:highlight w:val="none"/>
          <w:lang w:val="en-US" w:eastAsia="zh-CN"/>
        </w:rPr>
        <w:t>确报数。十三五期间培育规上服务业企业145家，规上服务业企业数量位列全市第一。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二是龙头企业带动效应明显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太平洋保险在线服务科技有限公司</w:t>
      </w:r>
      <w:r>
        <w:rPr>
          <w:rFonts w:hint="eastAsia" w:ascii="仿宋_GB2312" w:hAnsi="仿宋_GB2312" w:eastAsia="仿宋_GB2312" w:cs="仿宋_GB2312"/>
          <w:sz w:val="32"/>
          <w:szCs w:val="32"/>
          <w:lang w:val="en-US" w:eastAsia="zh-CN"/>
        </w:rPr>
        <w:t>山东分公司</w:t>
      </w:r>
      <w:r>
        <w:rPr>
          <w:rFonts w:hint="eastAsia" w:ascii="仿宋_GB2312" w:hAnsi="仿宋_GB2312" w:eastAsia="仿宋_GB2312" w:cs="仿宋_GB2312"/>
          <w:sz w:val="32"/>
          <w:szCs w:val="32"/>
        </w:rPr>
        <w:t>隶属于世界500强企业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中国太平洋保险（集团）旗下的保险产品销售子公司，注册资本金20000万元人民币，</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在职员工4000余人（以淄博当地员工为主），2020年，太平洋保险在线服务科技有限公司及分公司在淄博当地实现营业收入9.28亿元，在淄博本地纳税4887.8万元，其中地方留成部分2484.4万元。</w:t>
      </w:r>
      <w:r>
        <w:rPr>
          <w:rFonts w:hint="eastAsia" w:ascii="仿宋_GB2312" w:hAnsi="仿宋_GB2312" w:eastAsia="仿宋_GB2312" w:cs="仿宋_GB2312"/>
          <w:sz w:val="32"/>
          <w:szCs w:val="32"/>
          <w:lang w:val="en-US" w:eastAsia="zh-CN"/>
        </w:rPr>
        <w:t>卓创资讯是全球领先的大宗商品信息提供商，作为中国专业性最强、影响力最大的互联网大宗商品资讯领军企业，拥有国内同行业规模最大、分工最细的专业团队，现有员工1300余人，2020年收入2.2亿，实现净利润5200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黑体" w:hAnsi="黑体" w:eastAsia="黑体" w:cs="黑体"/>
          <w:b w:val="0"/>
          <w:bCs w:val="0"/>
          <w:color w:val="000000"/>
          <w:sz w:val="32"/>
          <w:szCs w:val="32"/>
          <w:highlight w:val="none"/>
          <w:lang w:val="en-US" w:eastAsia="zh-CN"/>
        </w:rPr>
      </w:pPr>
      <w:r>
        <w:rPr>
          <w:rFonts w:hint="eastAsia" w:ascii="仿宋_GB2312" w:hAnsi="仿宋_GB2312" w:eastAsia="仿宋_GB2312" w:cs="仿宋_GB2312"/>
          <w:b/>
          <w:bCs w:val="0"/>
          <w:color w:val="auto"/>
          <w:kern w:val="0"/>
          <w:sz w:val="32"/>
          <w:szCs w:val="32"/>
          <w:lang w:val="en-US" w:eastAsia="zh-CN"/>
        </w:rPr>
        <w:t>三是</w:t>
      </w:r>
      <w:r>
        <w:rPr>
          <w:rFonts w:hint="eastAsia" w:ascii="仿宋_GB2312" w:hAnsi="仿宋_GB2312" w:eastAsia="仿宋_GB2312" w:cs="仿宋_GB2312"/>
          <w:b/>
          <w:bCs w:val="0"/>
          <w:color w:val="auto"/>
          <w:kern w:val="0"/>
          <w:sz w:val="32"/>
          <w:szCs w:val="32"/>
        </w:rPr>
        <w:t>拓宽服务深度，力促效能提升</w:t>
      </w:r>
      <w:r>
        <w:rPr>
          <w:rFonts w:hint="eastAsia" w:ascii="仿宋_GB2312" w:hAnsi="仿宋_GB2312" w:eastAsia="仿宋_GB2312" w:cs="仿宋_GB2312"/>
          <w:bCs/>
          <w:color w:val="auto"/>
          <w:kern w:val="0"/>
          <w:sz w:val="32"/>
          <w:szCs w:val="32"/>
        </w:rPr>
        <w:t>。张店区以信息化智能化便捷化为推动力，持续推进制度创新、流程再造、服务升级，全力打造“环节最少、流程最短、效率最高、服务最优”的行政审批“张店服务”品牌。与深圳共同启动全国首个农民工就业公益平台——鲁班用工</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在全国率先研发应用“秒批秒办”自助终端，在全省率先将“电子身份证”“电子营业执照”应用至政务服务领域</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在全市上线首个微信端投资项目联审平台，试点推行“租赁即开工”承诺审批模式，创新推出“通办全省帮办全国”服务，在全省率先实现镇（街道）综合受理全覆盖。大力深化流程再造，企业开办全程网办达到93.2%，商事登记全程电子化比例达到93%，涉企事项100%可容缺，公共服务事项基本实现“一窗通办”。</w:t>
      </w:r>
      <w:r>
        <w:rPr>
          <w:rFonts w:hint="eastAsia" w:ascii="仿宋_GB2312" w:hAnsi="仿宋_GB2312" w:eastAsia="仿宋_GB2312" w:cs="仿宋_GB2312"/>
          <w:kern w:val="2"/>
          <w:sz w:val="32"/>
          <w:szCs w:val="32"/>
          <w:lang w:val="en-US" w:eastAsia="zh-CN" w:bidi="ar-SA"/>
        </w:rPr>
        <w:t>截止到2020年底，我区期末实有各类市场主体130654户，期末注册资本总额22732045.41万元。“十三五”时期新登记各类市场主体96706户，注册资本总额18696624.3万元。全区第三产业市场主体123502户，占全区市场主体的94.53%。“十三五”时期新登记第三产业市场主体91335户，其中企业27363户，个体工商户63972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三、服务业创新发展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（一）服务业品牌建设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为进一步提升现代服务业经济发展水平，最大限度发挥品牌附加值，聚力打造服务业高水平开放型城区，积极宣传推介张店区服务业品牌，对全区特色街区、连锁企业等优质品牌资源进行全面梳理，在区级媒体开设《张店区服务业品牌故事》专栏。培育、挖掘、涌现出一批优秀、发展潜力大、市民口碑好的服务业品牌，通过媒体大力宣传推介一批具有引领、示范和带动作用的服务业知名品牌，切实提升服务品牌的市场号召力和辐射力，促进全区服务业高质量发展。同时，加快推动服务业行业协会建设，充分发挥行业协会组织协调、指导和服务作用，为行业市场主体搭建服务平台，积极盘活现有资源，优化营商环境，树立行业标杆和服务典范。</w:t>
      </w:r>
      <w:r>
        <w:rPr>
          <w:rFonts w:hint="eastAsia" w:ascii="仿宋_GB2312" w:hAnsi="仿宋_GB2312" w:eastAsia="仿宋_GB2312" w:cs="仿宋_GB2312"/>
          <w:b/>
          <w:bCs/>
          <w:color w:val="000000"/>
          <w:sz w:val="32"/>
          <w:szCs w:val="32"/>
          <w:highlight w:val="none"/>
          <w:lang w:val="en-US" w:eastAsia="zh-CN"/>
        </w:rPr>
        <w:t>一是嘉汇文具</w:t>
      </w:r>
      <w:r>
        <w:rPr>
          <w:rFonts w:hint="eastAsia" w:ascii="仿宋_GB2312" w:hAnsi="仿宋_GB2312" w:eastAsia="仿宋_GB2312" w:cs="仿宋_GB2312"/>
          <w:b w:val="0"/>
          <w:bCs w:val="0"/>
          <w:color w:val="000000"/>
          <w:sz w:val="32"/>
          <w:szCs w:val="32"/>
          <w:highlight w:val="none"/>
          <w:lang w:val="en-US" w:eastAsia="zh-CN"/>
        </w:rPr>
        <w:t>。山东嘉汇文化用品有限公司创立于1999年，历次荣获“中国文具最佳诚信经销商”“中国文具十大连锁”“全国诚信示范单位”“中国文具十大连锁店”等称号。该企业一直致力于把文具与生活的文化场景带入每个家庭，通过各种类型的实体店面与数字化系统管控，构建融合日常生活的文化购物场景，为年轻人提供时尚的潮玩文创选择；为学生提供丰富专业的学习文具选择；为家长提供日常生活选择，是中国领先的文化场景（文具与生活）综合零售商。企业现有员工400余人，直营店铺20余家，业务现涉及山东省青岛及淄博地区，服务1000余万人口，经过多年的积累现发展为拥有二十余万忠实会员的品牌消费企业。</w:t>
      </w:r>
      <w:r>
        <w:rPr>
          <w:rFonts w:hint="eastAsia" w:ascii="仿宋_GB2312" w:hAnsi="仿宋_GB2312" w:eastAsia="仿宋_GB2312" w:cs="仿宋_GB2312"/>
          <w:b/>
          <w:bCs/>
          <w:color w:val="000000"/>
          <w:sz w:val="32"/>
          <w:szCs w:val="32"/>
          <w:highlight w:val="none"/>
          <w:lang w:val="en-US" w:eastAsia="zh-CN"/>
        </w:rPr>
        <w:t>二是领先教育</w:t>
      </w:r>
      <w:r>
        <w:rPr>
          <w:rFonts w:hint="eastAsia" w:ascii="仿宋_GB2312" w:hAnsi="仿宋_GB2312" w:eastAsia="仿宋_GB2312" w:cs="仿宋_GB2312"/>
          <w:b w:val="0"/>
          <w:bCs w:val="0"/>
          <w:color w:val="000000"/>
          <w:sz w:val="32"/>
          <w:szCs w:val="32"/>
          <w:highlight w:val="none"/>
          <w:lang w:val="en-US" w:eastAsia="zh-CN"/>
        </w:rPr>
        <w:t>。山东领先教育科技（集团）有限公司，是专注中小学校外教育领域的综合性教育企业，业务涵盖教育培训、国际教育交流与合作、青少年素质拓展、家庭教育研究等，是山东省教育培训领域的知名品牌，也是目前省内大规模的综合性教育机构之一。现有专业教职工300余名，外籍职工12名。创办10余年以来一直专注学生全面发展，注重教育教学研究与创新，不断为中小学生提供优质的教育资源，为师生家长提供国际教育新机遇。提出了四维培养方案，即在课堂上（学习兴趣），在路上(研学旅行)，在家庭里（家庭教育），在舞台上（演讲力）四个方位全面培养孩子成长的理念，助力下一代综合实力的提高，让孩子学以成人，自立自强。</w:t>
      </w:r>
      <w:r>
        <w:rPr>
          <w:rFonts w:hint="eastAsia" w:ascii="仿宋_GB2312" w:hAnsi="仿宋_GB2312" w:eastAsia="仿宋_GB2312" w:cs="仿宋_GB2312"/>
          <w:b/>
          <w:bCs/>
          <w:color w:val="000000"/>
          <w:sz w:val="32"/>
          <w:szCs w:val="32"/>
          <w:highlight w:val="none"/>
          <w:lang w:val="en-US" w:eastAsia="zh-CN"/>
        </w:rPr>
        <w:t>三是齐商银行</w:t>
      </w:r>
      <w:r>
        <w:rPr>
          <w:rFonts w:hint="eastAsia" w:ascii="仿宋_GB2312" w:hAnsi="仿宋_GB2312" w:eastAsia="仿宋_GB2312" w:cs="仿宋_GB2312"/>
          <w:b w:val="0"/>
          <w:bCs w:val="0"/>
          <w:color w:val="000000"/>
          <w:sz w:val="32"/>
          <w:szCs w:val="32"/>
          <w:highlight w:val="none"/>
          <w:lang w:val="en-US" w:eastAsia="zh-CN"/>
        </w:rPr>
        <w:t>。成立于1997年8月28日，是全国第四批由城市信用社组建的地方性股份制商业银行。现有注册资本金38.88亿元，辖属淄博支行和鲁中支行以及西安、滨州、东营、潍坊、济宁、威海、济南、临沂等8家分行，控股发起设立了1家村镇银行。齐商银行立足“市民银行”和“中小企业主办行”的市场定位，走“差异化、特色化、精细化”发展道路，综合经营水平及盈利能力均居省内城商行前列。截至2020年末，全行资产总额达到1501亿元，各项存款余额1221亿元，各项贷款余额953亿元。多次被中国银监会评为“全国银行业金融机构小企业贷款工作先进单位”；山东银监局授予“良好银行”称号，先后荣获“中国优秀企业（品牌）形象十佳单位”、“中国改革开放30年企业文化十佳单位”、“淄博慈善事业突出贡献奖”等荣誉称号，入选“全国服务业企业500强”，行内多家分支机构先后多次被评为“全国青年文明号”、“全国银行业文明规范服务示范单位”、“中国银行业文明规范服务千佳示范单位”等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val="0"/>
          <w:bCs w:val="0"/>
          <w:color w:val="000000"/>
          <w:sz w:val="32"/>
          <w:szCs w:val="32"/>
          <w:highlight w:val="none"/>
          <w:lang w:val="en-US" w:eastAsia="zh-CN"/>
        </w:rPr>
        <w:t>（二）</w:t>
      </w:r>
      <w:r>
        <w:rPr>
          <w:rFonts w:hint="eastAsia" w:ascii="楷体_GB2312" w:hAnsi="楷体_GB2312" w:eastAsia="楷体_GB2312" w:cs="楷体_GB2312"/>
          <w:b w:val="0"/>
          <w:bCs w:val="0"/>
          <w:color w:val="000000"/>
          <w:spacing w:val="-4"/>
          <w:sz w:val="32"/>
          <w:szCs w:val="32"/>
          <w:highlight w:val="none"/>
        </w:rPr>
        <w:t>新业态、新模式发展</w:t>
      </w:r>
      <w:r>
        <w:rPr>
          <w:rFonts w:hint="eastAsia" w:ascii="仿宋_GB2312" w:hAnsi="仿宋_GB2312" w:eastAsia="仿宋_GB2312" w:cs="仿宋_GB2312"/>
          <w:b w:val="0"/>
          <w:bCs w:val="0"/>
          <w:color w:val="000000"/>
          <w:spacing w:val="-4"/>
          <w:sz w:val="32"/>
          <w:szCs w:val="32"/>
          <w:highlight w:val="none"/>
          <w:lang w:eastAsia="zh-CN"/>
        </w:rPr>
        <w:t>。发展新业态新模式新场景，支持传统</w:t>
      </w:r>
      <w:r>
        <w:rPr>
          <w:rFonts w:hint="eastAsia" w:ascii="仿宋_GB2312" w:hAnsi="仿宋_GB2312" w:eastAsia="仿宋_GB2312" w:cs="仿宋_GB2312"/>
          <w:b w:val="0"/>
          <w:bCs w:val="0"/>
          <w:color w:val="000000"/>
          <w:spacing w:val="-4"/>
          <w:sz w:val="32"/>
          <w:szCs w:val="32"/>
          <w:highlight w:val="none"/>
          <w:lang w:val="en-US" w:eastAsia="zh-CN"/>
        </w:rPr>
        <w:t>业态</w:t>
      </w:r>
      <w:r>
        <w:rPr>
          <w:rFonts w:hint="eastAsia" w:ascii="仿宋_GB2312" w:hAnsi="仿宋_GB2312" w:eastAsia="仿宋_GB2312" w:cs="仿宋_GB2312"/>
          <w:b w:val="0"/>
          <w:bCs w:val="0"/>
          <w:color w:val="000000"/>
          <w:spacing w:val="-4"/>
          <w:sz w:val="32"/>
          <w:szCs w:val="32"/>
          <w:highlight w:val="none"/>
          <w:lang w:eastAsia="zh-CN"/>
        </w:rPr>
        <w:t>企业加快数字化、智能化改造和跨界融合。</w:t>
      </w:r>
      <w:r>
        <w:rPr>
          <w:rFonts w:hint="eastAsia" w:ascii="仿宋_GB2312" w:hAnsi="仿宋_GB2312" w:eastAsia="仿宋_GB2312" w:cs="仿宋_GB2312"/>
          <w:color w:val="000000"/>
          <w:kern w:val="0"/>
          <w:sz w:val="32"/>
          <w:szCs w:val="32"/>
          <w:lang w:val="en-US" w:eastAsia="zh-CN" w:bidi="ar"/>
        </w:rPr>
        <w:t>山东大道聚能网络科技集团有限公司是专业的能源数字贸易产业运营商，依托于香港主板上市公司金泰能源（HK02728）和全国各地部门政府机构，倾力打造“金泰能源数字贸易产业园”项目，以国家推动新时代能源事业高质量发展要求为导向，结合行业和市场发展需求与趋势，牵头打造“能源+互联网+金融”主题的创新型产业园区。打造城市创新型产业发展基地、能源产业汇集中心、能源供应链金融服务中心、区域能源交易结算中心、能源产业创业孵化中心，致力于为能源领域企业提供从交易、资讯、供应链金融、互联网大数据、财税优化、商务对接、财务托管等全生命周期专业服务。目前金泰能源数字贸易产业园全国各地共布局了15个产业园区运营平台，能源数字贸易产业园运营规模为入驻企业 2000 多家，年交易量年600亿元，为以上区域贡献税收累计超过6亿元。</w:t>
      </w:r>
    </w:p>
    <w:p>
      <w:pPr>
        <w:pStyle w:val="6"/>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（三）服务业发展新经验</w:t>
      </w:r>
      <w:r>
        <w:rPr>
          <w:rFonts w:hint="eastAsia" w:ascii="仿宋_GB2312" w:hAnsi="仿宋_GB2312" w:eastAsia="仿宋_GB2312" w:cs="仿宋_GB2312"/>
          <w:color w:val="000000"/>
          <w:kern w:val="0"/>
          <w:sz w:val="32"/>
          <w:szCs w:val="32"/>
          <w:lang w:val="en-US" w:eastAsia="zh-CN" w:bidi="ar"/>
        </w:rPr>
        <w:t>。张店区围绕服务企业、服务群众开展了多维度的改革和探索，如：打通中间环节破题中小企业融资难题；搭建“四个平台”实现“四个提升”，着力打造夜间经济新生态；以信息化搭建外来务工人员服务保障平台；创新“3+1+1”医养服务模式等10余项成功改革经验。</w:t>
      </w:r>
    </w:p>
    <w:p>
      <w:pPr>
        <w:pStyle w:val="6"/>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为打造淄博市的金融高地，我区对金融市场化改革，引入金融“源头活水”。</w:t>
      </w:r>
      <w:r>
        <w:rPr>
          <w:rFonts w:hint="eastAsia" w:ascii="仿宋_GB2312" w:hAnsi="仿宋_GB2312" w:eastAsia="仿宋_GB2312" w:cs="仿宋_GB2312"/>
          <w:sz w:val="32"/>
          <w:szCs w:val="32"/>
          <w:lang w:val="en-US" w:eastAsia="zh-CN"/>
        </w:rPr>
        <w:t>针对当前金融助推实体经济面临融资渠道不畅、金融资源配置不均衡等问题，淄博市张店区</w:t>
      </w:r>
      <w:r>
        <w:rPr>
          <w:rFonts w:hint="eastAsia" w:ascii="仿宋" w:hAnsi="仿宋" w:eastAsia="仿宋_GB2312" w:cs="仿宋_GB2312"/>
          <w:sz w:val="32"/>
          <w:szCs w:val="32"/>
          <w:lang w:eastAsia="zh-CN"/>
        </w:rPr>
        <w:t>全力实施</w:t>
      </w:r>
      <w:r>
        <w:rPr>
          <w:rFonts w:hint="eastAsia" w:ascii="仿宋" w:hAnsi="仿宋" w:eastAsia="仿宋_GB2312" w:cs="仿宋_GB2312"/>
          <w:sz w:val="32"/>
          <w:szCs w:val="32"/>
        </w:rPr>
        <w:t>金融赋能行动</w:t>
      </w:r>
      <w:r>
        <w:rPr>
          <w:rFonts w:hint="eastAsia" w:ascii="仿宋" w:hAnsi="仿宋" w:eastAsia="仿宋_GB2312" w:cs="仿宋_GB2312"/>
          <w:sz w:val="32"/>
          <w:szCs w:val="32"/>
          <w:lang w:eastAsia="zh-CN"/>
        </w:rPr>
        <w:t>，</w:t>
      </w:r>
      <w:r>
        <w:rPr>
          <w:rFonts w:hint="eastAsia" w:ascii="仿宋_GB2312" w:hAnsi="仿宋_GB2312" w:eastAsia="仿宋_GB2312" w:cs="仿宋_GB2312"/>
          <w:sz w:val="32"/>
          <w:szCs w:val="32"/>
          <w:lang w:val="en-US" w:eastAsia="zh-CN"/>
        </w:rPr>
        <w:t>坚持“政府主导、市场化运作”推动金融创新、完善金融生态，着力在整合金融资源、搭建合作平台、延伸服务内涵等方面进行探索尝试，助力产融结合，推进实体经济发展。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一是整合资源，搭建平台，建设</w:t>
      </w:r>
      <w:r>
        <w:rPr>
          <w:rFonts w:hint="eastAsia" w:ascii="仿宋_GB2312" w:hAnsi="仿宋_GB2312" w:eastAsia="仿宋_GB2312" w:cs="仿宋_GB2312"/>
          <w:b/>
          <w:bCs/>
          <w:sz w:val="32"/>
          <w:szCs w:val="32"/>
        </w:rPr>
        <w:t>资本市场发展服务基地</w:t>
      </w:r>
      <w:r>
        <w:rPr>
          <w:rFonts w:hint="eastAsia" w:ascii="黑体" w:hAnsi="黑体" w:eastAsia="黑体" w:cs="黑体"/>
          <w:sz w:val="32"/>
          <w:szCs w:val="32"/>
          <w:lang w:val="en-US" w:eastAsia="zh-CN"/>
        </w:rPr>
        <w:t>。①</w:t>
      </w:r>
      <w:r>
        <w:rPr>
          <w:rFonts w:hint="eastAsia" w:ascii="仿宋_GB2312" w:hAnsi="仿宋_GB2312" w:eastAsia="仿宋_GB2312" w:cs="仿宋_GB2312"/>
          <w:b/>
          <w:bCs/>
          <w:sz w:val="32"/>
          <w:szCs w:val="32"/>
          <w:lang w:eastAsia="zh-CN"/>
        </w:rPr>
        <w:t>助力持续升级，加强基金集聚。</w:t>
      </w:r>
      <w:r>
        <w:rPr>
          <w:rFonts w:hint="eastAsia" w:ascii="仿宋" w:hAnsi="仿宋" w:eastAsia="仿宋_GB2312" w:cs="仿宋_GB2312"/>
          <w:sz w:val="32"/>
          <w:szCs w:val="32"/>
        </w:rPr>
        <w:t>建设成立淄博科创基金港暨资本市场发展服务基地项目</w:t>
      </w:r>
      <w:r>
        <w:rPr>
          <w:rFonts w:hint="eastAsia" w:ascii="仿宋" w:hAnsi="仿宋" w:eastAsia="仿宋_GB2312" w:cs="仿宋_GB2312"/>
          <w:sz w:val="32"/>
          <w:szCs w:val="32"/>
          <w:lang w:eastAsia="zh-CN"/>
        </w:rPr>
        <w:t>，</w:t>
      </w:r>
      <w:r>
        <w:rPr>
          <w:rFonts w:hint="eastAsia" w:ascii="仿宋" w:hAnsi="仿宋" w:eastAsia="仿宋_GB2312" w:cs="仿宋_GB2312"/>
          <w:sz w:val="32"/>
          <w:szCs w:val="32"/>
        </w:rPr>
        <w:t>由淄博市张店区人民政府参股发起，专业基金公司运营，招商引入众多基金类金融资源，助力淄博市“双招双引”，服务实体经济加速发展</w:t>
      </w:r>
      <w:r>
        <w:rPr>
          <w:rFonts w:hint="eastAsia" w:ascii="仿宋" w:hAnsi="仿宋" w:eastAsia="仿宋_GB2312" w:cs="仿宋_GB2312"/>
          <w:sz w:val="32"/>
          <w:szCs w:val="32"/>
          <w:lang w:eastAsia="zh-CN"/>
        </w:rPr>
        <w:t>；</w:t>
      </w:r>
      <w:r>
        <w:rPr>
          <w:rFonts w:hint="eastAsia" w:ascii="仿宋" w:hAnsi="仿宋" w:eastAsia="仿宋_GB2312" w:cs="仿宋_GB2312"/>
          <w:sz w:val="32"/>
          <w:szCs w:val="32"/>
        </w:rPr>
        <w:t>以金融大厦楼宇为载体，市场化运营，吸引创投基金、股权投资基金、证券投资基金及相关金融机构聚集，引入资本市场服务机构及战略投资者，筹划产业基地</w:t>
      </w:r>
      <w:r>
        <w:rPr>
          <w:rFonts w:hint="eastAsia" w:ascii="仿宋" w:hAnsi="仿宋" w:eastAsia="仿宋_GB2312" w:cs="仿宋_GB2312"/>
          <w:sz w:val="32"/>
          <w:szCs w:val="32"/>
          <w:lang w:eastAsia="zh-CN"/>
        </w:rPr>
        <w:t>。</w:t>
      </w:r>
      <w:r>
        <w:rPr>
          <w:rFonts w:hint="eastAsia" w:ascii="仿宋" w:hAnsi="仿宋" w:eastAsia="仿宋_GB2312" w:cs="仿宋_GB2312"/>
          <w:sz w:val="32"/>
          <w:szCs w:val="32"/>
          <w:lang w:val="en-US" w:eastAsia="zh-CN"/>
        </w:rPr>
        <w:t>②</w:t>
      </w:r>
      <w:r>
        <w:rPr>
          <w:rFonts w:hint="eastAsia" w:ascii="仿宋_GB2312" w:hAnsi="仿宋_GB2312" w:eastAsia="仿宋_GB2312" w:cs="仿宋_GB2312"/>
          <w:b/>
          <w:bCs/>
          <w:sz w:val="32"/>
          <w:szCs w:val="32"/>
          <w:lang w:eastAsia="zh-CN"/>
        </w:rPr>
        <w:t>创新活动形式，吸引企业入驻。</w:t>
      </w:r>
      <w:r>
        <w:rPr>
          <w:rFonts w:hint="eastAsia" w:ascii="仿宋" w:hAnsi="仿宋" w:eastAsia="仿宋_GB2312" w:cs="仿宋_GB2312"/>
          <w:sz w:val="32"/>
          <w:szCs w:val="32"/>
          <w:lang w:val="en-US" w:eastAsia="zh-CN"/>
        </w:rPr>
        <w:t>围绕</w:t>
      </w:r>
      <w:r>
        <w:rPr>
          <w:rFonts w:hint="eastAsia" w:ascii="仿宋" w:hAnsi="仿宋" w:eastAsia="仿宋_GB2312" w:cs="仿宋_GB2312"/>
          <w:sz w:val="32"/>
          <w:szCs w:val="32"/>
        </w:rPr>
        <w:t>“搭建平台、链接资源、服务青年”理念，发挥私募基金机构集聚的平台资源，创新融合主题沙龙、青年论坛等活动形式，</w:t>
      </w:r>
      <w:r>
        <w:rPr>
          <w:rFonts w:hint="eastAsia" w:ascii="仿宋" w:hAnsi="仿宋" w:eastAsia="仿宋_GB2312" w:cs="仿宋_GB2312"/>
          <w:sz w:val="32"/>
          <w:szCs w:val="32"/>
          <w:lang w:val="en-US" w:eastAsia="zh-CN"/>
        </w:rPr>
        <w:t>组织</w:t>
      </w:r>
      <w:r>
        <w:rPr>
          <w:rFonts w:hint="eastAsia" w:ascii="仿宋" w:hAnsi="仿宋" w:eastAsia="仿宋_GB2312" w:cs="仿宋_GB2312"/>
          <w:sz w:val="32"/>
          <w:szCs w:val="32"/>
        </w:rPr>
        <w:t>基金同行业、金融服务机构、本地实体企业开展形式新颖、内容丰富、主题多样的互动交流活动，进一步为入驻企业提供多元化服务，助力区域性基金行业发展和实体经济赋能。</w:t>
      </w:r>
      <w:r>
        <w:rPr>
          <w:rFonts w:hint="eastAsia" w:ascii="仿宋" w:hAnsi="仿宋" w:eastAsia="仿宋_GB2312" w:cs="仿宋_GB2312"/>
          <w:sz w:val="32"/>
          <w:szCs w:val="32"/>
          <w:lang w:val="en-US" w:eastAsia="zh-CN"/>
        </w:rPr>
        <w:t>同时，基金港</w:t>
      </w:r>
      <w:r>
        <w:rPr>
          <w:rFonts w:hint="eastAsia" w:ascii="仿宋" w:hAnsi="仿宋" w:eastAsia="仿宋_GB2312" w:cs="仿宋_GB2312"/>
          <w:sz w:val="32"/>
          <w:szCs w:val="32"/>
        </w:rPr>
        <w:t>采取承办基金行业峰会</w:t>
      </w:r>
      <w:r>
        <w:rPr>
          <w:rFonts w:hint="eastAsia" w:ascii="仿宋" w:hAnsi="仿宋" w:eastAsia="仿宋_GB2312" w:cs="仿宋_GB2312"/>
          <w:sz w:val="32"/>
          <w:szCs w:val="32"/>
          <w:lang w:eastAsia="zh-CN"/>
        </w:rPr>
        <w:t>、</w:t>
      </w:r>
      <w:r>
        <w:rPr>
          <w:rFonts w:hint="eastAsia" w:ascii="仿宋" w:hAnsi="仿宋" w:eastAsia="仿宋_GB2312" w:cs="仿宋_GB2312"/>
          <w:sz w:val="32"/>
          <w:szCs w:val="32"/>
        </w:rPr>
        <w:t>基金公开课的形式，吸引国内顶尖基金管理公司、机构投资者，积极推荐优秀项目落地。</w:t>
      </w:r>
      <w:r>
        <w:rPr>
          <w:rFonts w:hint="eastAsia" w:ascii="仿宋_GB2312" w:hAnsi="仿宋_GB2312" w:eastAsia="仿宋_GB2312" w:cs="仿宋_GB2312"/>
          <w:b/>
          <w:bCs/>
          <w:sz w:val="32"/>
          <w:szCs w:val="32"/>
          <w:lang w:val="en-US" w:eastAsia="zh-CN"/>
        </w:rPr>
        <w:t>③</w:t>
      </w:r>
      <w:r>
        <w:rPr>
          <w:rFonts w:hint="eastAsia" w:ascii="仿宋_GB2312" w:hAnsi="仿宋_GB2312" w:eastAsia="仿宋_GB2312" w:cs="仿宋_GB2312"/>
          <w:b/>
          <w:bCs/>
          <w:sz w:val="32"/>
          <w:szCs w:val="32"/>
          <w:lang w:eastAsia="zh-CN"/>
        </w:rPr>
        <w:t>以政策为依，提升项目实力。</w:t>
      </w:r>
      <w:r>
        <w:rPr>
          <w:rFonts w:hint="eastAsia" w:ascii="仿宋" w:hAnsi="仿宋" w:eastAsia="仿宋_GB2312" w:cs="仿宋_GB2312"/>
          <w:sz w:val="32"/>
          <w:szCs w:val="32"/>
        </w:rPr>
        <w:t>以《淄博市推进基金机构集聚发展的十条意见》《淄博市推进基金机构集聚发展的十条意见实施细则》作为基金招商依据，以淄博科创基金港暨资本市场发展服务基地为主阵地，吸引更多创投基金、股权投资基金、证券投资基金及相关金融机构聚集，推动基金业科学健康发展。淄博科创基金港暨资本市场发展服务基地项目建成以来，先后被列入全市上半年经济社会发展现场观摩点评</w:t>
      </w:r>
      <w:r>
        <w:rPr>
          <w:rFonts w:hint="eastAsia" w:ascii="仿宋" w:hAnsi="仿宋" w:eastAsia="仿宋_GB2312" w:cs="仿宋_GB2312"/>
          <w:sz w:val="32"/>
          <w:szCs w:val="32"/>
          <w:lang w:eastAsia="zh-CN"/>
        </w:rPr>
        <w:t>，</w:t>
      </w:r>
      <w:r>
        <w:rPr>
          <w:rFonts w:hint="eastAsia" w:ascii="仿宋" w:hAnsi="仿宋" w:eastAsia="仿宋_GB2312" w:cs="仿宋_GB2312"/>
          <w:sz w:val="32"/>
          <w:szCs w:val="32"/>
        </w:rPr>
        <w:t>“六个一”平台招引新机制落实项目，接待来自全国各地参观访问</w:t>
      </w:r>
      <w:r>
        <w:rPr>
          <w:rFonts w:hint="default" w:ascii="Times New Roman" w:hAnsi="Times New Roman" w:eastAsia="仿宋_GB2312" w:cs="Times New Roman"/>
          <w:sz w:val="32"/>
          <w:szCs w:val="32"/>
        </w:rPr>
        <w:t>20余</w:t>
      </w:r>
      <w:r>
        <w:rPr>
          <w:rFonts w:hint="eastAsia" w:ascii="仿宋" w:hAnsi="仿宋" w:eastAsia="仿宋_GB2312" w:cs="仿宋_GB2312"/>
          <w:sz w:val="32"/>
          <w:szCs w:val="32"/>
        </w:rPr>
        <w:t>次。</w:t>
      </w:r>
      <w:r>
        <w:rPr>
          <w:rFonts w:hint="eastAsia" w:ascii="仿宋_GB2312" w:hAnsi="仿宋_GB2312" w:eastAsia="仿宋_GB2312" w:cs="仿宋_GB2312"/>
          <w:b/>
          <w:bCs/>
          <w:sz w:val="32"/>
          <w:szCs w:val="32"/>
          <w:lang w:val="en-US" w:eastAsia="zh-CN"/>
        </w:rPr>
        <w:t>④</w:t>
      </w:r>
      <w:r>
        <w:rPr>
          <w:rFonts w:hint="eastAsia" w:ascii="仿宋_GB2312" w:hAnsi="仿宋_GB2312" w:eastAsia="仿宋_GB2312" w:cs="仿宋_GB2312"/>
          <w:b/>
          <w:bCs/>
          <w:sz w:val="32"/>
          <w:szCs w:val="32"/>
        </w:rPr>
        <w:t>优选金融专业力量，成立工作专班，提供全流程、全周期的政务服务。</w:t>
      </w:r>
      <w:r>
        <w:rPr>
          <w:rFonts w:hint="eastAsia" w:ascii="仿宋" w:hAnsi="仿宋" w:eastAsia="仿宋_GB2312" w:cs="仿宋_GB2312"/>
          <w:sz w:val="32"/>
          <w:szCs w:val="32"/>
        </w:rPr>
        <w:t>配备专业团队，配合基金港公司在基金招商、资本项目对接、政策兑现等方面发挥积极作用。为入驻机构提供工商、税务、金融监管报批、银行开户等一站式</w:t>
      </w:r>
      <w:r>
        <w:rPr>
          <w:rFonts w:hint="eastAsia" w:ascii="仿宋" w:hAnsi="仿宋" w:eastAsia="仿宋_GB2312" w:cs="仿宋_GB2312"/>
          <w:sz w:val="32"/>
          <w:szCs w:val="32"/>
          <w:lang w:val="en-US" w:eastAsia="zh-CN"/>
        </w:rPr>
        <w:t>代办</w:t>
      </w:r>
      <w:r>
        <w:rPr>
          <w:rFonts w:hint="eastAsia" w:ascii="仿宋" w:hAnsi="仿宋" w:eastAsia="仿宋_GB2312" w:cs="仿宋_GB2312"/>
          <w:sz w:val="32"/>
          <w:szCs w:val="32"/>
        </w:rPr>
        <w:t>服务</w:t>
      </w:r>
      <w:r>
        <w:rPr>
          <w:rFonts w:hint="eastAsia" w:ascii="仿宋" w:hAnsi="仿宋" w:eastAsia="仿宋_GB2312" w:cs="仿宋_GB2312"/>
          <w:sz w:val="32"/>
          <w:szCs w:val="32"/>
          <w:lang w:val="en-US" w:eastAsia="zh-CN"/>
        </w:rPr>
        <w:t>和</w:t>
      </w:r>
      <w:r>
        <w:rPr>
          <w:rFonts w:hint="eastAsia" w:ascii="仿宋" w:hAnsi="仿宋" w:eastAsia="仿宋_GB2312" w:cs="仿宋_GB2312"/>
          <w:sz w:val="32"/>
          <w:szCs w:val="32"/>
        </w:rPr>
        <w:t>代理记账、财税咨询、税务筹划等运营服务，走在了全省的前列。</w:t>
      </w:r>
      <w:r>
        <w:rPr>
          <w:rFonts w:hint="eastAsia" w:ascii="仿宋_GB2312" w:hAnsi="仿宋_GB2312" w:eastAsia="仿宋_GB2312" w:cs="仿宋_GB2312"/>
          <w:b/>
          <w:bCs/>
          <w:sz w:val="32"/>
          <w:szCs w:val="32"/>
          <w:lang w:val="en-US" w:eastAsia="zh-CN"/>
        </w:rPr>
        <w:t>⑤</w:t>
      </w:r>
      <w:r>
        <w:rPr>
          <w:rFonts w:hint="eastAsia" w:ascii="仿宋_GB2312" w:hAnsi="仿宋_GB2312" w:eastAsia="仿宋_GB2312" w:cs="仿宋_GB2312"/>
          <w:b/>
          <w:bCs/>
          <w:sz w:val="32"/>
          <w:szCs w:val="32"/>
          <w:lang w:eastAsia="zh-CN"/>
        </w:rPr>
        <w:t>推动产业发展，扩大基金规模。</w:t>
      </w:r>
      <w:r>
        <w:rPr>
          <w:rFonts w:hint="default" w:ascii="Times New Roman" w:hAnsi="Times New Roman" w:eastAsia="仿宋_GB2312" w:cs="Times New Roman"/>
          <w:sz w:val="32"/>
          <w:szCs w:val="32"/>
          <w:lang w:val="en-US" w:eastAsia="zh-CN"/>
        </w:rPr>
        <w:t>目前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淄博科创基金港</w:t>
      </w:r>
      <w:r>
        <w:rPr>
          <w:rFonts w:hint="default" w:ascii="Times New Roman" w:hAnsi="Times New Roman" w:eastAsia="仿宋_GB2312" w:cs="Times New Roman"/>
          <w:sz w:val="32"/>
          <w:szCs w:val="32"/>
          <w:lang w:val="en-US" w:eastAsia="zh-CN"/>
        </w:rPr>
        <w:t>签约基金机构32家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基金管理规模502亿元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到位实缴资本33亿元</w:t>
      </w:r>
      <w:r>
        <w:rPr>
          <w:rFonts w:hint="eastAsia" w:ascii="Times New Roman" w:hAnsi="Times New Roman" w:eastAsia="仿宋_GB2312" w:cs="Times New Roman"/>
          <w:sz w:val="32"/>
          <w:szCs w:val="32"/>
          <w:lang w:val="en-US" w:eastAsia="zh-CN"/>
        </w:rPr>
        <w:t>；争取</w:t>
      </w:r>
      <w:r>
        <w:rPr>
          <w:rFonts w:hint="default" w:ascii="Times New Roman" w:hAnsi="Times New Roman" w:eastAsia="仿宋_GB2312" w:cs="Times New Roman"/>
          <w:sz w:val="32"/>
          <w:szCs w:val="32"/>
          <w:lang w:val="en-US" w:eastAsia="zh-CN"/>
        </w:rPr>
        <w:t>到2021年底，引进金融、基金类项目不低于80家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认缴规模不低于200亿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到位资金不低于80亿。</w:t>
      </w:r>
      <w:r>
        <w:rPr>
          <w:rFonts w:hint="eastAsia" w:ascii="仿宋" w:hAnsi="仿宋" w:eastAsia="仿宋_GB2312" w:cs="仿宋_GB2312"/>
          <w:sz w:val="32"/>
          <w:szCs w:val="32"/>
        </w:rPr>
        <w:t>加快聚集产业项目、打造产业链条、形成产业集群，推动淄博实体经济加速发展，实现产业基金、社会资</w:t>
      </w:r>
      <w:r>
        <w:rPr>
          <w:rFonts w:hint="default" w:ascii="Times New Roman" w:hAnsi="Times New Roman" w:eastAsia="仿宋_GB2312" w:cs="Times New Roman"/>
          <w:sz w:val="32"/>
          <w:szCs w:val="32"/>
        </w:rPr>
        <w:t>本与全市企业的无缝对接。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二是夯实基础，提升评级，打造强力区级投融资平台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淄博市张店区国有资产运营有限公司（以下简称“区国资公司”）通过“</w:t>
      </w:r>
      <w:r>
        <w:rPr>
          <w:rFonts w:hint="default" w:ascii="Times New Roman" w:hAnsi="Times New Roman" w:eastAsia="仿宋_GB2312" w:cs="Times New Roman"/>
          <w:sz w:val="32"/>
          <w:szCs w:val="32"/>
          <w:lang w:val="en-US" w:eastAsia="zh-CN"/>
        </w:rPr>
        <w:t>AA+</w:t>
      </w:r>
      <w:r>
        <w:rPr>
          <w:rFonts w:hint="eastAsia" w:ascii="仿宋_GB2312" w:hAnsi="仿宋_GB2312" w:eastAsia="仿宋_GB2312" w:cs="仿宋_GB2312"/>
          <w:sz w:val="32"/>
          <w:szCs w:val="32"/>
          <w:lang w:val="en-US" w:eastAsia="zh-CN"/>
        </w:rPr>
        <w:t>”主体信用等级预评级，表明主流评级机构对区国资公司综合能力的高度认可和充分肯定，对公司进一步拓宽融资渠道、扩大融资规模、降低融资成本等具有重大的现实意义。</w:t>
      </w:r>
      <w:r>
        <w:rPr>
          <w:rFonts w:hint="eastAsia" w:ascii="仿宋_GB2312" w:hAnsi="仿宋_GB2312" w:eastAsia="仿宋_GB2312" w:cs="仿宋_GB2312"/>
          <w:b/>
          <w:bCs/>
          <w:sz w:val="32"/>
          <w:szCs w:val="32"/>
          <w:lang w:val="en-US" w:eastAsia="zh-CN"/>
        </w:rPr>
        <w:t>①组建专业团队。</w:t>
      </w:r>
      <w:r>
        <w:rPr>
          <w:rFonts w:hint="eastAsia" w:ascii="仿宋_GB2312" w:hAnsi="仿宋_GB2312" w:eastAsia="仿宋_GB2312" w:cs="仿宋_GB2312"/>
          <w:sz w:val="32"/>
          <w:szCs w:val="32"/>
          <w:lang w:val="en-US" w:eastAsia="zh-CN"/>
        </w:rPr>
        <w:t>将主体信用评级列为重要事项进行专题研究部署，形成强化领导、盯紧目标的战略要求，成立工作专班，主动对接金融机构和评级机构，理清主体评级指标，梳理主体评级工作清单，全力推动主体信用评级工作。建立健全财务管理制度，做好收支计划、成本费用控制、财务分析，以完善内部财务管理制度带动企业管理水平的提高。梳理公司往年项目投资开发协议，理顺建设资金来源及支付渠道，优化债务结构，有效防控债务风险。配合公司长期发展战略规划，构建多元化融资方式，服务产业投资布局，增强市场化经营能力。坚持严格准入，聘请有证券从业资格和丰富经验的会计师事务所、律师事务所、资信评级机构、咨询机构组成强大评级阵容，进行系统指导，经过现场审计、高管访谈、尽职调查、反复核实，对外部运营环境、公司治理与管理、经营与竞争、财务实力及外部支持等方面认真分析研判，结合实际制定了公司主体信用评级工作方案。</w:t>
      </w:r>
      <w:r>
        <w:rPr>
          <w:rFonts w:hint="eastAsia" w:ascii="仿宋_GB2312" w:hAnsi="仿宋_GB2312" w:eastAsia="仿宋_GB2312" w:cs="仿宋_GB2312"/>
          <w:b/>
          <w:bCs/>
          <w:sz w:val="32"/>
          <w:szCs w:val="32"/>
          <w:lang w:val="en-US" w:eastAsia="zh-CN"/>
        </w:rPr>
        <w:t>②充分整合资源。</w:t>
      </w:r>
      <w:r>
        <w:rPr>
          <w:rFonts w:hint="eastAsia" w:ascii="仿宋_GB2312" w:hAnsi="仿宋_GB2312" w:eastAsia="仿宋_GB2312" w:cs="仿宋_GB2312"/>
          <w:sz w:val="32"/>
          <w:szCs w:val="32"/>
          <w:lang w:val="en-US" w:eastAsia="zh-CN"/>
        </w:rPr>
        <w:t>平台公司的发展与地方政府密不可分，区域经济情况体现支持能力，体现个体信用状况。张店区</w:t>
      </w:r>
      <w:r>
        <w:rPr>
          <w:rFonts w:hint="default" w:ascii="Times New Roman" w:hAnsi="Times New Roman" w:eastAsia="仿宋_GB2312" w:cs="Times New Roman"/>
          <w:sz w:val="32"/>
          <w:szCs w:val="32"/>
          <w:lang w:val="en-US" w:eastAsia="zh-CN"/>
        </w:rPr>
        <w:t>2019年一般预算收入为48</w:t>
      </w:r>
      <w:r>
        <w:rPr>
          <w:rFonts w:hint="eastAsia" w:ascii="仿宋_GB2312" w:hAnsi="仿宋_GB2312" w:eastAsia="仿宋_GB2312" w:cs="仿宋_GB2312"/>
          <w:sz w:val="32"/>
          <w:szCs w:val="32"/>
          <w:lang w:val="en-US" w:eastAsia="zh-CN"/>
        </w:rPr>
        <w:t>亿元，财政可支配能力较强，为获得主体信用评级打下坚实基础。完成多家区属国有企业的股权划转及资产划拨工作，进一步充实壮大了公司资产，使公司获得强主体信用评级锦上添花。</w:t>
      </w:r>
      <w:r>
        <w:rPr>
          <w:rFonts w:hint="eastAsia" w:ascii="仿宋_GB2312" w:hAnsi="仿宋_GB2312" w:eastAsia="仿宋_GB2312" w:cs="仿宋_GB2312"/>
          <w:b/>
          <w:bCs/>
          <w:sz w:val="32"/>
          <w:szCs w:val="32"/>
          <w:lang w:val="en-US" w:eastAsia="zh-CN"/>
        </w:rPr>
        <w:t>③充分利用资本市场优势打造强力投融资平台。</w:t>
      </w:r>
      <w:r>
        <w:rPr>
          <w:rFonts w:hint="eastAsia" w:ascii="仿宋_GB2312" w:hAnsi="仿宋_GB2312" w:eastAsia="仿宋_GB2312" w:cs="仿宋_GB2312"/>
          <w:sz w:val="32"/>
          <w:szCs w:val="32"/>
          <w:lang w:val="en-US" w:eastAsia="zh-CN"/>
        </w:rPr>
        <w:t>受疫情影响，市场缺乏足够的流动性，平台公司借助评级契机，整合资源、形成以“城市建设运营”“资产运营管理”“综合服务”等为主要业务板块的发展格局。2020年，总资产规模已达到</w:t>
      </w:r>
      <w:r>
        <w:rPr>
          <w:rFonts w:hint="default" w:ascii="Times New Roman" w:hAnsi="Times New Roman" w:eastAsia="仿宋_GB2312" w:cs="Times New Roman"/>
          <w:sz w:val="32"/>
          <w:szCs w:val="32"/>
          <w:lang w:val="en-US" w:eastAsia="zh-CN"/>
        </w:rPr>
        <w:t>约250亿元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净资产约150亿元，年实现主营业务收入约13亿</w:t>
      </w:r>
      <w:r>
        <w:rPr>
          <w:rFonts w:hint="eastAsia" w:ascii="仿宋_GB2312" w:hAnsi="仿宋_GB2312" w:eastAsia="仿宋_GB2312" w:cs="仿宋_GB2312"/>
          <w:sz w:val="32"/>
          <w:szCs w:val="32"/>
          <w:lang w:val="en-US" w:eastAsia="zh-CN"/>
        </w:rPr>
        <w:t>元。</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kern w:val="0"/>
          <w:sz w:val="32"/>
          <w:szCs w:val="32"/>
          <w:lang w:val="en-US" w:eastAsia="zh-CN" w:bidi="ar"/>
        </w:rPr>
        <w:t>完善链条，创新服务，促进供应链金融服务发展</w:t>
      </w:r>
      <w:r>
        <w:rPr>
          <w:rFonts w:hint="eastAsia" w:ascii="黑体" w:hAnsi="黑体" w:eastAsia="黑体" w:cs="黑体"/>
          <w:kern w:val="0"/>
          <w:sz w:val="32"/>
          <w:szCs w:val="32"/>
          <w:lang w:val="en-US" w:eastAsia="zh-CN" w:bidi="ar"/>
        </w:rPr>
        <w:t>。</w:t>
      </w:r>
      <w:r>
        <w:rPr>
          <w:rFonts w:hint="eastAsia" w:ascii="仿宋_GB2312" w:hAnsi="仿宋_GB2312" w:eastAsia="仿宋_GB2312" w:cs="仿宋_GB2312"/>
          <w:b/>
          <w:bCs/>
          <w:kern w:val="0"/>
          <w:sz w:val="32"/>
          <w:szCs w:val="32"/>
          <w:lang w:val="en-US" w:eastAsia="zh-CN" w:bidi="ar"/>
        </w:rPr>
        <w:t>①抓住制约企业“关键一环”，创新供应链贸易保障。</w:t>
      </w:r>
      <w:r>
        <w:rPr>
          <w:rFonts w:hint="eastAsia" w:ascii="仿宋_GB2312" w:hAnsi="仿宋_GB2312" w:eastAsia="仿宋_GB2312" w:cs="仿宋_GB2312"/>
          <w:b w:val="0"/>
          <w:bCs w:val="0"/>
          <w:kern w:val="0"/>
          <w:sz w:val="32"/>
          <w:szCs w:val="32"/>
          <w:lang w:val="en-US" w:eastAsia="zh-CN" w:bidi="ar"/>
        </w:rPr>
        <w:t>今年</w:t>
      </w:r>
      <w:r>
        <w:rPr>
          <w:rFonts w:hint="eastAsia" w:ascii="仿宋_GB2312" w:hAnsi="仿宋_GB2312" w:eastAsia="仿宋_GB2312" w:cs="仿宋_GB2312"/>
          <w:kern w:val="0"/>
          <w:sz w:val="32"/>
          <w:szCs w:val="32"/>
          <w:lang w:val="en-US" w:eastAsia="zh-CN" w:bidi="ar"/>
        </w:rPr>
        <w:t>，张店经开区全面启动“管委会+公司+基金”的市场化运营模式，在广泛考察、市场论证、企业调研的基础上，管委会下辖国有公司--山东齐赢园区管理运营有限公司避开传统供应链金融对物流仓储等硬件设施系统要求较高的限制，探索尝试通过供应链贸易创新解决小微企业融资难的“关键一环”，稳定疫情后供应链条上的中小微企业，保持园区的持续动力与活力。</w:t>
      </w:r>
      <w:r>
        <w:rPr>
          <w:rFonts w:hint="eastAsia" w:ascii="仿宋_GB2312" w:hAnsi="仿宋_GB2312" w:eastAsia="仿宋_GB2312" w:cs="仿宋_GB2312"/>
          <w:b/>
          <w:bCs/>
          <w:kern w:val="0"/>
          <w:sz w:val="32"/>
          <w:szCs w:val="32"/>
          <w:lang w:val="en-US" w:eastAsia="zh-CN" w:bidi="ar"/>
        </w:rPr>
        <w:t>②突出风险把控“关键一招”，确保供应链贸易“良性互动”。</w:t>
      </w:r>
      <w:r>
        <w:rPr>
          <w:rFonts w:hint="eastAsia" w:ascii="仿宋_GB2312" w:hAnsi="仿宋_GB2312" w:eastAsia="仿宋_GB2312" w:cs="仿宋_GB2312"/>
          <w:kern w:val="0"/>
          <w:sz w:val="32"/>
          <w:szCs w:val="32"/>
          <w:lang w:val="en-US" w:eastAsia="zh-CN" w:bidi="ar"/>
        </w:rPr>
        <w:t>搭建全方位风险把控体系，首选经营状况好、商业信誉好、发展前景较好，属于园区重点扶持的供应链企业，积极打造园区吸引园外企业沿链聚合新高地；建立快速市场商品信息收集和反馈体系，成立全资邦旺贸易公司，以供应链贸易形式出资帮助企业采购所需原材料及加工设备，根据市场行情选择质押物，选取销售趋势好、市场占有率高、实力强、知名度高的产品或设备作为质押商品，对销售情况、价格变化趋势监控，实时关注质押商品变现价值；专业法务起草拟定贸易合同，明确各方权利义务,弥补供应链业务因涉及多方主体而产生质物所有权纠纷等法律风险，为供应链金融服务提供风险防火墙，给供应链节点企业提供了更加便捷的融资机会。</w:t>
      </w:r>
      <w:r>
        <w:rPr>
          <w:rFonts w:hint="eastAsia" w:ascii="仿宋_GB2312" w:hAnsi="仿宋_GB2312" w:eastAsia="仿宋_GB2312" w:cs="仿宋_GB2312"/>
          <w:b/>
          <w:bCs/>
          <w:kern w:val="0"/>
          <w:sz w:val="32"/>
          <w:szCs w:val="32"/>
          <w:lang w:val="en-US" w:eastAsia="zh-CN" w:bidi="ar"/>
        </w:rPr>
        <w:t>③围绕融通服务“关键节点”，实现园区企业高质量发展。</w:t>
      </w:r>
      <w:r>
        <w:rPr>
          <w:rFonts w:hint="eastAsia" w:ascii="仿宋_GB2312" w:hAnsi="仿宋_GB2312" w:eastAsia="仿宋_GB2312" w:cs="仿宋_GB2312"/>
          <w:kern w:val="0"/>
          <w:sz w:val="32"/>
          <w:szCs w:val="32"/>
          <w:lang w:val="en-US" w:eastAsia="zh-CN" w:bidi="ar"/>
        </w:rPr>
        <w:t>相较于传统企业融资方式，供应链贸易借助核心企业的信用和真实交易，将原银行对中小企业贷款要求的不动产担保，转化为占中小企业资产比例较多的动产融资模式，资金到账时间缩短至半天、贸易合作期限灵活、融资效率极高，有效并低成本地解决了中小企业融资难的问题。同时，园区运营公司从中也得到较好的现金流及盈利增长点，实现了国有企业的保值增值，达到多方共赢。具体操作中,</w:t>
      </w:r>
      <w:r>
        <w:rPr>
          <w:rFonts w:hint="eastAsia" w:ascii="仿宋_GB2312" w:hAnsi="仿宋_GB2312" w:eastAsia="仿宋_GB2312" w:cs="仿宋_GB2312"/>
          <w:b/>
          <w:bCs/>
          <w:kern w:val="0"/>
          <w:sz w:val="32"/>
          <w:szCs w:val="32"/>
          <w:lang w:val="en-US" w:eastAsia="zh-CN" w:bidi="ar"/>
        </w:rPr>
        <w:t>第一，围绕龙头核心企业，推动供应链贸易沿链聚合。</w:t>
      </w:r>
      <w:r>
        <w:rPr>
          <w:rFonts w:hint="eastAsia" w:ascii="仿宋_GB2312" w:hAnsi="仿宋_GB2312" w:eastAsia="仿宋_GB2312" w:cs="仿宋_GB2312"/>
          <w:kern w:val="0"/>
          <w:sz w:val="32"/>
          <w:szCs w:val="32"/>
          <w:lang w:val="en-US" w:eastAsia="zh-CN" w:bidi="ar"/>
        </w:rPr>
        <w:t>以鑫旭集团、安澜电力及联创集团等为中心的企业，以应收账款质押等方式围绕其上下游企业开展业务合作，实现建链、补链，确保园区内部供应链稳定。</w:t>
      </w:r>
      <w:r>
        <w:rPr>
          <w:rFonts w:hint="eastAsia" w:ascii="仿宋_GB2312" w:hAnsi="仿宋_GB2312" w:eastAsia="仿宋_GB2312" w:cs="仿宋_GB2312"/>
          <w:b/>
          <w:bCs/>
          <w:kern w:val="0"/>
          <w:sz w:val="32"/>
          <w:szCs w:val="32"/>
          <w:lang w:val="en-US" w:eastAsia="zh-CN" w:bidi="ar"/>
        </w:rPr>
        <w:t>第二，发挥市场化运作优势。</w:t>
      </w:r>
      <w:r>
        <w:rPr>
          <w:rFonts w:hint="eastAsia" w:ascii="仿宋_GB2312" w:hAnsi="仿宋_GB2312" w:eastAsia="仿宋_GB2312" w:cs="仿宋_GB2312"/>
          <w:kern w:val="0"/>
          <w:sz w:val="32"/>
          <w:szCs w:val="32"/>
          <w:lang w:val="en-US" w:eastAsia="zh-CN" w:bidi="ar"/>
        </w:rPr>
        <w:t>以代采购等方式组织做好园区天音、艾磁、益宁等中小微企业委托采购业务，解决资金短缺问题，扶植企业紧抓市场机遇做大做强，增强抗风险能力，并视情参股投资部分高成长性小微企业。</w:t>
      </w:r>
      <w:r>
        <w:rPr>
          <w:rFonts w:hint="eastAsia" w:ascii="仿宋_GB2312" w:hAnsi="仿宋_GB2312" w:eastAsia="仿宋_GB2312" w:cs="仿宋_GB2312"/>
          <w:b/>
          <w:bCs/>
          <w:kern w:val="0"/>
          <w:sz w:val="32"/>
          <w:szCs w:val="32"/>
          <w:lang w:val="en-US" w:eastAsia="zh-CN" w:bidi="ar"/>
        </w:rPr>
        <w:t>第三，利用互联网和物联网，打造专门化商品交易和服务。</w:t>
      </w:r>
      <w:r>
        <w:rPr>
          <w:rFonts w:hint="eastAsia" w:ascii="仿宋_GB2312" w:hAnsi="仿宋_GB2312" w:eastAsia="仿宋_GB2312" w:cs="仿宋_GB2312"/>
          <w:kern w:val="0"/>
          <w:sz w:val="32"/>
          <w:szCs w:val="32"/>
          <w:lang w:val="en-US" w:eastAsia="zh-CN" w:bidi="ar"/>
        </w:rPr>
        <w:t>为链上企业提供包括价格发布、市场供求、交易撮合等全方位的配套服务，根据全产业链的交易需求接入在线供应链金融服务，构筑线上线下紧密结合的供应链服务生态圈，成为输出平台化服务的综合服务商。供应链贸易服务保障运</w:t>
      </w:r>
      <w:r>
        <w:rPr>
          <w:rFonts w:hint="default" w:ascii="Times New Roman" w:hAnsi="Times New Roman" w:eastAsia="仿宋_GB2312" w:cs="Times New Roman"/>
          <w:kern w:val="0"/>
          <w:sz w:val="32"/>
          <w:szCs w:val="32"/>
          <w:lang w:val="en-US" w:eastAsia="zh-CN" w:bidi="ar"/>
        </w:rPr>
        <w:t>转8</w:t>
      </w:r>
      <w:r>
        <w:rPr>
          <w:rFonts w:hint="eastAsia" w:ascii="仿宋_GB2312" w:hAnsi="仿宋_GB2312" w:eastAsia="仿宋_GB2312" w:cs="仿宋_GB2312"/>
          <w:kern w:val="0"/>
          <w:sz w:val="32"/>
          <w:szCs w:val="32"/>
          <w:lang w:val="en-US" w:eastAsia="zh-CN" w:bidi="ar"/>
        </w:rPr>
        <w:t>个月以来，先后与园区</w:t>
      </w:r>
      <w:r>
        <w:rPr>
          <w:rFonts w:hint="default" w:ascii="Times New Roman" w:hAnsi="Times New Roman" w:eastAsia="仿宋_GB2312" w:cs="Times New Roman"/>
          <w:kern w:val="0"/>
          <w:sz w:val="32"/>
          <w:szCs w:val="32"/>
          <w:lang w:val="en-US" w:eastAsia="zh-CN" w:bidi="ar"/>
        </w:rPr>
        <w:t>10家企业</w:t>
      </w:r>
      <w:r>
        <w:rPr>
          <w:rFonts w:hint="eastAsia" w:ascii="Times New Roman" w:hAnsi="Times New Roman" w:eastAsia="仿宋_GB2312" w:cs="Times New Roman"/>
          <w:kern w:val="0"/>
          <w:sz w:val="32"/>
          <w:szCs w:val="32"/>
          <w:lang w:val="en-US" w:eastAsia="zh-CN" w:bidi="ar"/>
        </w:rPr>
        <w:t>采取</w:t>
      </w:r>
      <w:r>
        <w:rPr>
          <w:rFonts w:hint="default" w:ascii="Times New Roman" w:hAnsi="Times New Roman" w:eastAsia="仿宋_GB2312" w:cs="Times New Roman"/>
          <w:kern w:val="0"/>
          <w:sz w:val="32"/>
          <w:szCs w:val="32"/>
          <w:lang w:val="en-US" w:eastAsia="zh-CN" w:bidi="ar"/>
        </w:rPr>
        <w:t>供应链金融代采方式合作46笔业务，解决企业流动资金2630</w:t>
      </w:r>
      <w:r>
        <w:rPr>
          <w:rFonts w:hint="eastAsia" w:ascii="仿宋_GB2312" w:hAnsi="仿宋_GB2312" w:eastAsia="仿宋_GB2312" w:cs="仿宋_GB2312"/>
          <w:kern w:val="0"/>
          <w:sz w:val="32"/>
          <w:szCs w:val="32"/>
          <w:lang w:val="en-US" w:eastAsia="zh-CN" w:bidi="ar"/>
        </w:rPr>
        <w:t xml:space="preserve">万元，无违约资金发证。供应链贸易的灵活性与机动性在赋能中小企业发展及渡过难关方面的作用越加凸显。  </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kern w:val="0"/>
          <w:sz w:val="32"/>
          <w:szCs w:val="32"/>
          <w:lang w:val="en-US" w:eastAsia="zh-CN" w:bidi="ar"/>
        </w:rPr>
        <w:t>（四）</w:t>
      </w:r>
      <w:r>
        <w:rPr>
          <w:rFonts w:hint="eastAsia" w:ascii="楷体_GB2312" w:hAnsi="楷体_GB2312" w:eastAsia="楷体_GB2312" w:cs="楷体_GB2312"/>
          <w:color w:val="000000"/>
          <w:kern w:val="0"/>
          <w:sz w:val="32"/>
          <w:szCs w:val="32"/>
          <w:lang w:val="en-US" w:eastAsia="zh-CN" w:bidi="ar"/>
        </w:rPr>
        <w:t>产业融合发展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随着张店区服务业的高质量发展，我区服务业与新型工业化、信息化、农业农村现代化结合度越来越高，呈现出深度融合的发展趋势，形成了一批优秀的项目和成功的案例。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一是与农业融合发展</w:t>
      </w:r>
      <w:r>
        <w:rPr>
          <w:rFonts w:hint="eastAsia" w:ascii="仿宋_GB2312" w:hAnsi="仿宋_GB2312" w:eastAsia="仿宋_GB2312" w:cs="仿宋_GB2312"/>
          <w:color w:val="000000"/>
          <w:kern w:val="0"/>
          <w:sz w:val="32"/>
          <w:szCs w:val="32"/>
          <w:lang w:val="en-US" w:eastAsia="zh-CN" w:bidi="ar"/>
        </w:rPr>
        <w:t>。一直以来，社会对食品安全关注度的持续提高，加快城乡冷链物流建设工作作为重要工作部署被多次列入中央会议。2019年7月30日，中共中央政治局会议部署下半年经济工作时明确提出，要紧紧围绕“巩固、增强、提升、畅通”八字方针，深化供给侧结构性改革，实施城乡冷链物流设施建设工程；12月20日，中央农村工作会议再次指出要全面启动农产品仓储保鲜冷链物流设施建设工作。淄博市作为全国首批30个试点城市，乐物公司作为全国专项行动试点示范企业之一，已入围全国30家优秀企业典型案例。该公司将以物流标准化和信息化为契机，积极发挥示范带动效应，以平台和生态思维为根本创新智慧物流新模式，有效带动“农产品进城、消费品下乡”。与此同时，将进一步依托公司旗下农产品电商交易平台—乐物网联合淄博优质农产品示范园和生产基地，以互联网技术为基本，打造融合种植、流通和消费的农产品数字产业链，优化提升物流供应链，创新重构平台价值链，重塑淄博的鲁中区位优势，树立全国城乡高效配送的新业态、新模式，打造能向全国输出具备淄博特色的融合物流新技术、新产品于一体的创新解决方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二是与工业融合发展</w:t>
      </w:r>
      <w:r>
        <w:rPr>
          <w:rFonts w:hint="eastAsia" w:ascii="仿宋_GB2312" w:hAnsi="仿宋_GB2312" w:eastAsia="仿宋_GB2312" w:cs="仿宋_GB2312"/>
          <w:color w:val="000000"/>
          <w:kern w:val="0"/>
          <w:sz w:val="32"/>
          <w:szCs w:val="32"/>
          <w:lang w:val="en-US" w:eastAsia="zh-CN" w:bidi="ar"/>
        </w:rPr>
        <w:t>。山东微云互联科技成立于2015年，是华为云山东授权销售支持中心，华为云领先级解决方案合作伙伴，山东省企业“上云”优秀行业云平台企业。该公司以工业数字化转型之路,聚焦工业互联网平台运营，利用边缘计算、工业数据分析及处理、人工智能、机理分析、创新工业APP等先进技术，助力传统企业数字化、网络化、智能化转型升级。其构建并运营的微云互联工业互联网赋能平台是面向智能制造和新一代信息技术所构建的工业互联网生态平台。依托该平台,微云互联为企业提供全场景数智化解决方案，帮助企业实现数据流、生产流与控制流的协同，提高生产效率，降低生产成本，降本增效，提质增收，以自主可控路径实现智能制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微云互联科技目前在全市已经服务近百家企业。其中安澜电力的数字化办公平台，大大加快了客户企业的办事效率，简化了不必要的麻烦流程；山东弹簧厂使用了云视频会议后，人员在外地出差也可以及时参会，会议沟通效率提升，业务沟通更方便；政泰耐火的生产过程管控平台，为耐火材料生产全流程提供管控和追溯；鲁工造粒的工业互联网设备智能运维平台为企业延长造粒设备的使用周期，降低售后运维成本，造粒设备非故障停机减少；德佑电气的工业互联网智慧能源服务平台，降低了客户电力设备维修保养成本，消除电力设备故障，降低电力设备停机时间；金城晖瑞的生产运行远程监控平台为客户实现DCS数据采集，画面实时数据，用户权限分配和管理。</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（五）数字经济应用新经验、新举措</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一是依托区位优势，找准发展方向</w:t>
      </w:r>
      <w:r>
        <w:rPr>
          <w:rFonts w:hint="eastAsia" w:ascii="仿宋_GB2312" w:hAnsi="仿宋_GB2312" w:eastAsia="仿宋_GB2312" w:cs="仿宋_GB2312"/>
          <w:color w:val="000000"/>
          <w:kern w:val="0"/>
          <w:sz w:val="32"/>
          <w:szCs w:val="32"/>
          <w:lang w:val="en-US" w:eastAsia="zh-CN" w:bidi="ar"/>
        </w:rPr>
        <w:t>。发展数字经济、平台经济，推动产业集聚和效益提升，应充分依托和发挥地区原有的资源优势和产业基础。淄博是中国北方重要的工业城市，近现代工业发展历史已逾百年，产业门类齐全、产业基础雄厚，目前拥有齐鲁石化、淄矿集团、新华制药、新华医疗等一大批央企国企，以及金诚石化、汇丰石化等中国民营企业翘楚，也为石化、能源、化工类产业数字贸易的发展奠定了良好的基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二是壮大数字经济，优化营商环境</w:t>
      </w:r>
      <w:r>
        <w:rPr>
          <w:rFonts w:hint="eastAsia" w:ascii="仿宋_GB2312" w:hAnsi="仿宋_GB2312" w:eastAsia="仿宋_GB2312" w:cs="仿宋_GB2312"/>
          <w:color w:val="000000"/>
          <w:kern w:val="0"/>
          <w:sz w:val="32"/>
          <w:szCs w:val="32"/>
          <w:lang w:val="en-US" w:eastAsia="zh-CN" w:bidi="ar"/>
        </w:rPr>
        <w:t>。张店区政府为加快金泰能源（淄博）数字贸易产业园项目落地实施，多次深入企业调研座谈，根据企业诉求组织各部门召开专题会议，围绕企业注册运营各部门形成快速联动机制，对企业工商执照办理、危险化学品经营许可证办理、税务业务办理、扶持政策制定均明确限期办理，且全程开展专人办理、代办服务，为项目运营开通绿色通道。张店区真切的服务态度、高效的工作能力、便捷的工作流程，切实为项目顺利推进运营提供了坚实的保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三是推进平台建设，积极筑巢引凤</w:t>
      </w:r>
      <w:r>
        <w:rPr>
          <w:rFonts w:hint="eastAsia" w:ascii="仿宋_GB2312" w:hAnsi="仿宋_GB2312" w:eastAsia="仿宋_GB2312" w:cs="仿宋_GB2312"/>
          <w:color w:val="000000"/>
          <w:kern w:val="0"/>
          <w:sz w:val="32"/>
          <w:szCs w:val="32"/>
          <w:lang w:val="en-US" w:eastAsia="zh-CN" w:bidi="ar"/>
        </w:rPr>
        <w:t>。发展数字经济、平台经济，建设金泰能源（淄博）数字贸易产业园，不仅能“建起来”，更要能“引进来”“留得住”，离不开平台载体的建设。为保障金泰能源（淄博）数字贸易产业园顺利运营，政府出台了税收、办公用房、人才保障等系列优惠政策，符合条件的园区入驻企业均可享受张店区政府给与产业园的奖励政策，获得高额财政奖励和工商注册、《危险化学品经营许可证》办理等全流程一站式高效服务；产业园拥有专业的财税筹划团队，在为企业提供优质财务代账服务的同时，最大化为企业规避税务风险并实现企业的合理财税优化；产业园会员企业可享受高效的供应链金融服务。金泰能源目前已经与国内多个产业园区分别设立总额达20亿元的“能源产业基金”，并与国内包括工农交建在内的30余个银行机构签署战略合作协议，配套专业供应链金融服务团队，为入园企业提供仓单质押融资、代采代销融资、托盘交易等专项供应链金融服务。优质平台的打造，为企业招引入驻创造良好前提条件，据金泰能源相关负责人介绍，据测算金泰能源数字产业园2年内注册市外企业不少于200家，实际落地办公企业不少于60家，力争5年内形成以金泰能源（淄博）数字贸易产业园为旗舰核心园区的数字贸易产业园矩阵，聚集5000家以上能源石化经营企业集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w:t>
      </w:r>
      <w:r>
        <w:rPr>
          <w:rFonts w:hint="eastAsia" w:ascii="黑体" w:hAnsi="黑体" w:eastAsia="黑体" w:cs="黑体"/>
          <w:sz w:val="32"/>
          <w:szCs w:val="32"/>
          <w:lang w:val="en-US" w:eastAsia="zh-CN"/>
        </w:rPr>
        <w:t>服务业发展环境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（一）体制机制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val="0"/>
          <w:color w:val="auto"/>
          <w:kern w:val="0"/>
          <w:sz w:val="32"/>
          <w:szCs w:val="32"/>
        </w:rPr>
        <w:t>一是健全领导机构</w:t>
      </w:r>
      <w:r>
        <w:rPr>
          <w:rFonts w:hint="eastAsia" w:ascii="仿宋_GB2312" w:hAnsi="仿宋_GB2312" w:eastAsia="仿宋_GB2312" w:cs="仿宋_GB2312"/>
          <w:color w:val="auto"/>
          <w:kern w:val="0"/>
          <w:sz w:val="32"/>
          <w:szCs w:val="32"/>
        </w:rPr>
        <w:t>。区政府高度重视，成立了由区政府“一把手”为组长、分管副区长为副组长、相关部门主要领导为成员的服务业综合改革试点工作领导小组，全面负责此项工作的领导，将服务业综合改革试点纳入全区工作中心，统筹安排，全面推进。</w:t>
      </w:r>
      <w:r>
        <w:rPr>
          <w:rFonts w:hint="eastAsia" w:ascii="仿宋_GB2312" w:hAnsi="仿宋_GB2312" w:eastAsia="仿宋_GB2312" w:cs="仿宋_GB2312"/>
          <w:b/>
          <w:bCs w:val="0"/>
          <w:color w:val="auto"/>
          <w:kern w:val="0"/>
          <w:sz w:val="32"/>
          <w:szCs w:val="32"/>
        </w:rPr>
        <w:t>二是明确职责，强化督查</w:t>
      </w:r>
      <w:r>
        <w:rPr>
          <w:rFonts w:hint="eastAsia" w:ascii="仿宋_GB2312" w:hAnsi="仿宋_GB2312" w:eastAsia="仿宋_GB2312" w:cs="仿宋_GB2312"/>
          <w:color w:val="auto"/>
          <w:kern w:val="0"/>
          <w:sz w:val="32"/>
          <w:szCs w:val="32"/>
        </w:rPr>
        <w:t>。下发了《关于印发〈张店区服务业综合改革试点实施方案〉的通知》（张政办发〔2017〕23号），将确定的改革事项分解细化到各责任单位，规定了完成时限，并纳入政府重点督查事项。</w:t>
      </w:r>
      <w:r>
        <w:rPr>
          <w:rFonts w:hint="eastAsia" w:ascii="仿宋_GB2312" w:hAnsi="仿宋_GB2312" w:eastAsia="仿宋_GB2312" w:cs="仿宋_GB2312"/>
          <w:b/>
          <w:bCs w:val="0"/>
          <w:color w:val="auto"/>
          <w:kern w:val="0"/>
          <w:sz w:val="32"/>
          <w:szCs w:val="32"/>
        </w:rPr>
        <w:t>三是建立了服务业综合改革工作推进机制</w:t>
      </w:r>
      <w:r>
        <w:rPr>
          <w:rFonts w:hint="eastAsia" w:ascii="仿宋_GB2312" w:hAnsi="仿宋_GB2312" w:eastAsia="仿宋_GB2312" w:cs="仿宋_GB2312"/>
          <w:color w:val="auto"/>
          <w:kern w:val="0"/>
          <w:sz w:val="32"/>
          <w:szCs w:val="32"/>
        </w:rPr>
        <w:t>。领导小组定期召开会议，调度改革推进情况，研究推进措施，充分调动了全区各部门抓好服务业综合改革的积极性。</w:t>
      </w:r>
      <w:r>
        <w:rPr>
          <w:rFonts w:hint="eastAsia" w:ascii="仿宋_GB2312" w:hAnsi="仿宋_GB2312" w:eastAsia="仿宋_GB2312" w:cs="仿宋_GB2312"/>
          <w:b/>
          <w:bCs/>
          <w:color w:val="auto"/>
          <w:kern w:val="0"/>
          <w:sz w:val="32"/>
          <w:szCs w:val="32"/>
        </w:rPr>
        <w:t>四是理顺</w:t>
      </w:r>
      <w:r>
        <w:rPr>
          <w:rFonts w:hint="eastAsia" w:ascii="仿宋_GB2312" w:hAnsi="仿宋_GB2312" w:eastAsia="仿宋_GB2312" w:cs="仿宋_GB2312"/>
          <w:b/>
          <w:bCs/>
          <w:color w:val="auto"/>
          <w:spacing w:val="-4"/>
          <w:kern w:val="0"/>
          <w:sz w:val="32"/>
          <w:szCs w:val="32"/>
        </w:rPr>
        <w:t>服务业管理体制</w:t>
      </w:r>
      <w:r>
        <w:rPr>
          <w:rFonts w:hint="eastAsia" w:ascii="仿宋_GB2312" w:hAnsi="仿宋_GB2312" w:eastAsia="仿宋_GB2312" w:cs="仿宋_GB2312"/>
          <w:bCs/>
          <w:color w:val="auto"/>
          <w:spacing w:val="-4"/>
          <w:kern w:val="0"/>
          <w:sz w:val="32"/>
          <w:szCs w:val="32"/>
        </w:rPr>
        <w:t>。按照区委、区政府《关于张店区机构改革的实施意见》</w:t>
      </w:r>
      <w:r>
        <w:rPr>
          <w:rFonts w:hint="eastAsia" w:ascii="仿宋_GB2312" w:hAnsi="仿宋_GB2312" w:eastAsia="仿宋_GB2312" w:cs="仿宋_GB2312"/>
          <w:color w:val="auto"/>
          <w:kern w:val="0"/>
          <w:sz w:val="32"/>
          <w:szCs w:val="32"/>
        </w:rPr>
        <w:t>（张发〔2019〕1号）</w:t>
      </w:r>
      <w:r>
        <w:rPr>
          <w:rFonts w:hint="eastAsia" w:ascii="仿宋_GB2312" w:hAnsi="仿宋_GB2312" w:eastAsia="仿宋_GB2312" w:cs="仿宋_GB2312"/>
          <w:bCs/>
          <w:color w:val="auto"/>
          <w:spacing w:val="-4"/>
          <w:kern w:val="0"/>
          <w:sz w:val="32"/>
          <w:szCs w:val="32"/>
        </w:rPr>
        <w:t>，根据上级进一步深化</w:t>
      </w:r>
      <w:r>
        <w:rPr>
          <w:rFonts w:hint="eastAsia" w:ascii="仿宋_GB2312" w:hAnsi="仿宋_GB2312" w:eastAsia="仿宋_GB2312" w:cs="仿宋_GB2312"/>
          <w:color w:val="000000"/>
          <w:kern w:val="0"/>
          <w:sz w:val="32"/>
          <w:szCs w:val="32"/>
          <w:lang w:val="en-US" w:eastAsia="zh-CN" w:bidi="ar"/>
        </w:rPr>
        <w:t>事业单位改革工作部署和要求，明确了服务业主管单位的职能定位，更好地统筹协调全区服务业工作。</w:t>
      </w:r>
      <w:r>
        <w:rPr>
          <w:rFonts w:hint="eastAsia" w:ascii="仿宋_GB2312" w:hAnsi="仿宋_GB2312" w:eastAsia="仿宋_GB2312" w:cs="仿宋_GB2312"/>
          <w:b/>
          <w:bCs/>
          <w:color w:val="000000"/>
          <w:kern w:val="0"/>
          <w:sz w:val="32"/>
          <w:szCs w:val="32"/>
          <w:lang w:val="en-US" w:eastAsia="zh-CN" w:bidi="ar"/>
        </w:rPr>
        <w:t>五是放宽市场准入，精简优化审批事项和流程</w:t>
      </w:r>
      <w:r>
        <w:rPr>
          <w:rFonts w:hint="eastAsia" w:ascii="仿宋_GB2312" w:hAnsi="仿宋_GB2312" w:eastAsia="仿宋_GB2312" w:cs="仿宋_GB2312"/>
          <w:color w:val="000000"/>
          <w:kern w:val="0"/>
          <w:sz w:val="32"/>
          <w:szCs w:val="32"/>
          <w:lang w:val="en-US" w:eastAsia="zh-CN" w:bidi="ar"/>
        </w:rPr>
        <w:t>。在张店市民中心设立企业开办服务专区、综合受理区、帮办代办区、自助服务区，实行“前台综合受理、后台集成审批”。专区内设置企业开办专窗，办事群众只需在专窗提交一次材料，通过“一窗通系统”，实现企业开办“一件事”一个流程、一个窗口、一套材料、一次办理。</w:t>
      </w:r>
    </w:p>
    <w:p>
      <w:pPr>
        <w:keepNext w:val="0"/>
        <w:keepLines w:val="0"/>
        <w:pageBreakBefore w:val="0"/>
        <w:widowControl w:val="0"/>
        <w:kinsoku/>
        <w:wordWrap/>
        <w:overflowPunct w:val="0"/>
        <w:topLinePunct w:val="0"/>
        <w:autoSpaceDE w:val="0"/>
        <w:autoSpaceDN w:val="0"/>
        <w:bidi w:val="0"/>
        <w:adjustRightInd w:val="0"/>
        <w:snapToGrid/>
        <w:spacing w:line="560" w:lineRule="exact"/>
        <w:ind w:left="0" w:leftChars="0" w:right="0" w:rightChars="0" w:firstLine="640" w:firstLineChars="200"/>
        <w:jc w:val="both"/>
        <w:textAlignment w:val="baseline"/>
        <w:rPr>
          <w:rFonts w:hint="default"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（二）资金扶持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仿宋_GB2312" w:hAnsi="仿宋_GB2312" w:eastAsia="仿宋_GB2312" w:cs="仿宋_GB2312"/>
          <w:b w:val="0"/>
          <w:bCs w:val="0"/>
          <w:color w:val="auto"/>
          <w:sz w:val="32"/>
          <w:szCs w:val="32"/>
          <w:lang w:val="en-US" w:eastAsia="zh-CN"/>
        </w:rPr>
        <w:t>张店区利用区位优势，</w:t>
      </w:r>
      <w:r>
        <w:rPr>
          <w:rFonts w:hint="eastAsia" w:ascii="仿宋_GB2312" w:hAnsi="仿宋_GB2312" w:eastAsia="仿宋_GB2312" w:cs="仿宋_GB2312"/>
          <w:color w:val="000000"/>
          <w:kern w:val="0"/>
          <w:sz w:val="32"/>
          <w:szCs w:val="32"/>
          <w:lang w:val="en-US" w:eastAsia="zh-CN" w:bidi="ar"/>
        </w:rPr>
        <w:t>紧盯产业发展需求，</w:t>
      </w:r>
      <w:r>
        <w:rPr>
          <w:rFonts w:hint="eastAsia" w:ascii="仿宋_GB2312" w:hAnsi="仿宋_GB2312" w:eastAsia="仿宋_GB2312" w:cs="仿宋_GB2312"/>
          <w:b w:val="0"/>
          <w:bCs w:val="0"/>
          <w:color w:val="auto"/>
          <w:kern w:val="0"/>
          <w:sz w:val="32"/>
          <w:szCs w:val="32"/>
          <w:lang w:val="en-US" w:eastAsia="zh-CN"/>
        </w:rPr>
        <w:t>出台《张店区扶持企业加快发展办法》，对已纳统企业、首次纳统企业均有相对应的扶持政策。</w:t>
      </w:r>
      <w:r>
        <w:rPr>
          <w:rFonts w:hint="eastAsia" w:ascii="仿宋_GB2312" w:hAnsi="仿宋_GB2312" w:eastAsia="仿宋_GB2312" w:cs="仿宋_GB2312"/>
          <w:b w:val="0"/>
          <w:bCs w:val="0"/>
          <w:color w:val="auto"/>
          <w:sz w:val="32"/>
          <w:szCs w:val="32"/>
        </w:rPr>
        <w:t>打造区域性科创产业金融高地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作为齐鲁股权交易中心驻地，把该中心作为优化提升全区金融生态的重要载体和基地，充分利用齐鲁股权金融要素聚集优势，积极引进金融机构，完善服务机制，</w:t>
      </w:r>
      <w:r>
        <w:rPr>
          <w:rFonts w:hint="eastAsia" w:ascii="Times New Roman" w:hAnsi="Times New Roman" w:eastAsia="仿宋_GB2312" w:cs="Times New Roman"/>
          <w:color w:val="auto"/>
          <w:sz w:val="32"/>
          <w:szCs w:val="32"/>
        </w:rPr>
        <w:t>全力</w:t>
      </w:r>
      <w:r>
        <w:rPr>
          <w:rFonts w:hint="eastAsia" w:ascii="仿宋_GB2312" w:hAnsi="仿宋_GB2312" w:eastAsia="仿宋_GB2312" w:cs="仿宋_GB2312"/>
          <w:color w:val="auto"/>
          <w:sz w:val="32"/>
          <w:szCs w:val="32"/>
        </w:rPr>
        <w:t>打造区域性金融高端聚集区。目前</w:t>
      </w:r>
      <w:r>
        <w:rPr>
          <w:rFonts w:hint="eastAsia" w:ascii="Times New Roman" w:hAnsi="Times New Roman" w:eastAsia="仿宋_GB2312" w:cs="Times New Roman"/>
          <w:color w:val="auto"/>
          <w:sz w:val="32"/>
          <w:szCs w:val="32"/>
        </w:rPr>
        <w:t>淄博科创基金港暨资本市场发展服务基地已挂牌运营，</w:t>
      </w:r>
      <w:r>
        <w:rPr>
          <w:rFonts w:ascii="Times New Roman" w:hAnsi="Times New Roman" w:eastAsia="仿宋_GB2312" w:cs="Times New Roman"/>
          <w:color w:val="auto"/>
          <w:sz w:val="32"/>
          <w:szCs w:val="32"/>
        </w:rPr>
        <w:t>28家基金机构、金融服务机构签约</w:t>
      </w:r>
      <w:r>
        <w:rPr>
          <w:rFonts w:hint="eastAsia" w:ascii="Times New Roman" w:hAnsi="Times New Roman" w:eastAsia="仿宋_GB2312" w:cs="Times New Roman"/>
          <w:color w:val="auto"/>
          <w:sz w:val="32"/>
          <w:szCs w:val="32"/>
        </w:rPr>
        <w:t>，金石投资、山东铁投、鲁渝基金等</w:t>
      </w:r>
      <w:r>
        <w:rPr>
          <w:rFonts w:ascii="Times New Roman" w:hAnsi="Times New Roman" w:eastAsia="仿宋_GB2312" w:cs="Times New Roman"/>
          <w:color w:val="auto"/>
          <w:sz w:val="32"/>
          <w:szCs w:val="32"/>
        </w:rPr>
        <w:t>17支基金落户，认缴规模不到3个月已接近500</w:t>
      </w:r>
      <w:r>
        <w:rPr>
          <w:rFonts w:hint="eastAsia" w:ascii="Times New Roman" w:hAnsi="Times New Roman" w:eastAsia="仿宋_GB2312" w:cs="Times New Roman"/>
          <w:color w:val="auto"/>
          <w:sz w:val="32"/>
          <w:szCs w:val="32"/>
        </w:rPr>
        <w:t>亿元。</w:t>
      </w:r>
      <w:r>
        <w:rPr>
          <w:rFonts w:ascii="仿宋_GB2312" w:hAnsi="仿宋_GB2312" w:eastAsia="仿宋_GB2312" w:cs="仿宋_GB2312"/>
          <w:color w:val="auto"/>
          <w:sz w:val="32"/>
          <w:szCs w:val="32"/>
        </w:rPr>
        <w:t>发起设立10亿元规模的山东铁投新旧动能转换高端装备产业母基金，与山东通汇资本投资集团合作成立10亿元规模的产业基金</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sz w:val="32"/>
          <w:szCs w:val="32"/>
        </w:rPr>
        <w:t>张店区国有资产运营公司成功申报成为全市第</w:t>
      </w:r>
      <w:r>
        <w:rPr>
          <w:rFonts w:ascii="Times New Roman" w:hAnsi="Times New Roman" w:eastAsia="仿宋_GB2312" w:cs="Times New Roman"/>
          <w:color w:val="auto"/>
          <w:sz w:val="32"/>
          <w:szCs w:val="32"/>
        </w:rPr>
        <w:t>2家AA+级</w:t>
      </w:r>
      <w:r>
        <w:rPr>
          <w:rFonts w:hint="eastAsia" w:ascii="Times New Roman" w:hAnsi="Times New Roman" w:eastAsia="仿宋_GB2312" w:cs="Times New Roman"/>
          <w:color w:val="auto"/>
          <w:sz w:val="32"/>
          <w:szCs w:val="32"/>
        </w:rPr>
        <w:t>主体信用评级企业；</w:t>
      </w:r>
      <w:r>
        <w:rPr>
          <w:rFonts w:hint="eastAsia" w:ascii="仿宋_GB2312" w:hAnsi="仿宋_GB2312" w:eastAsia="仿宋_GB2312" w:cs="仿宋_GB2312"/>
          <w:color w:val="auto"/>
          <w:sz w:val="32"/>
          <w:szCs w:val="32"/>
          <w:shd w:val="clear" w:color="auto" w:fill="FFFFFF"/>
        </w:rPr>
        <w:t>积极推动淄博新区商务中心供应链金融集聚区和供应链综合服务平台建设，</w:t>
      </w:r>
      <w:r>
        <w:rPr>
          <w:rFonts w:hint="eastAsia" w:ascii="Times New Roman" w:hAnsi="Times New Roman" w:eastAsia="仿宋_GB2312" w:cs="Times New Roman"/>
          <w:color w:val="auto"/>
          <w:sz w:val="32"/>
          <w:szCs w:val="32"/>
        </w:rPr>
        <w:t>累计</w:t>
      </w:r>
      <w:r>
        <w:rPr>
          <w:rFonts w:ascii="Times New Roman" w:hAnsi="Times New Roman" w:eastAsia="仿宋_GB2312" w:cs="Times New Roman"/>
          <w:color w:val="auto"/>
          <w:sz w:val="32"/>
          <w:szCs w:val="32"/>
        </w:rPr>
        <w:t>530家企业到淄博市智慧金融综合服务平台注册认证。</w:t>
      </w:r>
      <w:r>
        <w:rPr>
          <w:rFonts w:hint="eastAsia" w:ascii="Times New Roman" w:hAnsi="Times New Roman" w:eastAsia="仿宋_GB2312" w:cs="Times New Roman"/>
          <w:color w:val="auto"/>
          <w:sz w:val="32"/>
          <w:szCs w:val="32"/>
        </w:rPr>
        <w:t>同时，</w:t>
      </w:r>
      <w:r>
        <w:rPr>
          <w:rStyle w:val="17"/>
          <w:rFonts w:hint="eastAsia" w:ascii="Times New Roman" w:hAnsi="Times New Roman" w:eastAsia="仿宋_GB2312" w:cs="仿宋_GB2312"/>
          <w:color w:val="auto"/>
          <w:sz w:val="32"/>
          <w:szCs w:val="32"/>
        </w:rPr>
        <w:t>为做好项目服务，张店从全区范围内优选了一批金融专业干部，成立工作专班，实行集中办公，全程参与项目洽谈、产业分析、外出招商，致力于当好服务企业</w:t>
      </w:r>
      <w:r>
        <w:rPr>
          <w:rStyle w:val="17"/>
          <w:rFonts w:hint="eastAsia" w:ascii="Times New Roman" w:hAnsi="Times New Roman" w:eastAsia="仿宋_GB2312" w:cs="仿宋_GB2312"/>
          <w:color w:val="auto"/>
          <w:sz w:val="32"/>
          <w:szCs w:val="32"/>
          <w:lang w:eastAsia="zh-CN"/>
        </w:rPr>
        <w:t>、</w:t>
      </w:r>
      <w:r>
        <w:rPr>
          <w:rStyle w:val="17"/>
          <w:rFonts w:hint="eastAsia" w:ascii="Times New Roman" w:hAnsi="Times New Roman" w:eastAsia="仿宋_GB2312" w:cs="仿宋_GB2312"/>
          <w:color w:val="auto"/>
          <w:sz w:val="32"/>
          <w:szCs w:val="32"/>
        </w:rPr>
        <w:t>服务人才</w:t>
      </w:r>
      <w:r>
        <w:rPr>
          <w:rStyle w:val="17"/>
          <w:rFonts w:hint="eastAsia" w:ascii="Times New Roman" w:hAnsi="Times New Roman" w:eastAsia="仿宋_GB2312" w:cs="仿宋_GB2312"/>
          <w:color w:val="auto"/>
          <w:sz w:val="32"/>
          <w:szCs w:val="32"/>
          <w:lang w:eastAsia="zh-CN"/>
        </w:rPr>
        <w:t>、</w:t>
      </w:r>
      <w:r>
        <w:rPr>
          <w:rStyle w:val="17"/>
          <w:rFonts w:hint="eastAsia" w:ascii="Times New Roman" w:hAnsi="Times New Roman" w:eastAsia="仿宋_GB2312" w:cs="仿宋_GB2312"/>
          <w:color w:val="auto"/>
          <w:sz w:val="32"/>
          <w:szCs w:val="32"/>
        </w:rPr>
        <w:t>服务项目的“店小二”。</w:t>
      </w:r>
      <w:r>
        <w:rPr>
          <w:rFonts w:hint="eastAsia" w:ascii="Times New Roman" w:hAnsi="Times New Roman" w:eastAsia="仿宋_GB2312" w:cs="Times New Roman"/>
          <w:color w:val="auto"/>
          <w:sz w:val="32"/>
          <w:szCs w:val="32"/>
        </w:rPr>
        <w:t>上半年，全区金融业实现增加值</w:t>
      </w:r>
      <w:r>
        <w:rPr>
          <w:rFonts w:hint="eastAsia" w:ascii="Times New Roman" w:hAnsi="Times New Roman" w:eastAsia="仿宋_GB2312" w:cs="Times New Roman"/>
          <w:color w:val="auto"/>
          <w:sz w:val="32"/>
          <w:szCs w:val="32"/>
          <w:lang w:val="en-US" w:eastAsia="zh-CN"/>
        </w:rPr>
        <w:t>79.1</w:t>
      </w:r>
      <w:r>
        <w:rPr>
          <w:rFonts w:ascii="Times New Roman" w:hAnsi="Times New Roman" w:eastAsia="仿宋_GB2312" w:cs="Times New Roman"/>
          <w:color w:val="auto"/>
          <w:sz w:val="32"/>
          <w:szCs w:val="32"/>
        </w:rPr>
        <w:t>亿元，同比增长</w:t>
      </w: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%，占全区GDP比重为13.54%，</w:t>
      </w:r>
      <w:r>
        <w:rPr>
          <w:rFonts w:hint="eastAsia" w:ascii="仿宋_GB2312" w:hAnsi="仿宋_GB2312" w:eastAsia="仿宋_GB2312" w:cs="仿宋_GB2312"/>
          <w:color w:val="auto"/>
          <w:sz w:val="32"/>
          <w:szCs w:val="32"/>
          <w:shd w:val="clear" w:color="auto" w:fill="FFFFFF"/>
        </w:rPr>
        <w:t>高于全市指标</w:t>
      </w:r>
      <w:r>
        <w:rPr>
          <w:rFonts w:hint="eastAsia" w:ascii="仿宋_GB2312" w:hAnsi="仿宋_GB2312" w:eastAsia="仿宋_GB2312" w:cs="仿宋_GB2312"/>
          <w:color w:val="auto"/>
          <w:sz w:val="32"/>
          <w:szCs w:val="32"/>
          <w:shd w:val="clear" w:color="auto" w:fill="FFFFFF"/>
          <w:lang w:val="en-US" w:eastAsia="zh-CN"/>
        </w:rPr>
        <w:t>5.65</w:t>
      </w:r>
      <w:r>
        <w:rPr>
          <w:rFonts w:hint="eastAsia" w:ascii="仿宋_GB2312" w:hAnsi="仿宋_GB2312" w:eastAsia="仿宋_GB2312" w:cs="仿宋_GB2312"/>
          <w:color w:val="auto"/>
          <w:sz w:val="32"/>
          <w:szCs w:val="32"/>
          <w:shd w:val="clear" w:color="auto" w:fill="FFFFFF"/>
        </w:rPr>
        <w:t>个百分点</w:t>
      </w:r>
      <w:r>
        <w:rPr>
          <w:rFonts w:hint="eastAsia" w:ascii="仿宋_GB2312" w:hAnsi="仿宋_GB2312" w:eastAsia="仿宋_GB2312" w:cs="仿宋_GB2312"/>
          <w:color w:val="auto"/>
          <w:sz w:val="32"/>
          <w:szCs w:val="32"/>
        </w:rPr>
        <w:t>。</w:t>
      </w:r>
      <w:r>
        <w:rPr>
          <w:rFonts w:ascii="Times New Roman" w:hAnsi="Times New Roman" w:eastAsia="仿宋_GB2312" w:cs="Times New Roman"/>
          <w:color w:val="auto"/>
          <w:sz w:val="32"/>
          <w:szCs w:val="32"/>
        </w:rPr>
        <w:t>科汇股份、卓创资讯等企业年内实现上市，致中和工程设计等4家企业启动齐鲁股交中心挂牌工作</w:t>
      </w:r>
      <w:r>
        <w:rPr>
          <w:rFonts w:hint="eastAsia" w:ascii="Times New Roman" w:hAnsi="Times New Roman" w:eastAsia="仿宋_GB2312" w:cs="Times New Roman"/>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（三）人才支撑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张店区在青年人才招引、校城融合发展、人才服务保障等方面持续用力，加快聚集更多城市发展合伙人。</w:t>
      </w:r>
      <w:r>
        <w:rPr>
          <w:rFonts w:hint="eastAsia" w:ascii="仿宋_GB2312" w:hAnsi="仿宋_GB2312" w:eastAsia="仿宋_GB2312" w:cs="仿宋_GB2312"/>
          <w:b/>
          <w:bCs/>
          <w:color w:val="000000"/>
          <w:kern w:val="0"/>
          <w:sz w:val="32"/>
          <w:szCs w:val="32"/>
          <w:lang w:val="en-US" w:eastAsia="zh-CN" w:bidi="ar"/>
        </w:rPr>
        <w:t>一是聚力青年人才招引</w:t>
      </w:r>
      <w:r>
        <w:rPr>
          <w:rFonts w:hint="eastAsia" w:ascii="仿宋_GB2312" w:hAnsi="仿宋_GB2312" w:eastAsia="仿宋_GB2312" w:cs="仿宋_GB2312"/>
          <w:color w:val="000000"/>
          <w:kern w:val="0"/>
          <w:sz w:val="32"/>
          <w:szCs w:val="32"/>
          <w:lang w:val="en-US" w:eastAsia="zh-CN" w:bidi="ar"/>
        </w:rPr>
        <w:t>。创新青年人才招引模式，持续开展“百所高校进淄博”活动，常态化开展“名校人才直通车”“在外优秀人才回家”等活动，充分发挥</w:t>
      </w:r>
      <w:r>
        <w:rPr>
          <w:rStyle w:val="11"/>
          <w:rFonts w:hint="eastAsia" w:ascii="仿宋_GB2312" w:hAnsi="仿宋_GB2312" w:eastAsia="仿宋_GB2312" w:cs="仿宋_GB2312"/>
          <w:b w:val="0"/>
          <w:bCs w:val="0"/>
          <w:sz w:val="32"/>
          <w:szCs w:val="32"/>
          <w:lang w:eastAsia="zh-CN"/>
        </w:rPr>
        <w:t>山东理工大学驻地优势，组建“大学生工作团”“行业招生团”，着力抓好大学生招引工作。筑强青年人才服务阵地，实施“政策找人、无形认证”，以“零材料、零跑腿、零申报”方式，为高校毕业生发放生活补贴、购房补贴。建立“青年驿站”13家，通过线上预约等方式为求职交流青年提供免费住宿。设立青年“来淄体验券”，本科以上应届毕业生到张店参加招聘活动，每人发放500元生活补助。优化青年人才生活环境，举办淄博青岛啤酒节、麦田音乐节，建设5万平方米以上公园广场10余处，打造夜间经济街区12处。</w:t>
      </w:r>
      <w:r>
        <w:rPr>
          <w:rStyle w:val="11"/>
          <w:rFonts w:hint="eastAsia" w:ascii="仿宋_GB2312" w:hAnsi="仿宋_GB2312" w:eastAsia="仿宋_GB2312" w:cs="仿宋_GB2312"/>
          <w:b/>
          <w:bCs/>
          <w:sz w:val="32"/>
          <w:szCs w:val="32"/>
          <w:lang w:val="en-US" w:eastAsia="zh-CN"/>
        </w:rPr>
        <w:t>二是</w:t>
      </w:r>
      <w:r>
        <w:rPr>
          <w:rStyle w:val="11"/>
          <w:rFonts w:hint="eastAsia" w:ascii="仿宋_GB2312" w:hAnsi="仿宋_GB2312" w:eastAsia="仿宋_GB2312" w:cs="仿宋_GB2312"/>
          <w:b/>
          <w:bCs/>
          <w:sz w:val="32"/>
          <w:szCs w:val="32"/>
          <w:lang w:eastAsia="zh-CN"/>
        </w:rPr>
        <w:t>深化校城融合发展</w:t>
      </w:r>
      <w:r>
        <w:rPr>
          <w:rStyle w:val="11"/>
          <w:rFonts w:hint="eastAsia" w:ascii="仿宋_GB2312" w:hAnsi="仿宋_GB2312" w:eastAsia="仿宋_GB2312" w:cs="仿宋_GB2312"/>
          <w:b w:val="0"/>
          <w:bCs w:val="0"/>
          <w:sz w:val="32"/>
          <w:szCs w:val="32"/>
          <w:lang w:eastAsia="zh-CN"/>
        </w:rPr>
        <w:t>。打造校城融合升级版，加强“环山东理工大学创业创新带”建设，探索高校、政府、社会投融资机构三方携手共建山东理工大学科技园，打造“大学校区、科技园区、公共社区”三区融合新模式。实施“一人双岗”制度，定期对接交流校企人才供需，2020年以来全区32家企业聘请34位山东理工大学专家担任“科技副总”，全区30余名产业人才被山东理工大学聘为“创业导师”“产业教授”。盘活校友人才资源，举办“张店区—山东理工大学校友经济座谈会”，邀请30余名优秀企业家校友回校，共商合作事宜。</w:t>
      </w:r>
      <w:r>
        <w:rPr>
          <w:rStyle w:val="11"/>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color w:val="000000"/>
          <w:kern w:val="0"/>
          <w:sz w:val="32"/>
          <w:szCs w:val="32"/>
          <w:lang w:val="en-US" w:eastAsia="zh-CN" w:bidi="ar"/>
        </w:rPr>
        <w:t>优化人才服务保障</w:t>
      </w:r>
      <w:r>
        <w:rPr>
          <w:rFonts w:hint="eastAsia" w:ascii="仿宋_GB2312" w:hAnsi="仿宋_GB2312" w:eastAsia="仿宋_GB2312" w:cs="仿宋_GB2312"/>
          <w:b w:val="0"/>
          <w:bCs w:val="0"/>
          <w:color w:val="000000"/>
          <w:kern w:val="0"/>
          <w:sz w:val="32"/>
          <w:szCs w:val="32"/>
          <w:lang w:val="en-US" w:eastAsia="zh-CN" w:bidi="ar"/>
        </w:rPr>
        <w:t>。提升人才工作市场化水平，引进上海归心谷，整体运营张店青年创业园和大红炉B座众创空间，建立张店区上海引才工作站，完善以园区孵化、产业集群升级、高端人才招引、创业人才培训等为核心业务的专业化服务平台。强化人才项目金融赋能，打造淄博科创基金港暨资本市场发展服务基地，吸引45家基金机构、金融服务机构签约，搭建基金机构与实体经济沟通合作桥梁，为人才创新创业提供金融支持。全面优化人才发展软环境，大力实施人才安居工程，2020年建成并投入使用304套，今年启动建设1625套人才公寓。探索打造“聚才通”线上人才服务平台，使高层次人才和优秀企业家线上即可享受子女入学、医疗保健、休假疗养等10类服务，切实让优秀人才在张店扎根创业、成家立业、安居乐业。</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统计制度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一是严格执行统计制度，做好业务培训</w:t>
      </w:r>
      <w:r>
        <w:rPr>
          <w:rFonts w:hint="eastAsia" w:ascii="仿宋_GB2312" w:hAnsi="仿宋_GB2312" w:eastAsia="仿宋_GB2312" w:cs="仿宋_GB2312"/>
          <w:b w:val="0"/>
          <w:bCs w:val="0"/>
          <w:color w:val="000000"/>
          <w:kern w:val="0"/>
          <w:sz w:val="32"/>
          <w:szCs w:val="32"/>
          <w:lang w:val="en-US" w:eastAsia="zh-CN" w:bidi="ar"/>
        </w:rPr>
        <w:t>。严格执行国家统计局发布的《规模以上服务业统计报表制度》，确保服务业相关的统计数据完整、准确。为提高我区统计数据质量，召开统计年报会议，传达全省、全市统计年报会议精神，总结统计工作。布置重点工作，讲解各类指标含义、报表的上报时间以及联网直报平台填报的注意事项，对联网直报容易出现的问题进行了详细说明，并对年度新增企业出现的问题进行梳理，表彰全区统计工作中涌现出的一批先进单位及先进个人。</w:t>
      </w:r>
      <w:r>
        <w:rPr>
          <w:rFonts w:hint="eastAsia" w:ascii="仿宋_GB2312" w:hAnsi="仿宋_GB2312" w:eastAsia="仿宋_GB2312" w:cs="仿宋_GB2312"/>
          <w:b/>
          <w:bCs/>
          <w:color w:val="000000"/>
          <w:kern w:val="0"/>
          <w:sz w:val="32"/>
          <w:szCs w:val="32"/>
          <w:lang w:val="en-US" w:eastAsia="zh-CN" w:bidi="ar"/>
        </w:rPr>
        <w:t>二是着力打造党建品牌，服务大局</w:t>
      </w:r>
      <w:r>
        <w:rPr>
          <w:rFonts w:hint="eastAsia" w:ascii="仿宋_GB2312" w:hAnsi="仿宋_GB2312" w:eastAsia="仿宋_GB2312" w:cs="仿宋_GB2312"/>
          <w:b w:val="0"/>
          <w:bCs w:val="0"/>
          <w:color w:val="000000"/>
          <w:kern w:val="0"/>
          <w:sz w:val="32"/>
          <w:szCs w:val="32"/>
          <w:lang w:val="en-US" w:eastAsia="zh-CN" w:bidi="ar"/>
        </w:rPr>
        <w:t>。围绕统计工作打造“数映党心 诚信统计”党建品牌，设计品牌标志，努力建成“忠诚于党，服务大局，依法统计，创新实践”的新时代党员先锋队伍，不断增强党组织创造力、凝聚力和战斗力。张店区统计工作通过树立、培育、宣传党建品牌，坚持党建引领，打造特色亮点，不断加强党建与统计工作有机融合,为全区经济可持续发展提供坚强保证。</w:t>
      </w:r>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附件1</w:t>
      </w:r>
      <w:r>
        <w:rPr>
          <w:rFonts w:hint="eastAsia" w:ascii="仿宋_GB2312" w:hAnsi="仿宋_GB2312" w:eastAsia="仿宋_GB2312" w:cs="仿宋_GB2312"/>
          <w:b w:val="0"/>
          <w:bCs w:val="0"/>
          <w:color w:val="000000"/>
          <w:kern w:val="0"/>
          <w:sz w:val="32"/>
          <w:szCs w:val="32"/>
          <w:lang w:val="en-US" w:eastAsia="zh-CN" w:bidi="ar"/>
        </w:rPr>
        <w:t>：</w:t>
      </w:r>
      <w:r>
        <w:rPr>
          <w:rFonts w:hint="default" w:ascii="仿宋_GB2312" w:hAnsi="仿宋_GB2312" w:eastAsia="仿宋_GB2312" w:cs="仿宋_GB2312"/>
          <w:b w:val="0"/>
          <w:bCs w:val="0"/>
          <w:color w:val="000000"/>
          <w:kern w:val="0"/>
          <w:sz w:val="32"/>
          <w:szCs w:val="32"/>
          <w:lang w:val="en-US" w:eastAsia="zh-CN" w:bidi="ar"/>
        </w:rPr>
        <w:t>试点评估指标体系表</w:t>
      </w:r>
    </w:p>
    <w:p>
      <w:pPr>
        <w:pStyle w:val="7"/>
        <w:keepNext w:val="0"/>
        <w:keepLines w:val="0"/>
        <w:pageBreakBefore w:val="0"/>
        <w:numPr>
          <w:ilvl w:val="0"/>
          <w:numId w:val="0"/>
        </w:numPr>
        <w:kinsoku/>
        <w:wordWrap/>
        <w:topLinePunct w:val="0"/>
        <w:bidi w:val="0"/>
        <w:spacing w:line="560" w:lineRule="exact"/>
        <w:jc w:val="left"/>
        <w:rPr>
          <w:rFonts w:hint="default" w:ascii="楷体_GB2312" w:hAnsi="楷体_GB2312" w:eastAsia="楷体_GB2312" w:cs="楷体_GB2312"/>
          <w:b w:val="0"/>
          <w:bCs w:val="0"/>
          <w:color w:val="000000"/>
          <w:kern w:val="0"/>
          <w:sz w:val="32"/>
          <w:szCs w:val="32"/>
          <w:lang w:val="en-US" w:eastAsia="zh-CN" w:bidi="ar"/>
        </w:rPr>
      </w:pPr>
    </w:p>
    <w:sectPr>
      <w:footerReference r:id="rId3" w:type="default"/>
      <w:pgSz w:w="11906" w:h="16838"/>
      <w:pgMar w:top="2098" w:right="1531" w:bottom="2098" w:left="1531"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Segoe Script">
    <w:panose1 w:val="030B0504020000000003"/>
    <w:charset w:val="00"/>
    <w:family w:val="auto"/>
    <w:pitch w:val="default"/>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04CA0"/>
    <w:multiLevelType w:val="singleLevel"/>
    <w:tmpl w:val="56704CA0"/>
    <w:lvl w:ilvl="0" w:tentative="0">
      <w:start w:val="1"/>
      <w:numFmt w:val="decimal"/>
      <w:suff w:val="nothing"/>
      <w:lvlText w:val="（%1）"/>
      <w:lvlJc w:val="left"/>
    </w:lvl>
  </w:abstractNum>
  <w:abstractNum w:abstractNumId="1">
    <w:nsid w:val="6A1DA879"/>
    <w:multiLevelType w:val="singleLevel"/>
    <w:tmpl w:val="6A1DA87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431D"/>
    <w:rsid w:val="00980C3C"/>
    <w:rsid w:val="00C015DB"/>
    <w:rsid w:val="012721C8"/>
    <w:rsid w:val="014762A5"/>
    <w:rsid w:val="018F0D3D"/>
    <w:rsid w:val="02003DB7"/>
    <w:rsid w:val="02936146"/>
    <w:rsid w:val="02E75FB3"/>
    <w:rsid w:val="038C46DC"/>
    <w:rsid w:val="03CF7F7C"/>
    <w:rsid w:val="03FB7A7F"/>
    <w:rsid w:val="045F1CEA"/>
    <w:rsid w:val="04E2562F"/>
    <w:rsid w:val="05103198"/>
    <w:rsid w:val="05176686"/>
    <w:rsid w:val="05590922"/>
    <w:rsid w:val="066564C8"/>
    <w:rsid w:val="068F128E"/>
    <w:rsid w:val="06994401"/>
    <w:rsid w:val="06B756C0"/>
    <w:rsid w:val="077763BA"/>
    <w:rsid w:val="07EC22AE"/>
    <w:rsid w:val="0854703B"/>
    <w:rsid w:val="08561C1E"/>
    <w:rsid w:val="085F7F46"/>
    <w:rsid w:val="090C0A21"/>
    <w:rsid w:val="0AB0672A"/>
    <w:rsid w:val="0B262892"/>
    <w:rsid w:val="0B62508A"/>
    <w:rsid w:val="0C6A2611"/>
    <w:rsid w:val="0D515AF2"/>
    <w:rsid w:val="0D9B1A65"/>
    <w:rsid w:val="0DC65738"/>
    <w:rsid w:val="0DCD5EF2"/>
    <w:rsid w:val="0DDA3049"/>
    <w:rsid w:val="0DE67314"/>
    <w:rsid w:val="0E414A23"/>
    <w:rsid w:val="0E75675B"/>
    <w:rsid w:val="0EB02D99"/>
    <w:rsid w:val="0EDF4602"/>
    <w:rsid w:val="0F0C7E66"/>
    <w:rsid w:val="0F2F3E99"/>
    <w:rsid w:val="0F4D3366"/>
    <w:rsid w:val="0F940A13"/>
    <w:rsid w:val="0FB10020"/>
    <w:rsid w:val="10246F4A"/>
    <w:rsid w:val="10454110"/>
    <w:rsid w:val="11782C18"/>
    <w:rsid w:val="11932233"/>
    <w:rsid w:val="11BC7ACE"/>
    <w:rsid w:val="11FD39A6"/>
    <w:rsid w:val="12301AF3"/>
    <w:rsid w:val="12AD696E"/>
    <w:rsid w:val="12F110C4"/>
    <w:rsid w:val="13DC26B0"/>
    <w:rsid w:val="14021E35"/>
    <w:rsid w:val="14EE49C9"/>
    <w:rsid w:val="154439CB"/>
    <w:rsid w:val="1777260F"/>
    <w:rsid w:val="196B1725"/>
    <w:rsid w:val="19B60359"/>
    <w:rsid w:val="19E31E69"/>
    <w:rsid w:val="1AFB0356"/>
    <w:rsid w:val="1C464966"/>
    <w:rsid w:val="1C8F06DB"/>
    <w:rsid w:val="1CCB43E0"/>
    <w:rsid w:val="1CFE0343"/>
    <w:rsid w:val="1D0F6D05"/>
    <w:rsid w:val="1D561520"/>
    <w:rsid w:val="1D5702AF"/>
    <w:rsid w:val="1ED162D1"/>
    <w:rsid w:val="1F4B7A2F"/>
    <w:rsid w:val="20AB7E63"/>
    <w:rsid w:val="21657B16"/>
    <w:rsid w:val="217F48AD"/>
    <w:rsid w:val="22E500BE"/>
    <w:rsid w:val="23EB1D68"/>
    <w:rsid w:val="241873A7"/>
    <w:rsid w:val="242B45DD"/>
    <w:rsid w:val="24C106E1"/>
    <w:rsid w:val="250A1B89"/>
    <w:rsid w:val="25821CB6"/>
    <w:rsid w:val="25F622F1"/>
    <w:rsid w:val="265B68E6"/>
    <w:rsid w:val="26A00920"/>
    <w:rsid w:val="26F4391A"/>
    <w:rsid w:val="277969FD"/>
    <w:rsid w:val="279255DE"/>
    <w:rsid w:val="27B33A69"/>
    <w:rsid w:val="27EC49FC"/>
    <w:rsid w:val="285B03FD"/>
    <w:rsid w:val="288B54E3"/>
    <w:rsid w:val="28992970"/>
    <w:rsid w:val="293670DC"/>
    <w:rsid w:val="29AA67A2"/>
    <w:rsid w:val="2AA3383D"/>
    <w:rsid w:val="2B10067F"/>
    <w:rsid w:val="2B50518D"/>
    <w:rsid w:val="2B6C1F1A"/>
    <w:rsid w:val="2BDE477C"/>
    <w:rsid w:val="2C147C37"/>
    <w:rsid w:val="2C562FA0"/>
    <w:rsid w:val="2D554666"/>
    <w:rsid w:val="2D996B71"/>
    <w:rsid w:val="2E201307"/>
    <w:rsid w:val="2E3677BE"/>
    <w:rsid w:val="2E7C30F9"/>
    <w:rsid w:val="2F5F4DD3"/>
    <w:rsid w:val="2F663BEA"/>
    <w:rsid w:val="30755668"/>
    <w:rsid w:val="30D45BA4"/>
    <w:rsid w:val="3117402E"/>
    <w:rsid w:val="319B2F68"/>
    <w:rsid w:val="31A223DE"/>
    <w:rsid w:val="31DA12D2"/>
    <w:rsid w:val="31E43FDB"/>
    <w:rsid w:val="31E95ECB"/>
    <w:rsid w:val="327B177A"/>
    <w:rsid w:val="32903393"/>
    <w:rsid w:val="32BD6E09"/>
    <w:rsid w:val="32C94F54"/>
    <w:rsid w:val="33191B95"/>
    <w:rsid w:val="331E2CC9"/>
    <w:rsid w:val="332C34F2"/>
    <w:rsid w:val="33F04121"/>
    <w:rsid w:val="33F24C1D"/>
    <w:rsid w:val="344B3557"/>
    <w:rsid w:val="34C20EBF"/>
    <w:rsid w:val="34C37756"/>
    <w:rsid w:val="35387EFC"/>
    <w:rsid w:val="36461A36"/>
    <w:rsid w:val="36B31810"/>
    <w:rsid w:val="372D42E7"/>
    <w:rsid w:val="3742418C"/>
    <w:rsid w:val="3765096B"/>
    <w:rsid w:val="38624A7D"/>
    <w:rsid w:val="38646CE1"/>
    <w:rsid w:val="386F799B"/>
    <w:rsid w:val="39613C0E"/>
    <w:rsid w:val="397828D2"/>
    <w:rsid w:val="397F65EB"/>
    <w:rsid w:val="3A690D32"/>
    <w:rsid w:val="3AD2378A"/>
    <w:rsid w:val="3B0F73EE"/>
    <w:rsid w:val="3BA55818"/>
    <w:rsid w:val="3BF90BF0"/>
    <w:rsid w:val="3C152A85"/>
    <w:rsid w:val="3D310222"/>
    <w:rsid w:val="3D3F4A8F"/>
    <w:rsid w:val="3E383614"/>
    <w:rsid w:val="3E8938D1"/>
    <w:rsid w:val="407A35BE"/>
    <w:rsid w:val="41152522"/>
    <w:rsid w:val="412A6424"/>
    <w:rsid w:val="42395710"/>
    <w:rsid w:val="423A3773"/>
    <w:rsid w:val="42A64BF2"/>
    <w:rsid w:val="42AC1781"/>
    <w:rsid w:val="43ED37C9"/>
    <w:rsid w:val="43F863FD"/>
    <w:rsid w:val="44163A85"/>
    <w:rsid w:val="44A62DBD"/>
    <w:rsid w:val="44D10A2A"/>
    <w:rsid w:val="450A7CE1"/>
    <w:rsid w:val="45167013"/>
    <w:rsid w:val="45A25A51"/>
    <w:rsid w:val="45C547E6"/>
    <w:rsid w:val="469754E7"/>
    <w:rsid w:val="470821F2"/>
    <w:rsid w:val="476C09E5"/>
    <w:rsid w:val="4A467A6D"/>
    <w:rsid w:val="4A901962"/>
    <w:rsid w:val="4AD03EFD"/>
    <w:rsid w:val="4AFC7024"/>
    <w:rsid w:val="4B036FB2"/>
    <w:rsid w:val="4BFF2E14"/>
    <w:rsid w:val="4C4F1D56"/>
    <w:rsid w:val="4CEA7B19"/>
    <w:rsid w:val="4D99221A"/>
    <w:rsid w:val="4E6C7DFA"/>
    <w:rsid w:val="4E9E30C3"/>
    <w:rsid w:val="4F11473C"/>
    <w:rsid w:val="4F1D270B"/>
    <w:rsid w:val="4F8825DB"/>
    <w:rsid w:val="4FB55A2B"/>
    <w:rsid w:val="4FCA4228"/>
    <w:rsid w:val="504B6777"/>
    <w:rsid w:val="50513D6E"/>
    <w:rsid w:val="50A06B16"/>
    <w:rsid w:val="5111139C"/>
    <w:rsid w:val="516F251A"/>
    <w:rsid w:val="51D2275A"/>
    <w:rsid w:val="51DA0D9C"/>
    <w:rsid w:val="531E7112"/>
    <w:rsid w:val="53D14B5D"/>
    <w:rsid w:val="54146DB7"/>
    <w:rsid w:val="548342CA"/>
    <w:rsid w:val="55F97F96"/>
    <w:rsid w:val="566F3A5C"/>
    <w:rsid w:val="56CD5AAA"/>
    <w:rsid w:val="56D255F1"/>
    <w:rsid w:val="56FD4BC8"/>
    <w:rsid w:val="58284300"/>
    <w:rsid w:val="5833272F"/>
    <w:rsid w:val="594623EB"/>
    <w:rsid w:val="59A67E77"/>
    <w:rsid w:val="59B9636E"/>
    <w:rsid w:val="5A1B6E8C"/>
    <w:rsid w:val="5AB85640"/>
    <w:rsid w:val="5B3D279D"/>
    <w:rsid w:val="5B9A3EDE"/>
    <w:rsid w:val="5CEA3941"/>
    <w:rsid w:val="5D2B67C1"/>
    <w:rsid w:val="5DF96809"/>
    <w:rsid w:val="5E1B74F5"/>
    <w:rsid w:val="5E2F46FD"/>
    <w:rsid w:val="5EE12124"/>
    <w:rsid w:val="5F0B2F21"/>
    <w:rsid w:val="5F6047CC"/>
    <w:rsid w:val="5F613ED6"/>
    <w:rsid w:val="5F823A7E"/>
    <w:rsid w:val="5F93197C"/>
    <w:rsid w:val="5FC43564"/>
    <w:rsid w:val="5FC471F1"/>
    <w:rsid w:val="5FD36D7F"/>
    <w:rsid w:val="5FE2217B"/>
    <w:rsid w:val="60105BE5"/>
    <w:rsid w:val="605C3907"/>
    <w:rsid w:val="6186708F"/>
    <w:rsid w:val="61A9155A"/>
    <w:rsid w:val="61C215CE"/>
    <w:rsid w:val="61C325BD"/>
    <w:rsid w:val="621459AC"/>
    <w:rsid w:val="63064C42"/>
    <w:rsid w:val="63C479E1"/>
    <w:rsid w:val="64021540"/>
    <w:rsid w:val="6468181D"/>
    <w:rsid w:val="648F3136"/>
    <w:rsid w:val="652046DB"/>
    <w:rsid w:val="65E020CE"/>
    <w:rsid w:val="66854502"/>
    <w:rsid w:val="66D02F67"/>
    <w:rsid w:val="672D00DA"/>
    <w:rsid w:val="673B5567"/>
    <w:rsid w:val="67441A32"/>
    <w:rsid w:val="67931296"/>
    <w:rsid w:val="68363815"/>
    <w:rsid w:val="68A649AD"/>
    <w:rsid w:val="68B109DA"/>
    <w:rsid w:val="698B7DB5"/>
    <w:rsid w:val="699A5FE9"/>
    <w:rsid w:val="69ED2D03"/>
    <w:rsid w:val="6A536750"/>
    <w:rsid w:val="6ADD1B63"/>
    <w:rsid w:val="6B5E1334"/>
    <w:rsid w:val="6B9122ED"/>
    <w:rsid w:val="6BC521FC"/>
    <w:rsid w:val="6BCB3E00"/>
    <w:rsid w:val="6C76743E"/>
    <w:rsid w:val="6C9134A2"/>
    <w:rsid w:val="6CA00A21"/>
    <w:rsid w:val="6CA623F7"/>
    <w:rsid w:val="6D196645"/>
    <w:rsid w:val="6D27021E"/>
    <w:rsid w:val="6D522E6C"/>
    <w:rsid w:val="6E3C7495"/>
    <w:rsid w:val="6E466E72"/>
    <w:rsid w:val="6E4B3BC3"/>
    <w:rsid w:val="6ED50CB5"/>
    <w:rsid w:val="6F340645"/>
    <w:rsid w:val="6F41668E"/>
    <w:rsid w:val="6F6479D9"/>
    <w:rsid w:val="6FDBB5E4"/>
    <w:rsid w:val="70ED6DE4"/>
    <w:rsid w:val="71144D15"/>
    <w:rsid w:val="712E1739"/>
    <w:rsid w:val="71373576"/>
    <w:rsid w:val="71472F4D"/>
    <w:rsid w:val="72CB4D97"/>
    <w:rsid w:val="72D84900"/>
    <w:rsid w:val="73247C8D"/>
    <w:rsid w:val="73727B79"/>
    <w:rsid w:val="73D27A78"/>
    <w:rsid w:val="74515777"/>
    <w:rsid w:val="74A90930"/>
    <w:rsid w:val="74D824E5"/>
    <w:rsid w:val="75505550"/>
    <w:rsid w:val="75976F38"/>
    <w:rsid w:val="75E0700D"/>
    <w:rsid w:val="7615174B"/>
    <w:rsid w:val="772E071A"/>
    <w:rsid w:val="777F61A4"/>
    <w:rsid w:val="7798647F"/>
    <w:rsid w:val="77E22376"/>
    <w:rsid w:val="781454FA"/>
    <w:rsid w:val="78B32243"/>
    <w:rsid w:val="798C1EFB"/>
    <w:rsid w:val="79DF16AF"/>
    <w:rsid w:val="7A173F40"/>
    <w:rsid w:val="7A320FED"/>
    <w:rsid w:val="7A8E115C"/>
    <w:rsid w:val="7AC85B88"/>
    <w:rsid w:val="7AFC1EF9"/>
    <w:rsid w:val="7B1F1C71"/>
    <w:rsid w:val="7BC47139"/>
    <w:rsid w:val="7BE66DD2"/>
    <w:rsid w:val="7CCD42D9"/>
    <w:rsid w:val="7E88686F"/>
    <w:rsid w:val="7F752904"/>
    <w:rsid w:val="E29B15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link w:val="10"/>
    <w:semiHidden/>
    <w:qFormat/>
    <w:uiPriority w:val="0"/>
    <w:rPr>
      <w:rFonts w:ascii="Times New Roman" w:hAnsi="Times New Roman" w:cs="Times New Roman"/>
      <w:szCs w:val="24"/>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宋体" w:eastAsia="宋体"/>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qFormat/>
    <w:uiPriority w:val="0"/>
    <w:pPr>
      <w:jc w:val="center"/>
      <w:outlineLvl w:val="0"/>
    </w:pPr>
    <w:rPr>
      <w:rFonts w:hint="eastAsia" w:ascii="Arial" w:hAnsi="Arial"/>
      <w:sz w:val="32"/>
    </w:rPr>
  </w:style>
  <w:style w:type="paragraph" w:customStyle="1" w:styleId="10">
    <w:name w:val=" Char"/>
    <w:basedOn w:val="1"/>
    <w:link w:val="9"/>
    <w:qFormat/>
    <w:uiPriority w:val="0"/>
    <w:rPr>
      <w:rFonts w:ascii="Times New Roman" w:hAnsi="Times New Roman" w:cs="Times New Roman"/>
      <w:szCs w:val="24"/>
    </w:rPr>
  </w:style>
  <w:style w:type="character" w:styleId="11">
    <w:name w:val="Strong"/>
    <w:basedOn w:val="9"/>
    <w:qFormat/>
    <w:uiPriority w:val="0"/>
    <w:rPr>
      <w:b/>
    </w:rPr>
  </w:style>
  <w:style w:type="character" w:styleId="12">
    <w:name w:val="page number"/>
    <w:basedOn w:val="9"/>
    <w:qFormat/>
    <w:uiPriority w:val="0"/>
    <w:rPr>
      <w:rFonts w:cs="Times New Roman"/>
    </w:rPr>
  </w:style>
  <w:style w:type="paragraph" w:customStyle="1" w:styleId="13">
    <w:name w:val="正文 New"/>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4">
    <w:name w:val="Normal"/>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5">
    <w:name w:val="HtmlNormal"/>
    <w:basedOn w:val="1"/>
    <w:qFormat/>
    <w:uiPriority w:val="0"/>
    <w:pPr>
      <w:spacing w:before="100" w:beforeAutospacing="1" w:after="100" w:afterAutospacing="1"/>
      <w:ind w:left="0" w:right="0"/>
      <w:jc w:val="left"/>
      <w:textAlignment w:val="baseline"/>
    </w:pPr>
    <w:rPr>
      <w:rFonts w:ascii="Calibri" w:hAnsi="Calibri" w:eastAsia="仿宋"/>
      <w:kern w:val="0"/>
      <w:sz w:val="24"/>
      <w:szCs w:val="22"/>
      <w:lang w:val="en-US" w:eastAsia="zh-CN"/>
    </w:rPr>
  </w:style>
  <w:style w:type="paragraph" w:customStyle="1" w:styleId="16">
    <w:name w:val="NormalIndent"/>
    <w:basedOn w:val="1"/>
    <w:qFormat/>
    <w:uiPriority w:val="0"/>
    <w:pPr>
      <w:ind w:firstLine="420" w:firstLineChars="200"/>
      <w:jc w:val="both"/>
      <w:textAlignment w:val="baseline"/>
    </w:pPr>
  </w:style>
  <w:style w:type="character" w:customStyle="1" w:styleId="17">
    <w:name w:val="NormalCharacter"/>
    <w:semiHidden/>
    <w:qFormat/>
    <w:uiPriority w:val="0"/>
    <w:rPr>
      <w:rFonts w:ascii="Calibri" w:hAnsi="Calibri" w:eastAsia="仿宋" w:cs="黑体"/>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楚秀月明心</cp:lastModifiedBy>
  <cp:lastPrinted>2021-10-27T07:18:20Z</cp:lastPrinted>
  <dcterms:modified xsi:type="dcterms:W3CDTF">2021-10-27T07:19:49Z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264F8770204B40008D1731DA129DFEFD</vt:lpwstr>
  </property>
</Properties>
</file>