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pP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张店区地方金融监督管理局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imes New Roman" w:hAnsi="Times New Roman"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3</w:t>
      </w:r>
      <w:r>
        <w:rPr>
          <w:rFonts w:hint="eastAsia" w:ascii="Times New Roman" w:hAnsi="Times New Roman" w:eastAsia="方正小标宋简体" w:cs="方正小标宋简体"/>
          <w:b w:val="0"/>
          <w:bCs/>
          <w:i w:val="0"/>
          <w:caps w:val="0"/>
          <w:color w:val="333333"/>
          <w:spacing w:val="-17"/>
          <w:sz w:val="44"/>
          <w:szCs w:val="44"/>
          <w:shd w:val="clear" w:fill="FFFFFF"/>
          <w:lang w:val="en-US" w:eastAsia="zh-CN"/>
        </w:rPr>
        <w:t>年</w:t>
      </w:r>
      <w:r>
        <w:rPr>
          <w:rFonts w:hint="eastAsia" w:ascii="Times New Roman" w:hAnsi="Times New Roman" w:eastAsia="方正小标宋简体" w:cs="方正小标宋简体"/>
          <w:b w:val="0"/>
          <w:bCs/>
          <w:i w:val="0"/>
          <w:caps w:val="0"/>
          <w:color w:val="333333"/>
          <w:spacing w:val="-17"/>
          <w:sz w:val="44"/>
          <w:szCs w:val="44"/>
          <w:shd w:val="clear" w:fill="FFFFFF"/>
        </w:rPr>
        <w:t>政府信息公开工作</w:t>
      </w:r>
      <w:r>
        <w:rPr>
          <w:rFonts w:hint="eastAsia" w:ascii="Times New Roman" w:hAnsi="Times New Roman" w:eastAsia="方正小标宋简体" w:cs="方正小标宋简体"/>
          <w:b w:val="0"/>
          <w:bCs/>
          <w:i w:val="0"/>
          <w:caps w:val="0"/>
          <w:color w:val="333333"/>
          <w:spacing w:val="0"/>
          <w:sz w:val="44"/>
          <w:szCs w:val="44"/>
          <w:shd w:val="clear" w:fill="FFFFFF"/>
        </w:rPr>
        <w:t>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宋体" w:cs="宋体"/>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宋体" w:cs="宋体"/>
          <w:i w:val="0"/>
          <w:caps w:val="0"/>
          <w:color w:val="0000FF"/>
          <w:spacing w:val="0"/>
          <w:kern w:val="2"/>
          <w:sz w:val="24"/>
          <w:szCs w:val="24"/>
          <w:shd w:val="clear" w:fill="FFFFFF"/>
          <w:lang w:val="en-US" w:eastAsia="zh-CN" w:bidi="ar-SA"/>
        </w:rPr>
      </w:pP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w:t>
      </w:r>
      <w:r>
        <w:rPr>
          <w:rFonts w:hint="eastAsia" w:ascii="Times New Roman" w:hAnsi="Times New Roman"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年1月1日起，至202</w:t>
      </w:r>
      <w:r>
        <w:rPr>
          <w:rFonts w:hint="eastAsia" w:ascii="Times New Roman" w:hAnsi="Times New Roman"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年12月31日止。如对报告内容有疑问，</w:t>
      </w:r>
      <w:r>
        <w:rPr>
          <w:rFonts w:hint="eastAsia" w:ascii="仿宋_GB2312" w:hAnsi="仿宋_GB2312" w:eastAsia="仿宋_GB2312" w:cs="仿宋_GB2312"/>
          <w:sz w:val="32"/>
          <w:szCs w:val="32"/>
          <w:shd w:val="clear" w:color="auto" w:fill="FFFFFF"/>
        </w:rPr>
        <w:t>请与张店区地方金融监督管理局联系（地址：张店区新村西路</w:t>
      </w:r>
      <w:r>
        <w:rPr>
          <w:rFonts w:hint="default" w:ascii="Times New Roman" w:hAnsi="Times New Roman" w:eastAsia="仿宋_GB2312" w:cs="Times New Roman"/>
          <w:sz w:val="32"/>
          <w:szCs w:val="32"/>
          <w:shd w:val="clear" w:color="auto" w:fill="FFFFFF"/>
        </w:rPr>
        <w:t>226</w:t>
      </w:r>
      <w:r>
        <w:rPr>
          <w:rFonts w:hint="eastAsia" w:ascii="仿宋_GB2312" w:hAnsi="仿宋_GB2312" w:eastAsia="仿宋_GB2312" w:cs="仿宋_GB2312"/>
          <w:sz w:val="32"/>
          <w:szCs w:val="32"/>
          <w:shd w:val="clear" w:color="auto" w:fill="FFFFFF"/>
        </w:rPr>
        <w:t>号区政务中心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邮编:</w:t>
      </w:r>
      <w:r>
        <w:rPr>
          <w:rFonts w:hint="default" w:ascii="Times New Roman" w:hAnsi="Times New Roman" w:eastAsia="仿宋_GB2312" w:cs="Times New Roman"/>
          <w:sz w:val="32"/>
          <w:szCs w:val="32"/>
          <w:shd w:val="clear" w:color="auto" w:fill="FFFFFF"/>
        </w:rPr>
        <w:t>255020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电话:</w:t>
      </w:r>
      <w:r>
        <w:rPr>
          <w:rFonts w:hint="default" w:ascii="Times New Roman" w:hAnsi="Times New Roman" w:eastAsia="仿宋_GB2312" w:cs="Times New Roman"/>
          <w:sz w:val="32"/>
          <w:szCs w:val="32"/>
          <w:shd w:val="clear" w:color="auto" w:fill="FFFFFF"/>
        </w:rPr>
        <w:t>0533-2861018</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仿宋_GB2312"/>
          <w:i w:val="0"/>
          <w:caps w:val="0"/>
          <w:color w:val="000000" w:themeColor="text1"/>
          <w:spacing w:val="0"/>
          <w:sz w:val="32"/>
          <w:szCs w:val="32"/>
          <w:lang w:eastAsia="zh-CN"/>
          <w14:textFill>
            <w14:solidFill>
              <w14:schemeClr w14:val="tx1"/>
            </w14:solidFill>
          </w14:textFill>
        </w:rPr>
        <w:t>电子邮箱：</w:t>
      </w:r>
      <w:r>
        <w:rPr>
          <w:rFonts w:hint="default" w:ascii="Times New Roman" w:hAnsi="Times New Roman" w:eastAsia="宋体" w:cs="Times New Roman"/>
          <w:i w:val="0"/>
          <w:caps w:val="0"/>
          <w:color w:val="000000"/>
          <w:spacing w:val="0"/>
          <w:sz w:val="32"/>
          <w:szCs w:val="32"/>
          <w:shd w:val="clear" w:fill="FFFFFF"/>
        </w:rPr>
        <w:t>zdqjrbzhk@zb.shandong.cn</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fill="FFFFFF"/>
        </w:rPr>
        <w:t>一、总体情况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2023年，张店区地方金融监督管理局坚持以习近平新时代中国特色社会主义思想为指导，全面贯彻党的二十大精神，坚持以政府信息公开条例和全区政务公开工作要点为指导，紧紧围绕金融领域工作，做好常态化基础工作公开，</w:t>
      </w:r>
      <w:r>
        <w:rPr>
          <w:rFonts w:hint="eastAsia" w:ascii="仿宋_GB2312" w:hAnsi="仿宋_GB2312" w:eastAsia="仿宋_GB2312" w:cs="仿宋_GB2312"/>
          <w:sz w:val="32"/>
          <w:szCs w:val="32"/>
          <w:lang w:val="en-US" w:eastAsia="zh-CN"/>
        </w:rPr>
        <w:t>不断提升政务公开标准化、规范化水平，政务公开工作开展扎实有序。</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（一）主动公开方面</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202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年，我局门户网站和政务新媒体紧紧围绕中心工作，做好政务信息发布、政策宣传解读、</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金融运行</w:t>
      </w:r>
      <w:r>
        <w:rPr>
          <w:rFonts w:hint="eastAsia" w:ascii="Times New Roman" w:hAnsi="Times New Roman" w:eastAsia="仿宋_GB2312" w:cs="仿宋_GB2312"/>
          <w:color w:val="000000" w:themeColor="text1"/>
          <w:sz w:val="32"/>
          <w:szCs w:val="32"/>
          <w:lang w:eastAsia="zh-CN"/>
          <w14:textFill>
            <w14:solidFill>
              <w14:schemeClr w14:val="tx1"/>
            </w14:solidFill>
          </w14:textFill>
        </w:rPr>
        <w:t>等工作。</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政府</w:t>
      </w:r>
      <w:r>
        <w:rPr>
          <w:rFonts w:hint="eastAsia" w:ascii="Times New Roman" w:hAnsi="Times New Roman" w:eastAsia="仿宋_GB2312" w:cs="仿宋_GB2312"/>
          <w:color w:val="000000" w:themeColor="text1"/>
          <w:sz w:val="32"/>
          <w:szCs w:val="32"/>
          <w:lang w:eastAsia="zh-CN"/>
          <w14:textFill>
            <w14:solidFill>
              <w14:schemeClr w14:val="tx1"/>
            </w14:solidFill>
          </w14:textFill>
        </w:rPr>
        <w:t>网站全年累计</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公开信息93</w:t>
      </w:r>
      <w:r>
        <w:rPr>
          <w:rFonts w:hint="eastAsia" w:ascii="Times New Roman" w:hAnsi="Times New Roman" w:eastAsia="仿宋_GB2312" w:cs="仿宋_GB2312"/>
          <w:color w:val="000000" w:themeColor="text1"/>
          <w:sz w:val="32"/>
          <w:szCs w:val="32"/>
          <w:lang w:eastAsia="zh-CN"/>
          <w14:textFill>
            <w14:solidFill>
              <w14:schemeClr w14:val="tx1"/>
            </w14:solidFill>
          </w14:textFill>
        </w:rPr>
        <w:t>条，动态调整政府信息公开指南、</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领导信息</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按月度发布</w:t>
      </w:r>
      <w:r>
        <w:rPr>
          <w:rFonts w:hint="eastAsia" w:ascii="Times New Roman" w:hAnsi="Times New Roman" w:eastAsia="仿宋_GB2312" w:cs="仿宋_GB2312"/>
          <w:color w:val="000000" w:themeColor="text1"/>
          <w:sz w:val="32"/>
          <w:szCs w:val="32"/>
          <w:lang w:eastAsia="zh-CN"/>
          <w14:textFill>
            <w14:solidFill>
              <w14:schemeClr w14:val="tx1"/>
            </w14:solidFill>
          </w14:textFill>
        </w:rPr>
        <w:t>金融</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业</w:t>
      </w:r>
      <w:r>
        <w:rPr>
          <w:rFonts w:hint="eastAsia" w:ascii="Times New Roman" w:hAnsi="Times New Roman" w:eastAsia="仿宋_GB2312" w:cs="仿宋_GB2312"/>
          <w:color w:val="000000" w:themeColor="text1"/>
          <w:sz w:val="32"/>
          <w:szCs w:val="32"/>
          <w:lang w:eastAsia="zh-CN"/>
          <w14:textFill>
            <w14:solidFill>
              <w14:schemeClr w14:val="tx1"/>
            </w14:solidFill>
          </w14:textFill>
        </w:rPr>
        <w:t>运行情况；通过文字解读、媒体图解、</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领导干部解读</w:t>
      </w:r>
      <w:r>
        <w:rPr>
          <w:rFonts w:hint="eastAsia" w:ascii="Times New Roman" w:hAnsi="Times New Roman" w:eastAsia="仿宋_GB2312" w:cs="仿宋_GB2312"/>
          <w:color w:val="000000" w:themeColor="text1"/>
          <w:sz w:val="32"/>
          <w:szCs w:val="32"/>
          <w:lang w:eastAsia="zh-CN"/>
          <w14:textFill>
            <w14:solidFill>
              <w14:schemeClr w14:val="tx1"/>
            </w14:solidFill>
          </w14:textFill>
        </w:rPr>
        <w:t>等多种形式对发布的政策进行解读；发布</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警示通告</w:t>
      </w:r>
      <w:r>
        <w:rPr>
          <w:rFonts w:hint="eastAsia" w:ascii="Times New Roman" w:hAnsi="Times New Roman" w:eastAsia="仿宋_GB2312" w:cs="仿宋_GB2312"/>
          <w:color w:val="000000" w:themeColor="text1"/>
          <w:sz w:val="32"/>
          <w:szCs w:val="32"/>
          <w:lang w:eastAsia="zh-CN"/>
          <w14:textFill>
            <w14:solidFill>
              <w14:schemeClr w14:val="tx1"/>
            </w14:solidFill>
          </w14:textFill>
        </w:rPr>
        <w:t>风险提示信息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_GB2312"/>
          <w:color w:val="000000" w:themeColor="text1"/>
          <w:sz w:val="32"/>
          <w:szCs w:val="32"/>
          <w:lang w:eastAsia="zh-CN"/>
          <w14:textFill>
            <w14:solidFill>
              <w14:schemeClr w14:val="tx1"/>
            </w14:solidFill>
          </w14:textFill>
        </w:rPr>
        <w:t>条；围绕“守住钱袋子、护住幸福家”，与新闻媒体叠频共振，线上线下扎实开展防范非法集资宣传教育活动；公开202</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年度</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人大代表建议、政协提案办理情况结果。</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pPr>
      <w:r>
        <w:rPr>
          <w:rFonts w:ascii="楷体" w:hAnsi="楷体" w:eastAsia="楷体" w:cs="楷体"/>
          <w:sz w:val="32"/>
          <w:szCs w:val="32"/>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139065</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（二）依申请公开工作方面</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本年度未收到依申请公开政府信息，与往年相比数量无增减变化。</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shd w:val="clear" w:color="auto" w:fill="FFFFFF"/>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（三）政府信息管理方面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根据政府信息主动公开目录，规范信息发布内容</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完善信息采集、整理、审核、发布、巡检等流程制度</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定期检查维护相关栏目信息</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确保信息公开稳步落实。</w:t>
      </w:r>
      <w:r>
        <w:rPr>
          <w:rFonts w:hint="eastAsia" w:ascii="仿宋_GB2312" w:hAnsi="仿宋_GB2312" w:eastAsia="仿宋_GB2312" w:cs="仿宋_GB2312"/>
          <w:sz w:val="32"/>
          <w:szCs w:val="32"/>
          <w:shd w:val="clear" w:color="auto" w:fill="FFFFFF"/>
          <w:lang w:val="en-US" w:eastAsia="zh-CN"/>
        </w:rPr>
        <w:t>及时做好规范性文件梳理，本年度</w:t>
      </w:r>
      <w:r>
        <w:rPr>
          <w:rFonts w:hint="eastAsia" w:ascii="仿宋_GB2312" w:hAnsi="仿宋_GB2312" w:eastAsia="仿宋_GB2312" w:cs="仿宋_GB2312"/>
          <w:sz w:val="32"/>
          <w:szCs w:val="32"/>
          <w:shd w:val="clear" w:color="auto" w:fill="FFFFFF"/>
        </w:rPr>
        <w:t>通过门户网站专栏公开规范性文件</w:t>
      </w:r>
      <w:r>
        <w:rPr>
          <w:rFonts w:hint="default" w:ascii="Times New Roman" w:hAnsi="Times New Roman" w:eastAsia="仿宋_GB2312" w:cs="Times New Roman"/>
          <w:sz w:val="32"/>
          <w:szCs w:val="32"/>
          <w:shd w:val="clear" w:color="auto" w:fill="FFFFFF"/>
        </w:rPr>
        <w:t>1</w:t>
      </w:r>
      <w:r>
        <w:rPr>
          <w:rFonts w:hint="eastAsia" w:ascii="仿宋_GB2312" w:hAnsi="仿宋_GB2312" w:eastAsia="仿宋_GB2312" w:cs="仿宋_GB2312"/>
          <w:sz w:val="32"/>
          <w:szCs w:val="32"/>
          <w:shd w:val="clear" w:color="auto" w:fill="FFFFFF"/>
        </w:rPr>
        <w:t>件</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因出台新的办法，</w:t>
      </w:r>
      <w:r>
        <w:rPr>
          <w:rFonts w:hint="default" w:ascii="Times New Roman" w:hAnsi="Times New Roman" w:eastAsia="仿宋_GB2312" w:cs="Times New Roman"/>
          <w:sz w:val="32"/>
          <w:szCs w:val="32"/>
          <w:shd w:val="clear" w:color="auto" w:fill="FFFFFF"/>
          <w:lang w:val="en-US" w:eastAsia="zh-CN"/>
        </w:rPr>
        <w:t>2020</w:t>
      </w:r>
      <w:r>
        <w:rPr>
          <w:rFonts w:hint="eastAsia" w:ascii="仿宋_GB2312" w:hAnsi="仿宋_GB2312" w:eastAsia="仿宋_GB2312" w:cs="仿宋_GB2312"/>
          <w:sz w:val="32"/>
          <w:szCs w:val="32"/>
          <w:shd w:val="clear" w:color="auto" w:fill="FFFFFF"/>
          <w:lang w:val="en-US" w:eastAsia="zh-CN"/>
        </w:rPr>
        <w:t>年出台的办法同时废止，行政</w:t>
      </w:r>
      <w:r>
        <w:rPr>
          <w:rFonts w:hint="eastAsia" w:ascii="仿宋_GB2312" w:hAnsi="仿宋_GB2312" w:eastAsia="仿宋_GB2312" w:cs="仿宋_GB2312"/>
          <w:sz w:val="32"/>
          <w:szCs w:val="32"/>
          <w:shd w:val="clear" w:color="auto" w:fill="FFFFFF"/>
        </w:rPr>
        <w:t>规范性文件</w:t>
      </w:r>
      <w:r>
        <w:rPr>
          <w:rFonts w:hint="eastAsia" w:ascii="仿宋_GB2312" w:hAnsi="仿宋_GB2312" w:eastAsia="仿宋_GB2312" w:cs="仿宋_GB2312"/>
          <w:sz w:val="32"/>
          <w:szCs w:val="32"/>
          <w:shd w:val="clear" w:color="auto" w:fill="FFFFFF"/>
          <w:lang w:val="en-US" w:eastAsia="zh-CN"/>
        </w:rPr>
        <w:t>清理结果已在</w:t>
      </w:r>
      <w:r>
        <w:rPr>
          <w:rFonts w:hint="eastAsia" w:ascii="仿宋_GB2312" w:hAnsi="仿宋_GB2312" w:eastAsia="仿宋_GB2312" w:cs="仿宋_GB2312"/>
          <w:sz w:val="32"/>
          <w:szCs w:val="32"/>
          <w:shd w:val="clear" w:color="auto" w:fill="FFFFFF"/>
        </w:rPr>
        <w:t>局门户网站公示。依法</w:t>
      </w:r>
      <w:r>
        <w:rPr>
          <w:rFonts w:hint="eastAsia" w:ascii="仿宋_GB2312" w:hAnsi="仿宋_GB2312" w:eastAsia="仿宋_GB2312" w:cs="仿宋_GB2312"/>
          <w:sz w:val="32"/>
          <w:szCs w:val="32"/>
          <w:shd w:val="clear" w:color="auto" w:fill="FFFFFF"/>
          <w:lang w:val="en-US" w:eastAsia="zh-CN"/>
        </w:rPr>
        <w:t>依规</w:t>
      </w:r>
      <w:r>
        <w:rPr>
          <w:rFonts w:hint="eastAsia" w:ascii="仿宋_GB2312" w:hAnsi="仿宋_GB2312" w:eastAsia="仿宋_GB2312" w:cs="仿宋_GB2312"/>
          <w:sz w:val="32"/>
          <w:szCs w:val="32"/>
          <w:shd w:val="clear" w:color="auto" w:fill="FFFFFF"/>
        </w:rPr>
        <w:t>开展政府信息公开工作，严格落实保密工作制度</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对公开发布的信息做好保密审查</w:t>
      </w:r>
      <w:r>
        <w:rPr>
          <w:rFonts w:hint="eastAsia" w:ascii="仿宋_GB2312" w:hAnsi="仿宋_GB2312" w:eastAsia="仿宋_GB2312" w:cs="仿宋_GB2312"/>
          <w:sz w:val="32"/>
          <w:szCs w:val="32"/>
          <w:shd w:val="clear" w:color="auto" w:fill="FFFFFF"/>
          <w:lang w:eastAsia="zh-CN"/>
        </w:rPr>
        <w:t>，杜绝发生失泄密问题</w:t>
      </w:r>
      <w:r>
        <w:rPr>
          <w:rFonts w:hint="eastAsia" w:ascii="仿宋_GB2312" w:hAnsi="仿宋_GB2312" w:eastAsia="仿宋_GB2312" w:cs="仿宋_GB2312"/>
          <w:sz w:val="32"/>
          <w:szCs w:val="32"/>
          <w:shd w:val="clear" w:color="auto" w:fill="FFFFFF"/>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（四）政府信息公开平台建设方面</w:t>
      </w:r>
    </w:p>
    <w:p>
      <w:pPr>
        <w:pStyle w:val="6"/>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sz w:val="32"/>
          <w:szCs w:val="32"/>
          <w:shd w:val="clear" w:color="auto" w:fill="FFFFFF"/>
        </w:rPr>
        <w:t>完善政务公开平台建设</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不断加强完善“张店金融”微信建设，设置</w:t>
      </w:r>
      <w:r>
        <w:rPr>
          <w:rFonts w:hint="eastAsia" w:ascii="仿宋_GB2312" w:hAnsi="仿宋_GB2312" w:eastAsia="仿宋_GB2312" w:cs="仿宋_GB2312"/>
          <w:sz w:val="32"/>
          <w:szCs w:val="32"/>
          <w:shd w:val="clear" w:color="auto" w:fill="FFFFFF"/>
          <w:lang w:val="en-US" w:eastAsia="zh-CN"/>
        </w:rPr>
        <w:t>三提三争、科室动态、张金党建、风险防范</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要闻速览</w:t>
      </w:r>
      <w:r>
        <w:rPr>
          <w:rFonts w:hint="eastAsia" w:ascii="仿宋_GB2312" w:hAnsi="仿宋_GB2312" w:eastAsia="仿宋_GB2312" w:cs="仿宋_GB2312"/>
          <w:sz w:val="32"/>
          <w:szCs w:val="32"/>
          <w:shd w:val="clear" w:color="auto" w:fill="FFFFFF"/>
        </w:rPr>
        <w:t>等板块，提高金融政策、行业信息、金融安全推送比例，实现了新媒体平台政务信息发布常态化。积极扩大宣传渠道</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微信公众号全年累计发送</w:t>
      </w:r>
      <w:r>
        <w:rPr>
          <w:rFonts w:hint="default" w:ascii="Times New Roman" w:hAnsi="Times New Roman" w:eastAsia="仿宋_GB2312" w:cs="Times New Roman"/>
          <w:sz w:val="32"/>
          <w:szCs w:val="32"/>
          <w:shd w:val="clear" w:color="auto" w:fill="FFFFFF"/>
          <w:lang w:val="en-US" w:eastAsia="zh-CN"/>
        </w:rPr>
        <w:t>44</w:t>
      </w:r>
      <w:r>
        <w:rPr>
          <w:rFonts w:hint="eastAsia" w:ascii="仿宋_GB2312" w:hAnsi="仿宋_GB2312" w:eastAsia="仿宋_GB2312" w:cs="仿宋_GB2312"/>
          <w:sz w:val="32"/>
          <w:szCs w:val="32"/>
          <w:shd w:val="clear" w:color="auto" w:fill="FFFFFF"/>
        </w:rPr>
        <w:t>期，共计</w:t>
      </w:r>
      <w:r>
        <w:rPr>
          <w:rFonts w:hint="default" w:ascii="Times New Roman" w:hAnsi="Times New Roman" w:eastAsia="仿宋_GB2312" w:cs="Times New Roman"/>
          <w:sz w:val="32"/>
          <w:szCs w:val="32"/>
          <w:shd w:val="clear" w:color="auto" w:fill="FFFFFF"/>
          <w:lang w:val="en-US" w:eastAsia="zh-CN"/>
        </w:rPr>
        <w:t>300</w:t>
      </w:r>
      <w:r>
        <w:rPr>
          <w:rFonts w:hint="eastAsia" w:ascii="仿宋_GB2312" w:hAnsi="仿宋_GB2312" w:eastAsia="仿宋_GB2312" w:cs="仿宋_GB2312"/>
          <w:sz w:val="32"/>
          <w:szCs w:val="32"/>
          <w:shd w:val="clear" w:color="auto" w:fill="FFFFFF"/>
          <w:lang w:val="en-US" w:eastAsia="zh-CN"/>
        </w:rPr>
        <w:t>余</w:t>
      </w:r>
      <w:r>
        <w:rPr>
          <w:rFonts w:hint="eastAsia" w:ascii="仿宋_GB2312" w:hAnsi="仿宋_GB2312" w:eastAsia="仿宋_GB2312" w:cs="仿宋_GB2312"/>
          <w:sz w:val="32"/>
          <w:szCs w:val="32"/>
          <w:shd w:val="clear" w:color="auto" w:fill="FFFFFF"/>
        </w:rPr>
        <w:t>条</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新媒体平台</w:t>
      </w:r>
      <w:r>
        <w:rPr>
          <w:rFonts w:hint="eastAsia" w:ascii="仿宋_GB2312" w:hAnsi="仿宋_GB2312" w:eastAsia="仿宋_GB2312" w:cs="仿宋_GB2312"/>
          <w:sz w:val="32"/>
          <w:szCs w:val="32"/>
          <w:shd w:val="clear" w:color="auto" w:fill="FFFFFF"/>
        </w:rPr>
        <w:t>宣传信息共</w:t>
      </w:r>
      <w:r>
        <w:rPr>
          <w:rFonts w:hint="default" w:ascii="Times New Roman" w:hAnsi="Times New Roman" w:eastAsia="仿宋_GB2312" w:cs="Times New Roman"/>
          <w:sz w:val="32"/>
          <w:szCs w:val="32"/>
          <w:shd w:val="clear" w:color="auto" w:fill="FFFFFF"/>
        </w:rPr>
        <w:t>73</w:t>
      </w:r>
      <w:r>
        <w:rPr>
          <w:rFonts w:hint="eastAsia" w:ascii="仿宋_GB2312" w:hAnsi="仿宋_GB2312" w:eastAsia="仿宋_GB2312" w:cs="仿宋_GB2312"/>
          <w:sz w:val="32"/>
          <w:szCs w:val="32"/>
          <w:shd w:val="clear" w:color="auto" w:fill="FFFFFF"/>
        </w:rPr>
        <w:t>篇，其中省级媒体</w:t>
      </w:r>
      <w:r>
        <w:rPr>
          <w:rFonts w:hint="default" w:ascii="Times New Roman" w:hAnsi="Times New Roman" w:eastAsia="仿宋_GB2312" w:cs="Times New Roman"/>
          <w:sz w:val="32"/>
          <w:szCs w:val="32"/>
          <w:shd w:val="clear" w:color="auto" w:fill="FFFFFF"/>
        </w:rPr>
        <w:t>5</w:t>
      </w:r>
      <w:r>
        <w:rPr>
          <w:rFonts w:hint="eastAsia" w:ascii="仿宋_GB2312" w:hAnsi="仿宋_GB2312" w:eastAsia="仿宋_GB2312" w:cs="仿宋_GB2312"/>
          <w:sz w:val="32"/>
          <w:szCs w:val="32"/>
          <w:shd w:val="clear" w:color="auto" w:fill="FFFFFF"/>
        </w:rPr>
        <w:t>篇，市级媒体</w:t>
      </w:r>
      <w:r>
        <w:rPr>
          <w:rFonts w:hint="default" w:ascii="Times New Roman" w:hAnsi="Times New Roman" w:eastAsia="仿宋_GB2312" w:cs="Times New Roman"/>
          <w:sz w:val="32"/>
          <w:szCs w:val="32"/>
          <w:shd w:val="clear" w:color="auto" w:fill="FFFFFF"/>
        </w:rPr>
        <w:t>34</w:t>
      </w:r>
      <w:r>
        <w:rPr>
          <w:rFonts w:hint="eastAsia" w:ascii="仿宋_GB2312" w:hAnsi="仿宋_GB2312" w:eastAsia="仿宋_GB2312" w:cs="仿宋_GB2312"/>
          <w:sz w:val="32"/>
          <w:szCs w:val="32"/>
          <w:shd w:val="clear" w:color="auto" w:fill="FFFFFF"/>
        </w:rPr>
        <w:t>篇，区级媒体</w:t>
      </w:r>
      <w:r>
        <w:rPr>
          <w:rFonts w:hint="default" w:ascii="Times New Roman" w:hAnsi="Times New Roman" w:eastAsia="仿宋_GB2312" w:cs="Times New Roman"/>
          <w:sz w:val="32"/>
          <w:szCs w:val="32"/>
          <w:shd w:val="clear" w:color="auto" w:fill="FFFFFF"/>
        </w:rPr>
        <w:t>34</w:t>
      </w:r>
      <w:r>
        <w:rPr>
          <w:rFonts w:hint="eastAsia" w:ascii="仿宋_GB2312" w:hAnsi="仿宋_GB2312" w:eastAsia="仿宋_GB2312" w:cs="仿宋_GB2312"/>
          <w:sz w:val="32"/>
          <w:szCs w:val="32"/>
          <w:shd w:val="clear" w:color="auto" w:fill="FFFFFF"/>
        </w:rPr>
        <w:t>篇。</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（五）监督保障方面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shd w:val="clear" w:color="auto" w:fill="FFFFFF"/>
        </w:rPr>
        <w:t>明确组织领导、分管领导，确定综合科为主管科室，负责推进、指导、协调、监督我局政府信息公开工作，并指定</w:t>
      </w:r>
      <w:r>
        <w:rPr>
          <w:rFonts w:hint="eastAsia" w:ascii="Times New Roman" w:hAnsi="Times New Roman" w:eastAsia="仿宋_GB2312" w:cs="Times New Roman"/>
          <w:sz w:val="32"/>
          <w:szCs w:val="32"/>
          <w:shd w:val="clear" w:color="auto" w:fill="FFFFFF"/>
          <w:lang w:val="en-US" w:eastAsia="zh-CN"/>
        </w:rPr>
        <w:t>专门</w:t>
      </w:r>
      <w:r>
        <w:rPr>
          <w:rFonts w:hint="eastAsia" w:ascii="仿宋_GB2312" w:hAnsi="仿宋_GB2312" w:eastAsia="仿宋_GB2312" w:cs="仿宋_GB2312"/>
          <w:sz w:val="32"/>
          <w:szCs w:val="32"/>
          <w:shd w:val="clear" w:color="auto" w:fill="FFFFFF"/>
        </w:rPr>
        <w:t>工作人员负责具体事务</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lang w:val="en-US" w:eastAsia="zh-CN"/>
        </w:rPr>
        <w:t>加强政务公开工作领导，做好政府信息公开监督保障，召开局办公会议专题研究考核事宜，安排部署工作任务。强化政务公开业务学习培训，召开政务公开培训全体人员会议，提高认识，协同配合，增强做好政务公开工作的自觉性和责任感；积极参加区政府电子政务办举办的政务公开工作培训会、考核培训会，提升政务公开工作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黑体" w:cs="黑体"/>
          <w:b w:val="0"/>
          <w:bCs/>
          <w:i w:val="0"/>
          <w:caps w:val="0"/>
          <w:color w:val="333333"/>
          <w:spacing w:val="0"/>
          <w:sz w:val="32"/>
          <w:szCs w:val="32"/>
        </w:rPr>
      </w:pPr>
      <w:r>
        <w:rPr>
          <w:rFonts w:hint="eastAsia" w:ascii="Times New Roman" w:hAnsi="Times New Roman" w:eastAsia="黑体" w:cs="黑体"/>
          <w:b w:val="0"/>
          <w:bCs/>
          <w:i w:val="0"/>
          <w:caps w:val="0"/>
          <w:color w:val="333333"/>
          <w:spacing w:val="0"/>
          <w:sz w:val="32"/>
          <w:szCs w:val="32"/>
          <w:shd w:val="clear" w:fill="FFFFFF"/>
        </w:rPr>
        <w:t>二、主动公开政府信息情况</w:t>
      </w:r>
    </w:p>
    <w:tbl>
      <w:tblPr>
        <w:tblStyle w:val="8"/>
        <w:tblW w:w="8824" w:type="dxa"/>
        <w:tblInd w:w="0" w:type="dxa"/>
        <w:tblLayout w:type="fixed"/>
        <w:tblCellMar>
          <w:top w:w="0" w:type="dxa"/>
          <w:left w:w="108" w:type="dxa"/>
          <w:bottom w:w="0" w:type="dxa"/>
          <w:right w:w="108" w:type="dxa"/>
        </w:tblCellMar>
      </w:tblPr>
      <w:tblGrid>
        <w:gridCol w:w="2206"/>
        <w:gridCol w:w="2206"/>
        <w:gridCol w:w="2206"/>
        <w:gridCol w:w="2206"/>
      </w:tblGrid>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现行有效件数</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auto"/>
                <w:kern w:val="0"/>
                <w:szCs w:val="21"/>
              </w:rPr>
            </w:pPr>
            <w:r>
              <w:rPr>
                <w:rFonts w:hint="eastAsia" w:ascii="Times New Roman" w:hAnsi="Times New Roman"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Calibri"/>
                <w:color w:val="auto"/>
                <w:kern w:val="0"/>
                <w:szCs w:val="21"/>
              </w:rPr>
            </w:pPr>
            <w:r>
              <w:rPr>
                <w:rFonts w:hint="eastAsia" w:ascii="Times New Roman" w:hAnsi="Times New Roman" w:eastAsia="仿宋_GB2312" w:cs="宋体"/>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highlight w:val="none"/>
              </w:rPr>
              <w:t>行政规范性文件</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default" w:ascii="Times New Roman" w:hAnsi="Times New Roman" w:eastAsia="仿宋_GB2312" w:cs="宋体"/>
                <w:color w:val="auto"/>
                <w:kern w:val="0"/>
                <w:szCs w:val="21"/>
                <w:lang w:val="en-US" w:eastAsia="zh-CN"/>
              </w:rPr>
            </w:pPr>
            <w:r>
              <w:rPr>
                <w:rFonts w:hint="eastAsia" w:ascii="Times New Roman" w:hAnsi="Times New Roman" w:eastAsia="仿宋_GB2312" w:cs="宋体"/>
                <w:color w:val="auto"/>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宋体"/>
                <w:color w:val="auto"/>
                <w:kern w:val="0"/>
                <w:szCs w:val="21"/>
                <w:lang w:eastAsia="zh-CN"/>
              </w:rPr>
            </w:pPr>
            <w:r>
              <w:rPr>
                <w:rFonts w:hint="eastAsia" w:ascii="Times New Roman" w:hAnsi="Times New Roman" w:eastAsia="仿宋_GB2312" w:cs="宋体"/>
                <w:color w:val="auto"/>
                <w:kern w:val="0"/>
                <w:szCs w:val="21"/>
                <w:lang w:val="en-US" w:eastAsia="zh-CN"/>
              </w:rPr>
              <w:t>1</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第二十条第（五）项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000000"/>
                <w:kern w:val="0"/>
                <w:szCs w:val="21"/>
                <w:lang w:val="en-US"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auto"/>
                <w:kern w:val="0"/>
                <w:szCs w:val="21"/>
                <w:lang w:eastAsia="zh-CN"/>
              </w:rPr>
            </w:pPr>
            <w:r>
              <w:rPr>
                <w:rFonts w:hint="eastAsia" w:ascii="Times New Roman" w:hAnsi="Times New Roman" w:eastAsia="仿宋_GB2312" w:cs="Calibri"/>
                <w:color w:val="auto"/>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b/>
                <w:bCs/>
                <w:color w:val="000000"/>
                <w:kern w:val="0"/>
                <w:szCs w:val="21"/>
              </w:rPr>
            </w:pPr>
            <w:r>
              <w:rPr>
                <w:rFonts w:hint="eastAsia" w:ascii="Times New Roman" w:hAnsi="Times New Roman" w:eastAsia="仿宋_GB2312" w:cs="宋体"/>
                <w:b/>
                <w:bCs/>
                <w:color w:val="000000"/>
                <w:kern w:val="0"/>
                <w:szCs w:val="21"/>
              </w:rPr>
              <w:t>本年收费金额（单位：万元）</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hint="eastAsia" w:ascii="Times New Roman" w:hAnsi="Times New Roman" w:eastAsia="仿宋_GB2312" w:cs="Calibri"/>
                <w:color w:val="000000"/>
                <w:kern w:val="0"/>
                <w:szCs w:val="21"/>
                <w:lang w:eastAsia="zh-CN"/>
              </w:rPr>
            </w:pPr>
            <w:r>
              <w:rPr>
                <w:rFonts w:hint="eastAsia" w:ascii="Times New Roman" w:hAnsi="Times New Roman" w:eastAsia="仿宋_GB2312" w:cs="Calibri"/>
                <w:color w:val="auto"/>
                <w:kern w:val="0"/>
                <w:szCs w:val="21"/>
                <w:lang w:val="en-US" w:eastAsia="zh-CN"/>
              </w:rPr>
              <w:t>0</w:t>
            </w:r>
          </w:p>
        </w:tc>
      </w:tr>
    </w:tbl>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8"/>
        <w:tblW w:w="95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楷体_GB2312"/>
                <w:kern w:val="0"/>
                <w:szCs w:val="21"/>
              </w:rPr>
            </w:pPr>
            <w:r>
              <w:rPr>
                <w:rFonts w:hint="eastAsia" w:ascii="Times New Roman" w:hAnsi="Times New Roman" w:eastAsia="楷体_GB2312"/>
                <w:kern w:val="0"/>
                <w:szCs w:val="21"/>
              </w:rPr>
              <w:t>（本列数据的勾稽关系为：第一项加第二项之和，</w:t>
            </w:r>
          </w:p>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仿宋_GB2312"/>
                <w:szCs w:val="21"/>
              </w:rPr>
            </w:pPr>
            <w:r>
              <w:rPr>
                <w:rFonts w:hint="eastAsia" w:ascii="Times New Roman" w:hAnsi="Times New Roman" w:eastAsia="楷体_GB2312"/>
                <w:kern w:val="0"/>
                <w:szCs w:val="21"/>
              </w:rPr>
              <w:t>等于第三项加第四项之和）</w:t>
            </w:r>
          </w:p>
        </w:tc>
        <w:tc>
          <w:tcPr>
            <w:tcW w:w="4448" w:type="dxa"/>
            <w:gridSpan w:val="10"/>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szCs w:val="21"/>
              </w:rPr>
            </w:pPr>
            <w:r>
              <w:rPr>
                <w:rFonts w:hint="eastAsia" w:ascii="Times New Roman" w:hAnsi="Times New Roman"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c>
          <w:tcPr>
            <w:tcW w:w="747"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szCs w:val="21"/>
              </w:rPr>
            </w:pPr>
            <w:r>
              <w:rPr>
                <w:rFonts w:hint="eastAsia" w:ascii="Times New Roman" w:hAnsi="Times New Roman" w:eastAsia="黑体"/>
                <w:kern w:val="0"/>
                <w:szCs w:val="21"/>
              </w:rPr>
              <w:t>自然人</w:t>
            </w:r>
          </w:p>
        </w:tc>
        <w:tc>
          <w:tcPr>
            <w:tcW w:w="3000" w:type="dxa"/>
            <w:gridSpan w:val="7"/>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szCs w:val="21"/>
              </w:rPr>
            </w:pPr>
            <w:r>
              <w:rPr>
                <w:rFonts w:hint="eastAsia" w:ascii="Times New Roman" w:hAnsi="Times New Roman" w:eastAsia="黑体"/>
                <w:kern w:val="0"/>
                <w:szCs w:val="21"/>
              </w:rPr>
              <w:t>法人或其他组织</w:t>
            </w:r>
          </w:p>
        </w:tc>
        <w:tc>
          <w:tcPr>
            <w:tcW w:w="701" w:type="dxa"/>
            <w:gridSpan w:val="2"/>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szCs w:val="21"/>
              </w:rPr>
            </w:pPr>
            <w:r>
              <w:rPr>
                <w:rFonts w:hint="eastAsia" w:ascii="Times New Roman" w:hAnsi="Times New Roman"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c>
          <w:tcPr>
            <w:tcW w:w="747"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黑体"/>
                <w:szCs w:val="21"/>
              </w:rPr>
            </w:pP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szCs w:val="21"/>
              </w:rPr>
            </w:pPr>
            <w:r>
              <w:rPr>
                <w:rFonts w:hint="eastAsia" w:ascii="Times New Roman" w:hAnsi="Times New Roman" w:eastAsia="黑体"/>
                <w:kern w:val="0"/>
                <w:szCs w:val="21"/>
              </w:rPr>
              <w:t>商业企业</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szCs w:val="21"/>
              </w:rPr>
            </w:pPr>
            <w:r>
              <w:rPr>
                <w:rFonts w:hint="eastAsia" w:ascii="Times New Roman" w:hAnsi="Times New Roman" w:eastAsia="黑体"/>
                <w:kern w:val="0"/>
                <w:szCs w:val="21"/>
              </w:rPr>
              <w:t>科研机构</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7" w:leftChars="-51" w:right="-107" w:rightChars="-51"/>
              <w:jc w:val="center"/>
              <w:textAlignment w:val="auto"/>
              <w:rPr>
                <w:rFonts w:ascii="Times New Roman" w:hAnsi="Times New Roman" w:eastAsia="黑体"/>
                <w:szCs w:val="21"/>
              </w:rPr>
            </w:pPr>
            <w:r>
              <w:rPr>
                <w:rFonts w:hint="eastAsia" w:ascii="Times New Roman" w:hAnsi="Times New Roman" w:eastAsia="黑体"/>
                <w:kern w:val="0"/>
                <w:szCs w:val="21"/>
              </w:rPr>
              <w:t>社会公益组织</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ind w:left="-106" w:leftChars="-51" w:right="-107" w:rightChars="-51" w:hanging="1"/>
              <w:jc w:val="center"/>
              <w:textAlignment w:val="auto"/>
              <w:rPr>
                <w:rFonts w:ascii="Times New Roman" w:hAnsi="Times New Roman" w:eastAsia="黑体"/>
                <w:szCs w:val="21"/>
              </w:rPr>
            </w:pPr>
            <w:r>
              <w:rPr>
                <w:rFonts w:hint="eastAsia" w:ascii="Times New Roman" w:hAnsi="Times New Roman" w:eastAsia="黑体"/>
                <w:kern w:val="0"/>
                <w:szCs w:val="21"/>
              </w:rPr>
              <w:t>法律服务机构</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ind w:left="-63" w:leftChars="-30" w:right="-134" w:rightChars="-64"/>
              <w:jc w:val="center"/>
              <w:textAlignment w:val="auto"/>
              <w:rPr>
                <w:rFonts w:ascii="Times New Roman" w:hAnsi="Times New Roman" w:eastAsia="黑体"/>
                <w:szCs w:val="21"/>
              </w:rPr>
            </w:pPr>
            <w:r>
              <w:rPr>
                <w:rFonts w:hint="eastAsia" w:ascii="Times New Roman" w:hAnsi="Times New Roman" w:eastAsia="黑体"/>
                <w:kern w:val="0"/>
                <w:szCs w:val="21"/>
              </w:rPr>
              <w:t>其他</w:t>
            </w:r>
          </w:p>
        </w:tc>
        <w:tc>
          <w:tcPr>
            <w:tcW w:w="701" w:type="dxa"/>
            <w:gridSpan w:val="2"/>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jc w:val="center"/>
              <w:textAlignment w:val="auto"/>
              <w:rPr>
                <w:rFonts w:ascii="Times New Roman"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一、</w:t>
            </w:r>
            <w:bookmarkStart w:id="0" w:name="_Hlk66973412"/>
            <w:r>
              <w:rPr>
                <w:rFonts w:hint="eastAsia" w:ascii="Times New Roman" w:hAnsi="Times New Roman"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textAlignment w:val="auto"/>
              <w:rPr>
                <w:rFonts w:ascii="Times New Roman" w:hAnsi="Times New Roman" w:eastAsia="黑体"/>
                <w:szCs w:val="21"/>
              </w:rPr>
            </w:pPr>
            <w:r>
              <w:rPr>
                <w:rFonts w:hint="eastAsia" w:ascii="Times New Roman" w:hAnsi="Times New Roman" w:eastAsia="黑体"/>
                <w:kern w:val="0"/>
                <w:szCs w:val="21"/>
              </w:rPr>
              <w:t>三、本年度办理结果</w:t>
            </w: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textAlignment w:val="auto"/>
              <w:rPr>
                <w:rFonts w:ascii="Times New Roman" w:hAnsi="Times New Roman" w:eastAsia="黑体"/>
                <w:szCs w:val="21"/>
              </w:rPr>
            </w:pPr>
            <w:r>
              <w:rPr>
                <w:rFonts w:hint="eastAsia" w:ascii="Times New Roman" w:hAnsi="Times New Roman" w:eastAsia="黑体"/>
                <w:kern w:val="0"/>
                <w:szCs w:val="21"/>
              </w:rPr>
              <w:t>（二）部分公开（</w:t>
            </w:r>
            <w:bookmarkStart w:id="1" w:name="_Hlk66973981"/>
            <w:r>
              <w:rPr>
                <w:rFonts w:hint="eastAsia" w:ascii="Times New Roman" w:hAnsi="Times New Roman" w:eastAsia="黑体"/>
                <w:kern w:val="0"/>
                <w:szCs w:val="21"/>
              </w:rPr>
              <w:t>区分处理的，只计这一情形，不计其他情形</w:t>
            </w:r>
            <w:bookmarkEnd w:id="1"/>
            <w:r>
              <w:rPr>
                <w:rFonts w:hint="eastAsia" w:ascii="Times New Roman" w:hAnsi="Times New Roman" w:eastAsia="黑体"/>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（三）不予公开</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w:t>
            </w:r>
            <w:bookmarkStart w:id="2" w:name="_Hlk66974104"/>
            <w:r>
              <w:rPr>
                <w:rFonts w:hint="eastAsia" w:ascii="Times New Roman" w:hAnsi="Times New Roman"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4.</w:t>
            </w:r>
            <w:bookmarkStart w:id="3" w:name="_Hlk66974290"/>
            <w:r>
              <w:rPr>
                <w:rFonts w:hint="eastAsia" w:ascii="Times New Roman" w:hAnsi="Times New Roman"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6.</w:t>
            </w:r>
            <w:bookmarkStart w:id="4" w:name="_Hlk66974555"/>
            <w:r>
              <w:rPr>
                <w:rFonts w:hint="eastAsia" w:ascii="Times New Roman" w:hAnsi="Times New Roman"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8.</w:t>
            </w:r>
            <w:bookmarkStart w:id="5" w:name="_Hlk66975211"/>
            <w:r>
              <w:rPr>
                <w:rFonts w:hint="eastAsia" w:ascii="Times New Roman" w:hAnsi="Times New Roman"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（四）无法提供</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w:t>
            </w:r>
            <w:bookmarkStart w:id="6" w:name="_Hlk66975392"/>
            <w:r>
              <w:rPr>
                <w:rFonts w:hint="eastAsia" w:ascii="Times New Roman" w:hAnsi="Times New Roman"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3.</w:t>
            </w:r>
            <w:bookmarkStart w:id="7" w:name="_Hlk66975466"/>
            <w:r>
              <w:rPr>
                <w:rFonts w:hint="eastAsia" w:ascii="Times New Roman" w:hAnsi="Times New Roman"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ind w:left="-107" w:leftChars="-51"/>
              <w:textAlignment w:val="auto"/>
              <w:rPr>
                <w:rFonts w:ascii="Times New Roman" w:hAnsi="Times New Roman" w:eastAsia="黑体"/>
                <w:szCs w:val="21"/>
              </w:rPr>
            </w:pPr>
            <w:r>
              <w:rPr>
                <w:rFonts w:hint="eastAsia" w:ascii="Times New Roman" w:hAnsi="Times New Roman" w:eastAsia="黑体"/>
                <w:kern w:val="0"/>
                <w:szCs w:val="21"/>
              </w:rPr>
              <w:t>（五）不予处理</w:t>
            </w: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1.</w:t>
            </w:r>
            <w:bookmarkStart w:id="8" w:name="_Hlk66975537"/>
            <w:r>
              <w:rPr>
                <w:rFonts w:hint="eastAsia" w:ascii="Times New Roman" w:hAnsi="Times New Roman"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szCs w:val="21"/>
              </w:rPr>
            </w:pPr>
            <w:r>
              <w:rPr>
                <w:rFonts w:hint="eastAsia" w:ascii="Times New Roman" w:hAnsi="Times New Roman"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00" w:lineRule="exact"/>
              <w:textAlignment w:val="auto"/>
              <w:rPr>
                <w:rFonts w:ascii="Times New Roman" w:hAnsi="Times New Roman" w:eastAsia="仿宋_GB2312"/>
                <w:szCs w:val="21"/>
              </w:rPr>
            </w:pPr>
            <w:r>
              <w:rPr>
                <w:rFonts w:hint="eastAsia" w:ascii="Times New Roman" w:hAnsi="Times New Roman"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spacing w:line="200" w:lineRule="exact"/>
              <w:textAlignment w:val="auto"/>
              <w:rPr>
                <w:rFonts w:ascii="Times New Roman" w:hAnsi="Times New Roman" w:eastAsia="黑体"/>
                <w:szCs w:val="21"/>
              </w:rPr>
            </w:pPr>
          </w:p>
        </w:tc>
        <w:tc>
          <w:tcPr>
            <w:tcW w:w="2976"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kern w:val="0"/>
                <w:szCs w:val="21"/>
              </w:rPr>
              <w:t>5.要求行政机关确认或重新</w:t>
            </w:r>
          </w:p>
          <w:p>
            <w:pPr>
              <w:keepNext w:val="0"/>
              <w:keepLines w:val="0"/>
              <w:pageBreakBefore w:val="0"/>
              <w:widowControl/>
              <w:kinsoku/>
              <w:wordWrap w:val="0"/>
              <w:overflowPunct/>
              <w:topLinePunct w:val="0"/>
              <w:autoSpaceDE/>
              <w:autoSpaceDN/>
              <w:bidi w:val="0"/>
              <w:adjustRightInd/>
              <w:snapToGrid/>
              <w:spacing w:line="300" w:lineRule="exact"/>
              <w:ind w:firstLine="210" w:firstLineChars="100"/>
              <w:textAlignment w:val="auto"/>
              <w:rPr>
                <w:rFonts w:ascii="Times New Roman" w:hAnsi="Times New Roman" w:eastAsia="仿宋_GB2312"/>
                <w:szCs w:val="21"/>
              </w:rPr>
            </w:pPr>
            <w:r>
              <w:rPr>
                <w:rFonts w:hint="eastAsia" w:ascii="Times New Roman" w:hAnsi="Times New Roman"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（六）其他处理</w:t>
            </w: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rPr>
            </w:pPr>
            <w:r>
              <w:rPr>
                <w:rFonts w:hint="eastAsia" w:ascii="Times New Roman" w:hAnsi="Times New Roman"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szCs w:val="21"/>
              </w:rPr>
            </w:pPr>
            <w:r>
              <w:rPr>
                <w:rFonts w:hint="eastAsia" w:ascii="Times New Roman"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p>
        </w:tc>
        <w:tc>
          <w:tcPr>
            <w:tcW w:w="2976" w:type="dxa"/>
            <w:shd w:val="clear" w:color="auto" w:fill="auto"/>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仿宋_GB2312"/>
                <w:kern w:val="0"/>
                <w:szCs w:val="21"/>
              </w:rPr>
            </w:pPr>
            <w:r>
              <w:rPr>
                <w:rFonts w:hint="eastAsia" w:ascii="Times New Roman" w:hAnsi="Times New Roman"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00" w:lineRule="exact"/>
              <w:textAlignment w:val="auto"/>
              <w:rPr>
                <w:rFonts w:ascii="Times New Roman" w:hAnsi="Times New Roman" w:eastAsia="黑体"/>
                <w:kern w:val="0"/>
                <w:szCs w:val="21"/>
              </w:rPr>
            </w:pPr>
            <w:r>
              <w:rPr>
                <w:rFonts w:hint="eastAsia" w:ascii="Times New Roman" w:hAnsi="Times New Roman"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仿宋_GB2312"/>
                <w:color w:val="auto"/>
                <w:szCs w:val="21"/>
                <w:lang w:val="en-US"/>
              </w:rPr>
            </w:pPr>
            <w:r>
              <w:rPr>
                <w:rFonts w:hint="eastAsia" w:ascii="Times New Roman" w:hAnsi="Times New Roman" w:eastAsia="仿宋_GB2312"/>
                <w:color w:val="auto"/>
                <w:szCs w:val="21"/>
                <w:lang w:val="en-US" w:eastAsia="zh-CN"/>
              </w:rPr>
              <w:t>0</w:t>
            </w:r>
          </w:p>
        </w:tc>
      </w:tr>
    </w:tbl>
    <w:p>
      <w:pPr>
        <w:keepNext w:val="0"/>
        <w:keepLines w:val="0"/>
        <w:pageBreakBefore w:val="0"/>
        <w:widowControl w:val="0"/>
        <w:kinsoku/>
        <w:wordWrap w:val="0"/>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黑体" w:cs="黑体"/>
          <w:b w:val="0"/>
          <w:bCs/>
          <w:i w:val="0"/>
          <w:caps w:val="0"/>
          <w:color w:val="333333"/>
          <w:spacing w:val="0"/>
          <w:kern w:val="0"/>
          <w:sz w:val="32"/>
          <w:szCs w:val="32"/>
          <w:shd w:val="clear" w:fill="FFFFFF"/>
          <w:lang w:val="en-US" w:eastAsia="zh-CN" w:bidi="ar"/>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8"/>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49" w:leftChars="-71" w:right="-170" w:rightChars="-81"/>
              <w:jc w:val="center"/>
              <w:textAlignment w:val="auto"/>
              <w:rPr>
                <w:rFonts w:ascii="Times New Roman" w:hAnsi="Times New Roman" w:eastAsia="黑体"/>
              </w:rPr>
            </w:pPr>
            <w:r>
              <w:rPr>
                <w:rFonts w:ascii="Times New Roman" w:hAnsi="Times New Roman"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43" w:leftChars="-21" w:right="-132" w:rightChars="-63" w:hanging="1"/>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2" w:leftChars="-39" w:right="-97" w:rightChars="-46"/>
              <w:jc w:val="center"/>
              <w:textAlignment w:val="auto"/>
              <w:rPr>
                <w:rFonts w:ascii="Times New Roman" w:hAnsi="Times New Roman" w:eastAsia="黑体"/>
              </w:rPr>
            </w:pPr>
            <w:r>
              <w:rPr>
                <w:rFonts w:ascii="Times New Roman" w:hAnsi="Times New Roman"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18" w:leftChars="-56" w:right="-118" w:rightChars="-56"/>
              <w:jc w:val="center"/>
              <w:textAlignment w:val="auto"/>
              <w:rPr>
                <w:rFonts w:ascii="Times New Roman" w:hAnsi="Times New Roman" w:eastAsia="黑体"/>
              </w:rPr>
            </w:pPr>
            <w:r>
              <w:rPr>
                <w:rFonts w:ascii="Times New Roman" w:hAnsi="Times New Roman"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kern w:val="0"/>
                <w:sz w:val="20"/>
                <w:szCs w:val="20"/>
              </w:rPr>
            </w:pPr>
            <w:r>
              <w:rPr>
                <w:rFonts w:ascii="Times New Roman" w:hAnsi="Times New Roman" w:eastAsia="黑体"/>
                <w:kern w:val="0"/>
                <w:sz w:val="20"/>
                <w:szCs w:val="20"/>
              </w:rPr>
              <w:t>总</w:t>
            </w:r>
          </w:p>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ascii="Times New Roman" w:hAnsi="Times New Roman" w:eastAsia="黑体"/>
              </w:rPr>
            </w:pPr>
            <w:r>
              <w:rPr>
                <w:rFonts w:ascii="Times New Roman" w:hAnsi="Times New Roman"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bookmarkStart w:id="9" w:name="_Hlk67039688"/>
            <w:r>
              <w:rPr>
                <w:rFonts w:ascii="Times New Roman" w:hAnsi="Times New Roman"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val="0"/>
              <w:overflowPunct/>
              <w:topLinePunct w:val="0"/>
              <w:autoSpaceDE/>
              <w:autoSpaceDN/>
              <w:bidi w:val="0"/>
              <w:adjustRightInd/>
              <w:snapToGrid/>
              <w:textAlignment w:val="auto"/>
              <w:rPr>
                <w:rFonts w:ascii="Times New Roman" w:hAnsi="Times New Roman"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05" w:leftChars="-50" w:right="-126" w:rightChars="-60"/>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86" w:leftChars="-41" w:right="-88" w:rightChars="-42"/>
              <w:jc w:val="center"/>
              <w:textAlignment w:val="auto"/>
              <w:rPr>
                <w:rFonts w:ascii="Times New Roman" w:hAnsi="Times New Roman" w:eastAsia="黑体"/>
              </w:rPr>
            </w:pPr>
            <w:r>
              <w:rPr>
                <w:rFonts w:ascii="Times New Roman" w:hAnsi="Times New Roman"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26" w:leftChars="-60" w:right="-136" w:rightChars="-65"/>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kern w:val="0"/>
                <w:sz w:val="20"/>
                <w:szCs w:val="20"/>
              </w:rPr>
            </w:pPr>
            <w:r>
              <w:rPr>
                <w:rFonts w:ascii="Times New Roman" w:hAnsi="Times New Roman" w:eastAsia="黑体"/>
                <w:kern w:val="0"/>
                <w:sz w:val="20"/>
                <w:szCs w:val="20"/>
              </w:rPr>
              <w:t>尚未</w:t>
            </w:r>
          </w:p>
          <w:p>
            <w:pPr>
              <w:keepNext w:val="0"/>
              <w:keepLines w:val="0"/>
              <w:pageBreakBefore w:val="0"/>
              <w:widowControl/>
              <w:kinsoku/>
              <w:wordWrap w:val="0"/>
              <w:overflowPunct/>
              <w:topLinePunct w:val="0"/>
              <w:autoSpaceDE/>
              <w:autoSpaceDN/>
              <w:bidi w:val="0"/>
              <w:adjustRightInd/>
              <w:snapToGrid/>
              <w:ind w:left="-164" w:leftChars="-78" w:right="-153" w:rightChars="-73"/>
              <w:jc w:val="center"/>
              <w:textAlignment w:val="auto"/>
              <w:rPr>
                <w:rFonts w:ascii="Times New Roman" w:hAnsi="Times New Roman" w:eastAsia="黑体"/>
              </w:rPr>
            </w:pPr>
            <w:r>
              <w:rPr>
                <w:rFonts w:ascii="Times New Roman" w:hAnsi="Times New Roman"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99" w:leftChars="-47" w:right="-78" w:rightChars="-37"/>
              <w:jc w:val="center"/>
              <w:textAlignment w:val="auto"/>
              <w:rPr>
                <w:rFonts w:ascii="Times New Roman" w:hAnsi="Times New Roman" w:eastAsia="黑体"/>
              </w:rPr>
            </w:pPr>
            <w:r>
              <w:rPr>
                <w:rFonts w:ascii="Times New Roman" w:hAnsi="Times New Roman"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kern w:val="0"/>
                <w:sz w:val="20"/>
                <w:szCs w:val="20"/>
              </w:rPr>
            </w:pPr>
            <w:r>
              <w:rPr>
                <w:rFonts w:ascii="Times New Roman" w:hAnsi="Times New Roman" w:eastAsia="黑体"/>
                <w:kern w:val="0"/>
                <w:sz w:val="20"/>
                <w:szCs w:val="20"/>
              </w:rPr>
              <w:t>结果</w:t>
            </w:r>
          </w:p>
          <w:p>
            <w:pPr>
              <w:keepNext w:val="0"/>
              <w:keepLines w:val="0"/>
              <w:pageBreakBefore w:val="0"/>
              <w:widowControl/>
              <w:kinsoku/>
              <w:wordWrap w:val="0"/>
              <w:overflowPunct/>
              <w:topLinePunct w:val="0"/>
              <w:autoSpaceDE/>
              <w:autoSpaceDN/>
              <w:bidi w:val="0"/>
              <w:adjustRightInd/>
              <w:snapToGrid/>
              <w:ind w:left="-136" w:leftChars="-65" w:right="-124" w:rightChars="-59"/>
              <w:jc w:val="center"/>
              <w:textAlignment w:val="auto"/>
              <w:rPr>
                <w:rFonts w:ascii="Times New Roman" w:hAnsi="Times New Roman" w:eastAsia="黑体"/>
              </w:rPr>
            </w:pPr>
            <w:r>
              <w:rPr>
                <w:rFonts w:ascii="Times New Roman" w:hAnsi="Times New Roman"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kern w:val="0"/>
                <w:sz w:val="20"/>
                <w:szCs w:val="20"/>
              </w:rPr>
            </w:pPr>
            <w:r>
              <w:rPr>
                <w:rFonts w:ascii="Times New Roman" w:hAnsi="Times New Roman" w:eastAsia="黑体"/>
                <w:kern w:val="0"/>
                <w:sz w:val="20"/>
                <w:szCs w:val="20"/>
              </w:rPr>
              <w:t>其他</w:t>
            </w:r>
          </w:p>
          <w:p>
            <w:pPr>
              <w:keepNext w:val="0"/>
              <w:keepLines w:val="0"/>
              <w:pageBreakBefore w:val="0"/>
              <w:widowControl/>
              <w:kinsoku/>
              <w:wordWrap w:val="0"/>
              <w:overflowPunct/>
              <w:topLinePunct w:val="0"/>
              <w:autoSpaceDE/>
              <w:autoSpaceDN/>
              <w:bidi w:val="0"/>
              <w:adjustRightInd/>
              <w:snapToGrid/>
              <w:ind w:left="-173" w:leftChars="-83" w:right="-134" w:rightChars="-64" w:hanging="1"/>
              <w:jc w:val="center"/>
              <w:textAlignment w:val="auto"/>
              <w:rPr>
                <w:rFonts w:ascii="Times New Roman" w:hAnsi="Times New Roman" w:eastAsia="黑体"/>
              </w:rPr>
            </w:pPr>
            <w:r>
              <w:rPr>
                <w:rFonts w:ascii="Times New Roman" w:hAnsi="Times New Roman"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ind w:left="-67" w:leftChars="-33" w:right="-105" w:rightChars="-50" w:hanging="2" w:hangingChars="1"/>
              <w:jc w:val="center"/>
              <w:textAlignment w:val="auto"/>
              <w:rPr>
                <w:rFonts w:ascii="Times New Roman" w:hAnsi="Times New Roman" w:eastAsia="黑体"/>
              </w:rPr>
            </w:pPr>
            <w:r>
              <w:rPr>
                <w:rFonts w:ascii="Times New Roman" w:hAnsi="Times New Roman"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jc w:val="center"/>
              <w:textAlignment w:val="auto"/>
              <w:rPr>
                <w:rFonts w:ascii="Times New Roman" w:hAnsi="Times New Roman" w:eastAsia="黑体"/>
              </w:rPr>
            </w:pPr>
            <w:r>
              <w:rPr>
                <w:rFonts w:ascii="Times New Roman" w:hAnsi="Times New Roman"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val="0"/>
              <w:overflowPunct/>
              <w:topLinePunct w:val="0"/>
              <w:autoSpaceDE/>
              <w:autoSpaceDN/>
              <w:bidi w:val="0"/>
              <w:adjustRightInd/>
              <w:snapToGrid/>
              <w:spacing w:after="180"/>
              <w:jc w:val="center"/>
              <w:textAlignment w:val="auto"/>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存在的主要问题及改进情况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val="0"/>
          <w:i w:val="0"/>
          <w:caps w:val="0"/>
          <w:color w:val="333333"/>
          <w:spacing w:val="0"/>
          <w:kern w:val="0"/>
          <w:sz w:val="32"/>
          <w:szCs w:val="32"/>
          <w:shd w:val="clear" w:fill="FFFFFF"/>
          <w:lang w:val="en-US" w:eastAsia="zh-CN" w:bidi="ar"/>
        </w:rPr>
        <w:t>（一）主要问题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文字校对不严格、审批不严，单位政府门户网站往年的公开信息中偶尔会出现错别字和漏字。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b/>
          <w:bCs/>
          <w:i w:val="0"/>
          <w:caps w:val="0"/>
          <w:color w:val="333333"/>
          <w:spacing w:val="0"/>
          <w:sz w:val="32"/>
          <w:szCs w:val="32"/>
          <w:u w:val="none"/>
        </w:rPr>
      </w:pPr>
      <w:r>
        <w:rPr>
          <w:rFonts w:hint="eastAsia" w:ascii="仿宋_GB2312" w:hAnsi="仿宋_GB2312" w:eastAsia="仿宋_GB2312" w:cs="仿宋_GB2312"/>
          <w:b/>
          <w:bCs/>
          <w:i w:val="0"/>
          <w:caps w:val="0"/>
          <w:color w:val="333333"/>
          <w:spacing w:val="0"/>
          <w:sz w:val="32"/>
          <w:szCs w:val="32"/>
          <w:u w:val="none"/>
        </w:rPr>
        <w:t>（二）改进措施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lang w:eastAsia="zh-CN"/>
        </w:rPr>
      </w:pPr>
      <w:r>
        <w:rPr>
          <w:rFonts w:hint="eastAsia" w:ascii="仿宋_GB2312" w:hAnsi="仿宋_GB2312" w:eastAsia="仿宋_GB2312" w:cs="仿宋_GB2312"/>
          <w:i w:val="0"/>
          <w:caps w:val="0"/>
          <w:color w:val="333333"/>
          <w:spacing w:val="0"/>
          <w:sz w:val="32"/>
          <w:szCs w:val="32"/>
          <w:u w:val="none"/>
          <w:lang w:eastAsia="zh-CN"/>
        </w:rPr>
        <w:t>思想上高度重视，</w:t>
      </w:r>
      <w:r>
        <w:rPr>
          <w:rFonts w:hint="eastAsia" w:ascii="仿宋_GB2312" w:hAnsi="仿宋_GB2312" w:eastAsia="仿宋_GB2312" w:cs="仿宋_GB2312"/>
          <w:i w:val="0"/>
          <w:caps w:val="0"/>
          <w:color w:val="333333"/>
          <w:spacing w:val="0"/>
          <w:sz w:val="32"/>
          <w:szCs w:val="32"/>
          <w:u w:val="none"/>
          <w:lang w:val="en-US" w:eastAsia="zh-CN"/>
        </w:rPr>
        <w:t>对区政府电子政务办反馈的错敏词等问题，及时予以撤回、修改、删减，确保公开信息准确无误。增强责任意识，压实信息发布三级审核责任，严格把关拟文、定密、审核、发布等程序，重点排查政务公开网站的历史数据，建立长效的网站信息内容检查纠错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黑体" w:cs="黑体"/>
          <w:b w:val="0"/>
          <w:bCs/>
          <w:i w:val="0"/>
          <w:caps w:val="0"/>
          <w:color w:val="333333"/>
          <w:spacing w:val="0"/>
          <w:kern w:val="0"/>
          <w:sz w:val="32"/>
          <w:szCs w:val="32"/>
          <w:shd w:val="clear" w:fill="FFFFFF"/>
          <w:lang w:val="en-US" w:eastAsia="zh-CN" w:bidi="ar"/>
        </w:rPr>
      </w:pPr>
      <w:r>
        <w:rPr>
          <w:rFonts w:hint="eastAsia" w:ascii="Times New Roman" w:hAnsi="Times New Roman"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（一）依据《政府信息公开信息处理费管理办法》收取信息处理费的情况</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shd w:val="clear" w:color="auto" w:fill="FFFFFF"/>
        </w:rPr>
        <w:t>202</w:t>
      </w:r>
      <w:r>
        <w:rPr>
          <w:rFonts w:hint="eastAsia" w:ascii="Times New Roman" w:hAnsi="Times New Roman" w:eastAsia="仿宋_GB2312" w:cs="Times New Roman"/>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度</w:t>
      </w:r>
      <w:r>
        <w:rPr>
          <w:rFonts w:hint="eastAsia" w:ascii="仿宋_GB2312" w:hAnsi="仿宋_GB2312" w:eastAsia="仿宋_GB2312" w:cs="仿宋_GB2312"/>
          <w:sz w:val="32"/>
          <w:szCs w:val="32"/>
          <w:shd w:val="clear" w:color="auto" w:fill="FFFFFF"/>
        </w:rPr>
        <w:t>我局依申请公开政府信息数量为零，未收取任何费用。</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（二）本年度人大代表建议和政协提案办理情况</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shd w:val="clear" w:color="auto" w:fill="FFFFFF"/>
        </w:rPr>
        <w:t>202</w:t>
      </w:r>
      <w:r>
        <w:rPr>
          <w:rFonts w:hint="eastAsia" w:ascii="Times New Roman" w:hAnsi="Times New Roman" w:eastAsia="仿宋_GB2312" w:cs="Times New Roman"/>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年度我局收到区人大代表建议</w:t>
      </w:r>
      <w:r>
        <w:rPr>
          <w:rFonts w:hint="eastAsia" w:ascii="Times New Roman" w:hAnsi="Times New Roman" w:eastAsia="仿宋_GB2312" w:cs="Times New Roman"/>
          <w:sz w:val="32"/>
          <w:szCs w:val="32"/>
          <w:highlight w:val="none"/>
          <w:shd w:val="clear" w:color="auto" w:fill="FFFFFF"/>
          <w:lang w:val="en-US" w:eastAsia="zh-CN"/>
        </w:rPr>
        <w:t>2</w:t>
      </w:r>
      <w:r>
        <w:rPr>
          <w:rFonts w:hint="eastAsia" w:ascii="仿宋_GB2312" w:hAnsi="仿宋_GB2312" w:eastAsia="仿宋_GB2312" w:cs="仿宋_GB2312"/>
          <w:sz w:val="32"/>
          <w:szCs w:val="32"/>
          <w:shd w:val="clear" w:color="auto" w:fill="FFFFFF"/>
        </w:rPr>
        <w:t>件和区政协提案</w:t>
      </w:r>
      <w:r>
        <w:rPr>
          <w:rFonts w:hint="eastAsia" w:ascii="Times New Roman" w:hAnsi="Times New Roman" w:eastAsia="仿宋_GB2312" w:cs="Times New Roman"/>
          <w:sz w:val="32"/>
          <w:szCs w:val="32"/>
          <w:highlight w:val="none"/>
          <w:shd w:val="clear" w:color="auto" w:fill="FFFFFF"/>
          <w:lang w:val="en-US" w:eastAsia="zh-CN"/>
        </w:rPr>
        <w:t>14</w:t>
      </w:r>
      <w:r>
        <w:rPr>
          <w:rFonts w:hint="eastAsia" w:ascii="仿宋_GB2312" w:hAnsi="仿宋_GB2312" w:eastAsia="仿宋_GB2312" w:cs="仿宋_GB2312"/>
          <w:sz w:val="32"/>
          <w:szCs w:val="32"/>
          <w:shd w:val="clear" w:color="auto" w:fill="FFFFFF"/>
        </w:rPr>
        <w:t>件，均已</w:t>
      </w:r>
      <w:r>
        <w:rPr>
          <w:rFonts w:hint="eastAsia" w:ascii="仿宋_GB2312" w:hAnsi="仿宋_GB2312" w:eastAsia="仿宋_GB2312" w:cs="仿宋_GB2312"/>
          <w:sz w:val="32"/>
          <w:szCs w:val="32"/>
          <w:shd w:val="clear" w:color="auto" w:fill="FFFFFF"/>
          <w:lang w:val="en-US" w:eastAsia="zh-CN"/>
        </w:rPr>
        <w:t>办理完毕</w:t>
      </w:r>
      <w:r>
        <w:rPr>
          <w:rFonts w:hint="eastAsia" w:ascii="仿宋_GB2312" w:hAnsi="仿宋_GB2312" w:eastAsia="仿宋_GB2312" w:cs="仿宋_GB2312"/>
          <w:sz w:val="32"/>
          <w:szCs w:val="32"/>
          <w:shd w:val="clear" w:color="auto" w:fill="FFFFFF"/>
        </w:rPr>
        <w:t>。其中，主办和分办的人大代表建议、政协委员提案共</w:t>
      </w:r>
      <w:r>
        <w:rPr>
          <w:rFonts w:hint="default" w:ascii="Times New Roman" w:hAnsi="Times New Roman" w:eastAsia="仿宋_GB2312" w:cs="Times New Roman"/>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件，均已在门户网站公开。建议提案内容涉及强化中心城区金融发展、推进普惠金融建设、加强金融信贷支持等多个方面。</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（三）本单位在政务公开制度、内容、形式和平台建设方面的创新实践情况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全区举办“庆七一、宣防非、护钱袋”防范非法集资书画比赛暨作品展活动，弘扬中华优秀传统文化，充分展示我区防非处非新成就、新气象及全区广大党员干部群众的才艺和的精神风貌，激发全民参与防非创作热情，取得良好社会效果。积极扩大宣传渠道，先后在山东新闻联播播出政银担、金融赋能产业园区、应急转贷等业务内容，以群众喜闻乐见的形式宣传金融政策知识，提高公众知晓度。</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（四）《2023年张店</w:t>
      </w:r>
      <w:bookmarkStart w:id="10" w:name="_GoBack"/>
      <w:bookmarkEnd w:id="10"/>
      <w:r>
        <w:rPr>
          <w:rFonts w:hint="eastAsia" w:ascii="Times New Roman" w:hAnsi="Times New Roman" w:eastAsia="仿宋_GB2312" w:cs="仿宋_GB2312"/>
          <w:b/>
          <w:bCs/>
          <w:sz w:val="32"/>
          <w:szCs w:val="32"/>
          <w:lang w:val="en-US" w:eastAsia="zh-CN"/>
        </w:rPr>
        <w:t>区政务公开工作方案》落实情况</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根据《</w:t>
      </w:r>
      <w:r>
        <w:rPr>
          <w:rFonts w:hint="default" w:ascii="Times New Roman" w:hAnsi="Times New Roman" w:eastAsia="仿宋_GB2312" w:cs="Times New Roman"/>
          <w:sz w:val="32"/>
          <w:szCs w:val="32"/>
          <w:shd w:val="clear" w:color="auto" w:fill="FFFFFF"/>
          <w:lang w:val="en-US" w:eastAsia="zh-CN"/>
        </w:rPr>
        <w:t>2023</w:t>
      </w:r>
      <w:r>
        <w:rPr>
          <w:rFonts w:hint="eastAsia" w:ascii="仿宋_GB2312" w:hAnsi="仿宋_GB2312" w:eastAsia="仿宋_GB2312" w:cs="仿宋_GB2312"/>
          <w:sz w:val="32"/>
          <w:szCs w:val="32"/>
          <w:shd w:val="clear" w:color="auto" w:fill="FFFFFF"/>
          <w:lang w:val="en-US" w:eastAsia="zh-CN"/>
        </w:rPr>
        <w:t>年张店区政务公开工作方案》要求，</w:t>
      </w:r>
      <w:r>
        <w:rPr>
          <w:rFonts w:hint="eastAsia" w:ascii="仿宋_GB2312" w:hAnsi="仿宋_GB2312" w:eastAsia="仿宋_GB2312" w:cs="仿宋_GB2312"/>
          <w:sz w:val="32"/>
          <w:szCs w:val="32"/>
          <w:shd w:val="clear" w:color="auto" w:fill="FFFFFF"/>
        </w:rPr>
        <w:t>认真抓好贯彻落实</w:t>
      </w:r>
      <w:r>
        <w:rPr>
          <w:rFonts w:hint="eastAsia" w:ascii="仿宋_GB2312" w:hAnsi="仿宋_GB2312" w:eastAsia="仿宋_GB2312" w:cs="仿宋_GB2312"/>
          <w:sz w:val="32"/>
          <w:szCs w:val="32"/>
          <w:shd w:val="clear" w:color="auto" w:fill="FFFFFF"/>
          <w:lang w:eastAsia="zh-CN"/>
        </w:rPr>
        <w:t>，明确公开责任，严格按照任务清单抓好政府信息公开日常工作，夯实常态化工作基础。加强</w:t>
      </w:r>
      <w:r>
        <w:rPr>
          <w:rFonts w:hint="eastAsia" w:ascii="仿宋_GB2312" w:hAnsi="仿宋_GB2312" w:eastAsia="仿宋_GB2312" w:cs="仿宋_GB2312"/>
          <w:sz w:val="32"/>
          <w:szCs w:val="32"/>
          <w:shd w:val="clear" w:color="auto" w:fill="FFFFFF"/>
          <w:lang w:val="en-US" w:eastAsia="zh-CN"/>
        </w:rPr>
        <w:t>单位</w:t>
      </w:r>
      <w:r>
        <w:rPr>
          <w:rFonts w:hint="eastAsia" w:ascii="仿宋_GB2312" w:hAnsi="仿宋_GB2312" w:eastAsia="仿宋_GB2312" w:cs="仿宋_GB2312"/>
          <w:sz w:val="32"/>
          <w:szCs w:val="32"/>
          <w:shd w:val="clear" w:color="auto" w:fill="FFFFFF"/>
          <w:lang w:eastAsia="zh-CN"/>
        </w:rPr>
        <w:t>内部老带新培训，加大人才交流和业务培训力度，进一步提高政务公开队伍的专业化水平。</w:t>
      </w:r>
      <w:r>
        <w:rPr>
          <w:rFonts w:hint="eastAsia" w:ascii="仿宋_GB2312" w:hAnsi="仿宋_GB2312" w:eastAsia="仿宋_GB2312" w:cs="仿宋_GB2312"/>
          <w:sz w:val="32"/>
          <w:szCs w:val="32"/>
          <w:shd w:val="clear" w:color="auto" w:fill="FFFFFF"/>
          <w:lang w:val="en-US" w:eastAsia="zh-CN"/>
        </w:rPr>
        <w:t>认真做好整改工作，</w:t>
      </w:r>
      <w:r>
        <w:rPr>
          <w:rFonts w:hint="eastAsia" w:ascii="仿宋_GB2312" w:hAnsi="仿宋_GB2312" w:eastAsia="仿宋_GB2312" w:cs="仿宋_GB2312"/>
          <w:sz w:val="32"/>
          <w:szCs w:val="32"/>
          <w:shd w:val="clear" w:color="auto" w:fill="FFFFFF"/>
          <w:lang w:eastAsia="zh-CN"/>
        </w:rPr>
        <w:t>对照查出、</w:t>
      </w:r>
      <w:r>
        <w:rPr>
          <w:rFonts w:hint="eastAsia" w:ascii="仿宋_GB2312" w:hAnsi="仿宋_GB2312" w:eastAsia="仿宋_GB2312" w:cs="仿宋_GB2312"/>
          <w:sz w:val="32"/>
          <w:szCs w:val="32"/>
          <w:shd w:val="clear" w:color="auto" w:fill="FFFFFF"/>
          <w:lang w:val="en-US" w:eastAsia="zh-CN"/>
        </w:rPr>
        <w:t>反馈</w:t>
      </w:r>
      <w:r>
        <w:rPr>
          <w:rFonts w:hint="eastAsia" w:ascii="仿宋_GB2312" w:hAnsi="仿宋_GB2312" w:eastAsia="仿宋_GB2312" w:cs="仿宋_GB2312"/>
          <w:sz w:val="32"/>
          <w:szCs w:val="32"/>
          <w:shd w:val="clear" w:color="auto" w:fill="FFFFFF"/>
          <w:lang w:eastAsia="zh-CN"/>
        </w:rPr>
        <w:t>问题举一反三，在规定时限完成</w:t>
      </w:r>
      <w:r>
        <w:rPr>
          <w:rFonts w:hint="eastAsia" w:ascii="仿宋_GB2312" w:hAnsi="仿宋_GB2312" w:eastAsia="仿宋_GB2312" w:cs="仿宋_GB2312"/>
          <w:sz w:val="32"/>
          <w:szCs w:val="32"/>
          <w:shd w:val="clear" w:color="auto" w:fill="FFFFFF"/>
          <w:lang w:val="en-US" w:eastAsia="zh-CN"/>
        </w:rPr>
        <w:t>整改。充分发挥职能优势，在部署安排业务工作的同时对相关公开事宜提出具体要求并督导落实，做到业务工作与政务公开同步推进。</w:t>
      </w:r>
    </w:p>
    <w:p>
      <w:pPr>
        <w:keepNext w:val="0"/>
        <w:keepLines w:val="0"/>
        <w:pageBreakBefore w:val="0"/>
        <w:widowControl w:val="0"/>
        <w:kinsoku/>
        <w:wordWrap w:val="0"/>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宋体"/>
          <w:i w:val="0"/>
          <w:caps w:val="0"/>
          <w:color w:val="000000" w:themeColor="text1"/>
          <w:spacing w:val="0"/>
          <w:kern w:val="2"/>
          <w:sz w:val="24"/>
          <w:szCs w:val="24"/>
          <w:shd w:val="clear" w:fill="FFFFFF"/>
          <w:lang w:val="en-US" w:eastAsia="zh-CN" w:bidi="ar-SA"/>
          <w14:textFill>
            <w14:solidFill>
              <w14:schemeClr w14:val="tx1"/>
            </w14:solidFill>
          </w14:textFill>
        </w:rPr>
      </w:pP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E3A9"/>
    <w:multiLevelType w:val="singleLevel"/>
    <w:tmpl w:val="65A5E3A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NzVjZTcyNDEyM2M5MmMyNWExOTUwMWYyYmY5MzAifQ=="/>
  </w:docVars>
  <w:rsids>
    <w:rsidRoot w:val="11AF18C8"/>
    <w:rsid w:val="004D51FF"/>
    <w:rsid w:val="01814B25"/>
    <w:rsid w:val="01FF0799"/>
    <w:rsid w:val="024F5FA6"/>
    <w:rsid w:val="03410513"/>
    <w:rsid w:val="03B121FD"/>
    <w:rsid w:val="045828EA"/>
    <w:rsid w:val="046D1146"/>
    <w:rsid w:val="04B207B2"/>
    <w:rsid w:val="054C457F"/>
    <w:rsid w:val="057371B3"/>
    <w:rsid w:val="05F023A3"/>
    <w:rsid w:val="06B806D2"/>
    <w:rsid w:val="06F95B6C"/>
    <w:rsid w:val="071C67B2"/>
    <w:rsid w:val="0791677B"/>
    <w:rsid w:val="07DD1B15"/>
    <w:rsid w:val="08A939B1"/>
    <w:rsid w:val="095528B0"/>
    <w:rsid w:val="0B2055CE"/>
    <w:rsid w:val="0B92682A"/>
    <w:rsid w:val="0BBA7D58"/>
    <w:rsid w:val="0C027943"/>
    <w:rsid w:val="0C2409AA"/>
    <w:rsid w:val="0D0B468B"/>
    <w:rsid w:val="0D186D2B"/>
    <w:rsid w:val="0D4D54AE"/>
    <w:rsid w:val="0D72249E"/>
    <w:rsid w:val="0E53071E"/>
    <w:rsid w:val="0E761404"/>
    <w:rsid w:val="0E802B9D"/>
    <w:rsid w:val="0F103B33"/>
    <w:rsid w:val="106474FB"/>
    <w:rsid w:val="106F2189"/>
    <w:rsid w:val="11AF18C8"/>
    <w:rsid w:val="121F613C"/>
    <w:rsid w:val="129E0CE0"/>
    <w:rsid w:val="13512CCA"/>
    <w:rsid w:val="13584AC0"/>
    <w:rsid w:val="141D2158"/>
    <w:rsid w:val="145D68F5"/>
    <w:rsid w:val="14A02B65"/>
    <w:rsid w:val="14A63720"/>
    <w:rsid w:val="168A2CC2"/>
    <w:rsid w:val="16D715AA"/>
    <w:rsid w:val="17443173"/>
    <w:rsid w:val="17637C56"/>
    <w:rsid w:val="193D66FF"/>
    <w:rsid w:val="1A513CC6"/>
    <w:rsid w:val="1A66590F"/>
    <w:rsid w:val="1A6A77C7"/>
    <w:rsid w:val="1B241E2F"/>
    <w:rsid w:val="1BE275AA"/>
    <w:rsid w:val="1E6C584D"/>
    <w:rsid w:val="1EAE2E98"/>
    <w:rsid w:val="1EEF9D2B"/>
    <w:rsid w:val="1EF567A3"/>
    <w:rsid w:val="1EFED2BC"/>
    <w:rsid w:val="1F16056B"/>
    <w:rsid w:val="1F6FA78F"/>
    <w:rsid w:val="1F97332B"/>
    <w:rsid w:val="1FFB391B"/>
    <w:rsid w:val="20327491"/>
    <w:rsid w:val="20FD4946"/>
    <w:rsid w:val="22662CE9"/>
    <w:rsid w:val="22BD111A"/>
    <w:rsid w:val="23260BEC"/>
    <w:rsid w:val="246E0220"/>
    <w:rsid w:val="24904417"/>
    <w:rsid w:val="2494031B"/>
    <w:rsid w:val="24CC0FBA"/>
    <w:rsid w:val="25315E0A"/>
    <w:rsid w:val="25440438"/>
    <w:rsid w:val="25830190"/>
    <w:rsid w:val="267A2F26"/>
    <w:rsid w:val="26B03010"/>
    <w:rsid w:val="276318D0"/>
    <w:rsid w:val="279753FA"/>
    <w:rsid w:val="28030E35"/>
    <w:rsid w:val="297FAC76"/>
    <w:rsid w:val="299025D1"/>
    <w:rsid w:val="299048DB"/>
    <w:rsid w:val="2A0E0B54"/>
    <w:rsid w:val="2A1B25A6"/>
    <w:rsid w:val="2B05425F"/>
    <w:rsid w:val="2C447CA0"/>
    <w:rsid w:val="2C7116ED"/>
    <w:rsid w:val="2C844B24"/>
    <w:rsid w:val="2DA7DE71"/>
    <w:rsid w:val="2DF97147"/>
    <w:rsid w:val="2E067B05"/>
    <w:rsid w:val="2E1A2C48"/>
    <w:rsid w:val="2E80258B"/>
    <w:rsid w:val="2F6F1AFF"/>
    <w:rsid w:val="2FAD00FC"/>
    <w:rsid w:val="2FD1CCE0"/>
    <w:rsid w:val="2FFFE3B9"/>
    <w:rsid w:val="306E6D5C"/>
    <w:rsid w:val="30B958B7"/>
    <w:rsid w:val="31BF79E3"/>
    <w:rsid w:val="321E7E8D"/>
    <w:rsid w:val="322D528A"/>
    <w:rsid w:val="325C30C7"/>
    <w:rsid w:val="326B200A"/>
    <w:rsid w:val="32AB0965"/>
    <w:rsid w:val="331476EA"/>
    <w:rsid w:val="3365779C"/>
    <w:rsid w:val="33BC3ED6"/>
    <w:rsid w:val="33EC201B"/>
    <w:rsid w:val="33FFB2B4"/>
    <w:rsid w:val="33FFC301"/>
    <w:rsid w:val="34210F88"/>
    <w:rsid w:val="3567E435"/>
    <w:rsid w:val="36E3676B"/>
    <w:rsid w:val="37699AAC"/>
    <w:rsid w:val="37942ACE"/>
    <w:rsid w:val="37F7E421"/>
    <w:rsid w:val="38305B8A"/>
    <w:rsid w:val="387317DA"/>
    <w:rsid w:val="39FF13E5"/>
    <w:rsid w:val="3A7451DB"/>
    <w:rsid w:val="3AF2D530"/>
    <w:rsid w:val="3B9E1E39"/>
    <w:rsid w:val="3BBB6E46"/>
    <w:rsid w:val="3C264BBE"/>
    <w:rsid w:val="3C7E7E4E"/>
    <w:rsid w:val="3CDA747A"/>
    <w:rsid w:val="3CFE1A05"/>
    <w:rsid w:val="3DCE1F01"/>
    <w:rsid w:val="3DEE7C01"/>
    <w:rsid w:val="3E3728CB"/>
    <w:rsid w:val="3E4B10AA"/>
    <w:rsid w:val="3E5A149D"/>
    <w:rsid w:val="3EF6348E"/>
    <w:rsid w:val="3EFB61AD"/>
    <w:rsid w:val="3F37CDAB"/>
    <w:rsid w:val="3F573814"/>
    <w:rsid w:val="3F787C2F"/>
    <w:rsid w:val="3F7FE9C5"/>
    <w:rsid w:val="3F9FBD48"/>
    <w:rsid w:val="3FAF0AAB"/>
    <w:rsid w:val="3FAF747C"/>
    <w:rsid w:val="3FBF62C6"/>
    <w:rsid w:val="3FDFF999"/>
    <w:rsid w:val="3FFB0DE4"/>
    <w:rsid w:val="3FFF26B4"/>
    <w:rsid w:val="401A3EAF"/>
    <w:rsid w:val="42D3B604"/>
    <w:rsid w:val="436A3FC2"/>
    <w:rsid w:val="43AF2BAD"/>
    <w:rsid w:val="43D03586"/>
    <w:rsid w:val="43FB5839"/>
    <w:rsid w:val="442056B2"/>
    <w:rsid w:val="44D440C9"/>
    <w:rsid w:val="44F322D8"/>
    <w:rsid w:val="4522548B"/>
    <w:rsid w:val="45700C1F"/>
    <w:rsid w:val="45B8163A"/>
    <w:rsid w:val="46232568"/>
    <w:rsid w:val="47257C87"/>
    <w:rsid w:val="47537779"/>
    <w:rsid w:val="47FD0F98"/>
    <w:rsid w:val="486E0108"/>
    <w:rsid w:val="48FF5436"/>
    <w:rsid w:val="49B74824"/>
    <w:rsid w:val="49E037B7"/>
    <w:rsid w:val="4AFC1DF6"/>
    <w:rsid w:val="4B061B3A"/>
    <w:rsid w:val="4B882883"/>
    <w:rsid w:val="4B9FE3C2"/>
    <w:rsid w:val="4BC9F5B5"/>
    <w:rsid w:val="4BF84C7B"/>
    <w:rsid w:val="4C1C28F5"/>
    <w:rsid w:val="4C306094"/>
    <w:rsid w:val="4DA65075"/>
    <w:rsid w:val="4DD511A2"/>
    <w:rsid w:val="4DEDA4D5"/>
    <w:rsid w:val="4EDA594B"/>
    <w:rsid w:val="4F5234A7"/>
    <w:rsid w:val="4FDFB8AE"/>
    <w:rsid w:val="4FEFE2F2"/>
    <w:rsid w:val="4FFBBC6E"/>
    <w:rsid w:val="503C1593"/>
    <w:rsid w:val="505A6BF8"/>
    <w:rsid w:val="506F30FD"/>
    <w:rsid w:val="50C457EF"/>
    <w:rsid w:val="51F45C62"/>
    <w:rsid w:val="52757799"/>
    <w:rsid w:val="527B3E7F"/>
    <w:rsid w:val="539B5E18"/>
    <w:rsid w:val="53DB0AE9"/>
    <w:rsid w:val="548166EB"/>
    <w:rsid w:val="54BF1631"/>
    <w:rsid w:val="54FBE57F"/>
    <w:rsid w:val="55BDBFC2"/>
    <w:rsid w:val="5612582D"/>
    <w:rsid w:val="5666634F"/>
    <w:rsid w:val="567444B5"/>
    <w:rsid w:val="56A26A26"/>
    <w:rsid w:val="56ED6FD4"/>
    <w:rsid w:val="571F0D0D"/>
    <w:rsid w:val="572F195C"/>
    <w:rsid w:val="57478A97"/>
    <w:rsid w:val="57670F9D"/>
    <w:rsid w:val="57AB6C62"/>
    <w:rsid w:val="57B65FF5"/>
    <w:rsid w:val="57D7056B"/>
    <w:rsid w:val="58D5353D"/>
    <w:rsid w:val="58E33510"/>
    <w:rsid w:val="594E29F8"/>
    <w:rsid w:val="598A09CA"/>
    <w:rsid w:val="59DFD1AD"/>
    <w:rsid w:val="59FC080A"/>
    <w:rsid w:val="59FDCAFB"/>
    <w:rsid w:val="59FDDC8B"/>
    <w:rsid w:val="5A0F1E9F"/>
    <w:rsid w:val="5A767743"/>
    <w:rsid w:val="5A867D7B"/>
    <w:rsid w:val="5ABF35A0"/>
    <w:rsid w:val="5ABF657F"/>
    <w:rsid w:val="5AF7DF0E"/>
    <w:rsid w:val="5B005978"/>
    <w:rsid w:val="5B4C2789"/>
    <w:rsid w:val="5B934D58"/>
    <w:rsid w:val="5BFFFB06"/>
    <w:rsid w:val="5C700BBF"/>
    <w:rsid w:val="5DC739D1"/>
    <w:rsid w:val="5DEF33E6"/>
    <w:rsid w:val="5DFDAE03"/>
    <w:rsid w:val="5E9D7553"/>
    <w:rsid w:val="5EC2486D"/>
    <w:rsid w:val="5EFF46B3"/>
    <w:rsid w:val="5F4F50E3"/>
    <w:rsid w:val="5F586D45"/>
    <w:rsid w:val="5F6A595A"/>
    <w:rsid w:val="5F7D608F"/>
    <w:rsid w:val="5FAF2704"/>
    <w:rsid w:val="5FCF4F74"/>
    <w:rsid w:val="5FFC97AA"/>
    <w:rsid w:val="5FFE7671"/>
    <w:rsid w:val="607F79C4"/>
    <w:rsid w:val="60BF7150"/>
    <w:rsid w:val="60DC5496"/>
    <w:rsid w:val="60F622F8"/>
    <w:rsid w:val="61247EB8"/>
    <w:rsid w:val="63873EB0"/>
    <w:rsid w:val="63A80334"/>
    <w:rsid w:val="640A5F1B"/>
    <w:rsid w:val="645F063B"/>
    <w:rsid w:val="64CF535F"/>
    <w:rsid w:val="65ECF1BF"/>
    <w:rsid w:val="663FF422"/>
    <w:rsid w:val="66840834"/>
    <w:rsid w:val="6698303C"/>
    <w:rsid w:val="66A321B4"/>
    <w:rsid w:val="676547E9"/>
    <w:rsid w:val="679E5140"/>
    <w:rsid w:val="67B34F58"/>
    <w:rsid w:val="67BA5745"/>
    <w:rsid w:val="67D11A75"/>
    <w:rsid w:val="67E43B26"/>
    <w:rsid w:val="694832B2"/>
    <w:rsid w:val="697E7356"/>
    <w:rsid w:val="69AC2D05"/>
    <w:rsid w:val="69FDEC77"/>
    <w:rsid w:val="6A2E04EB"/>
    <w:rsid w:val="6A4D6BA7"/>
    <w:rsid w:val="6B161DF0"/>
    <w:rsid w:val="6B180B89"/>
    <w:rsid w:val="6B2DDFAE"/>
    <w:rsid w:val="6B887A32"/>
    <w:rsid w:val="6BEF68BF"/>
    <w:rsid w:val="6CCA108B"/>
    <w:rsid w:val="6DD37989"/>
    <w:rsid w:val="6DFF5019"/>
    <w:rsid w:val="6E5E1B28"/>
    <w:rsid w:val="6E7F27CE"/>
    <w:rsid w:val="6FAC3CC5"/>
    <w:rsid w:val="6FFA3357"/>
    <w:rsid w:val="71326C80"/>
    <w:rsid w:val="71741F07"/>
    <w:rsid w:val="71FA2B8B"/>
    <w:rsid w:val="72436BCD"/>
    <w:rsid w:val="72524DC3"/>
    <w:rsid w:val="72643153"/>
    <w:rsid w:val="72B57226"/>
    <w:rsid w:val="74315C13"/>
    <w:rsid w:val="7458629F"/>
    <w:rsid w:val="74857AD2"/>
    <w:rsid w:val="74CBDF4F"/>
    <w:rsid w:val="74DC48C7"/>
    <w:rsid w:val="74F74E86"/>
    <w:rsid w:val="75552234"/>
    <w:rsid w:val="75B7D147"/>
    <w:rsid w:val="75EF4115"/>
    <w:rsid w:val="75FF6493"/>
    <w:rsid w:val="762C21C9"/>
    <w:rsid w:val="76DA206B"/>
    <w:rsid w:val="77181135"/>
    <w:rsid w:val="7783011D"/>
    <w:rsid w:val="77A378E5"/>
    <w:rsid w:val="77AFA716"/>
    <w:rsid w:val="77D0B492"/>
    <w:rsid w:val="77DDA94D"/>
    <w:rsid w:val="77F788A5"/>
    <w:rsid w:val="77FB2453"/>
    <w:rsid w:val="77FF16EB"/>
    <w:rsid w:val="786E09E0"/>
    <w:rsid w:val="79A956DF"/>
    <w:rsid w:val="79F145A3"/>
    <w:rsid w:val="79F7DD72"/>
    <w:rsid w:val="7A5836DF"/>
    <w:rsid w:val="7A5F3BC1"/>
    <w:rsid w:val="7A7F5900"/>
    <w:rsid w:val="7AFE553D"/>
    <w:rsid w:val="7AFF3652"/>
    <w:rsid w:val="7BBE7574"/>
    <w:rsid w:val="7BF565BA"/>
    <w:rsid w:val="7CBC5116"/>
    <w:rsid w:val="7DB1BF67"/>
    <w:rsid w:val="7DEF83EB"/>
    <w:rsid w:val="7DFE5BF9"/>
    <w:rsid w:val="7DFFFB21"/>
    <w:rsid w:val="7E056E2A"/>
    <w:rsid w:val="7E2F1AA9"/>
    <w:rsid w:val="7EDFCB2D"/>
    <w:rsid w:val="7F1FD345"/>
    <w:rsid w:val="7F4F628D"/>
    <w:rsid w:val="7F51DC5A"/>
    <w:rsid w:val="7F7D9FD8"/>
    <w:rsid w:val="7F7DB70C"/>
    <w:rsid w:val="7F7F00C0"/>
    <w:rsid w:val="7F9B2DB8"/>
    <w:rsid w:val="7FAE99D6"/>
    <w:rsid w:val="7FAF0AA5"/>
    <w:rsid w:val="7FAFEE82"/>
    <w:rsid w:val="7FD52939"/>
    <w:rsid w:val="7FD601A3"/>
    <w:rsid w:val="7FD87D83"/>
    <w:rsid w:val="7FE136D8"/>
    <w:rsid w:val="7FE33C58"/>
    <w:rsid w:val="7FEA594E"/>
    <w:rsid w:val="7FEB027D"/>
    <w:rsid w:val="7FEEB283"/>
    <w:rsid w:val="7FF3C5F5"/>
    <w:rsid w:val="7FF687BD"/>
    <w:rsid w:val="7FFB7FD5"/>
    <w:rsid w:val="7FFF5995"/>
    <w:rsid w:val="7FFF5F2A"/>
    <w:rsid w:val="8CE3C832"/>
    <w:rsid w:val="937FF006"/>
    <w:rsid w:val="9BED0BAC"/>
    <w:rsid w:val="9BFA0E74"/>
    <w:rsid w:val="9BFFF7EF"/>
    <w:rsid w:val="9EF5BCA0"/>
    <w:rsid w:val="9F7FF7AB"/>
    <w:rsid w:val="9F9F6465"/>
    <w:rsid w:val="A6EC7140"/>
    <w:rsid w:val="B06F583F"/>
    <w:rsid w:val="B1FF84B5"/>
    <w:rsid w:val="B4FD23C0"/>
    <w:rsid w:val="B7531CC1"/>
    <w:rsid w:val="B7BDA605"/>
    <w:rsid w:val="B7E713BB"/>
    <w:rsid w:val="B7FD55C5"/>
    <w:rsid w:val="B9D665D3"/>
    <w:rsid w:val="BA1AFE2A"/>
    <w:rsid w:val="BADFBF21"/>
    <w:rsid w:val="BB9F4788"/>
    <w:rsid w:val="BBB72A76"/>
    <w:rsid w:val="BBF6167E"/>
    <w:rsid w:val="BC773C7A"/>
    <w:rsid w:val="BCCA878B"/>
    <w:rsid w:val="BD17DCC4"/>
    <w:rsid w:val="BE1A4601"/>
    <w:rsid w:val="BEFB5364"/>
    <w:rsid w:val="BF3F4EDD"/>
    <w:rsid w:val="BF9CA563"/>
    <w:rsid w:val="BFA4314D"/>
    <w:rsid w:val="BFCDB3D4"/>
    <w:rsid w:val="BFCE6BBB"/>
    <w:rsid w:val="BFCFD74B"/>
    <w:rsid w:val="BFD9F1B6"/>
    <w:rsid w:val="BFFB7E30"/>
    <w:rsid w:val="BFFF1E60"/>
    <w:rsid w:val="BFFF632F"/>
    <w:rsid w:val="BFFF6FDD"/>
    <w:rsid w:val="CBFFD682"/>
    <w:rsid w:val="CE7E936C"/>
    <w:rsid w:val="CFEE1893"/>
    <w:rsid w:val="CFEF45BC"/>
    <w:rsid w:val="D169A40B"/>
    <w:rsid w:val="D3F79759"/>
    <w:rsid w:val="D4FA0C26"/>
    <w:rsid w:val="D749D24F"/>
    <w:rsid w:val="D7B9167B"/>
    <w:rsid w:val="DAEFFD6D"/>
    <w:rsid w:val="DB7F579F"/>
    <w:rsid w:val="DBE9D810"/>
    <w:rsid w:val="DBF81840"/>
    <w:rsid w:val="DBFFB4A6"/>
    <w:rsid w:val="DDE6AEB6"/>
    <w:rsid w:val="DDE7507C"/>
    <w:rsid w:val="DDF61B0D"/>
    <w:rsid w:val="DE2FBA7D"/>
    <w:rsid w:val="DE7FF687"/>
    <w:rsid w:val="DEDFFAA1"/>
    <w:rsid w:val="DF7F1EB8"/>
    <w:rsid w:val="DF7FDB36"/>
    <w:rsid w:val="DF9EBCDA"/>
    <w:rsid w:val="DFA799CC"/>
    <w:rsid w:val="DFBF65D5"/>
    <w:rsid w:val="DFDA111C"/>
    <w:rsid w:val="DFFEBADC"/>
    <w:rsid w:val="DFFFF1D6"/>
    <w:rsid w:val="EB739338"/>
    <w:rsid w:val="EBCB7DBE"/>
    <w:rsid w:val="ED5FDAB5"/>
    <w:rsid w:val="EDD9EA72"/>
    <w:rsid w:val="EEB55AE4"/>
    <w:rsid w:val="EEB7ADF7"/>
    <w:rsid w:val="EEFF5DC1"/>
    <w:rsid w:val="EF6517DA"/>
    <w:rsid w:val="EF779708"/>
    <w:rsid w:val="EF7B8356"/>
    <w:rsid w:val="F1BF809A"/>
    <w:rsid w:val="F3DF1E36"/>
    <w:rsid w:val="F3FB2AF5"/>
    <w:rsid w:val="F3FD79C6"/>
    <w:rsid w:val="F57FE209"/>
    <w:rsid w:val="F6FFA011"/>
    <w:rsid w:val="F77EF1DF"/>
    <w:rsid w:val="F7BF29DD"/>
    <w:rsid w:val="F7C6E28F"/>
    <w:rsid w:val="F7DF3BA0"/>
    <w:rsid w:val="F7F38E38"/>
    <w:rsid w:val="F83DEEAF"/>
    <w:rsid w:val="F8B3BE0D"/>
    <w:rsid w:val="F8BD1FB4"/>
    <w:rsid w:val="F8FF8C9A"/>
    <w:rsid w:val="F9D74DC4"/>
    <w:rsid w:val="FADFE440"/>
    <w:rsid w:val="FAF6D81D"/>
    <w:rsid w:val="FB763391"/>
    <w:rsid w:val="FB9E5F7D"/>
    <w:rsid w:val="FBBB334B"/>
    <w:rsid w:val="FBEFE45A"/>
    <w:rsid w:val="FBF3E1DF"/>
    <w:rsid w:val="FCEAC882"/>
    <w:rsid w:val="FCFB72AD"/>
    <w:rsid w:val="FD7D6D59"/>
    <w:rsid w:val="FDA37375"/>
    <w:rsid w:val="FDB5CE77"/>
    <w:rsid w:val="FDF36F88"/>
    <w:rsid w:val="FED7CB58"/>
    <w:rsid w:val="FEEF09AD"/>
    <w:rsid w:val="FEF2E319"/>
    <w:rsid w:val="FEF65CBA"/>
    <w:rsid w:val="FEF796C4"/>
    <w:rsid w:val="FEFD2F8A"/>
    <w:rsid w:val="FF5F1BC6"/>
    <w:rsid w:val="FF740761"/>
    <w:rsid w:val="FF7F4FCA"/>
    <w:rsid w:val="FF976806"/>
    <w:rsid w:val="FFB6A4CE"/>
    <w:rsid w:val="FFBFB1B6"/>
    <w:rsid w:val="FFC6A744"/>
    <w:rsid w:val="FFDA0F91"/>
    <w:rsid w:val="FFEFBE9D"/>
    <w:rsid w:val="FFF77BB1"/>
    <w:rsid w:val="FFF7A4C2"/>
    <w:rsid w:val="FFFB156F"/>
    <w:rsid w:val="FFFF30E5"/>
    <w:rsid w:val="FFFF6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spacing w:after="120" w:line="480" w:lineRule="auto"/>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latin typeface="仿宋_GB2312" panose="02010609030101010101" charset="-122"/>
                <a:ea typeface="仿宋_GB2312" panose="02010609030101010101" charset="-122"/>
              </a:rPr>
              <a:t>政府信息公开数量</a:t>
            </a:r>
            <a:endParaRPr sz="1600" b="1">
              <a:latin typeface="仿宋_GB2312" panose="02010609030101010101" charset="-122"/>
              <a:ea typeface="仿宋_GB2312" panose="02010609030101010101" charset="-122"/>
            </a:endParaRPr>
          </a:p>
        </c:rich>
      </c:tx>
      <c:layout/>
      <c:overlay val="0"/>
      <c:spPr>
        <a:noFill/>
        <a:ln>
          <a:noFill/>
        </a:ln>
        <a:effectLst/>
      </c:spPr>
    </c:title>
    <c:autoTitleDeleted val="0"/>
    <c:plotArea>
      <c:layout>
        <c:manualLayout>
          <c:layoutTarget val="inner"/>
          <c:xMode val="edge"/>
          <c:yMode val="edge"/>
          <c:x val="0.091075"/>
          <c:y val="0.136166666666667"/>
          <c:w val="0.905175"/>
          <c:h val="0.7924"/>
        </c:manualLayout>
      </c:layout>
      <c:barChart>
        <c:barDir val="col"/>
        <c:grouping val="clustered"/>
        <c:varyColors val="0"/>
        <c:ser>
          <c:idx val="0"/>
          <c:order val="0"/>
          <c:tx>
            <c:strRef>
              <c:f>Sheet1!$B$1</c:f>
              <c:strCache>
                <c:ptCount val="1"/>
                <c:pt idx="0">
                  <c:v>政府信息公开数量</c:v>
                </c:pt>
              </c:strCache>
            </c:strRef>
          </c:tx>
          <c:spPr>
            <a:solidFill>
              <a:schemeClr val="accent1"/>
            </a:solidFill>
            <a:ln>
              <a:noFill/>
            </a:ln>
            <a:effectLst/>
          </c:spPr>
          <c:invertIfNegative val="0"/>
          <c:dPt>
            <c:idx val="0"/>
            <c:invertIfNegative val="0"/>
            <c:bubble3D val="0"/>
            <c:spPr>
              <a:solidFill>
                <a:schemeClr val="accent1"/>
              </a:solidFill>
              <a:ln>
                <a:noFill/>
              </a:ln>
              <a:effectLst/>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60</c:v>
                </c:pt>
                <c:pt idx="1">
                  <c:v>109</c:v>
                </c:pt>
                <c:pt idx="2">
                  <c:v>74</c:v>
                </c:pt>
                <c:pt idx="3">
                  <c:v>84</c:v>
                </c:pt>
                <c:pt idx="4">
                  <c:v>93</c:v>
                </c:pt>
              </c:numCache>
            </c:numRef>
          </c:val>
        </c:ser>
        <c:dLbls>
          <c:showLegendKey val="0"/>
          <c:showVal val="0"/>
          <c:showCatName val="0"/>
          <c:showSerName val="0"/>
          <c:showPercent val="0"/>
          <c:showBubbleSize val="0"/>
        </c:dLbls>
        <c:gapWidth val="219"/>
        <c:overlap val="-27"/>
        <c:axId val="728423427"/>
        <c:axId val="494128185"/>
      </c:barChart>
      <c:catAx>
        <c:axId val="7284234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128185"/>
        <c:crosses val="autoZero"/>
        <c:auto val="1"/>
        <c:lblAlgn val="ctr"/>
        <c:lblOffset val="100"/>
        <c:noMultiLvlLbl val="0"/>
      </c:catAx>
      <c:valAx>
        <c:axId val="4941281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84234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2023-01-21T07:45:00Z</dcterms:created>
  <dc:creator>诗人与熊</dc:creator>
  <cp:lastModifiedBy>Administrator</cp:lastModifiedBy>
  <cp:lastPrinted>2024-01-04T10:34:00Z</cp:lastPrinted>
  <dcterms:modified xsi:type="dcterms:W3CDTF">2024-01-16T08:09:06Z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AA997AA0745C4772A4196D817533ED9B</vt:lpwstr>
  </property>
</Properties>
</file>