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D12" w:rsidRPr="00A46823" w:rsidRDefault="00366D12" w:rsidP="00366D12">
      <w:pPr>
        <w:spacing w:line="580" w:lineRule="exact"/>
        <w:rPr>
          <w:rFonts w:ascii="宋体" w:hAnsi="宋体" w:cs="仿宋_GB2312"/>
          <w:sz w:val="30"/>
          <w:szCs w:val="30"/>
        </w:rPr>
      </w:pPr>
    </w:p>
    <w:p w:rsidR="00366D12" w:rsidRPr="00366D12" w:rsidRDefault="00366D12" w:rsidP="00366D12">
      <w:pPr>
        <w:spacing w:line="580" w:lineRule="exact"/>
        <w:rPr>
          <w:rFonts w:ascii="宋体" w:hAnsi="宋体" w:cs="仿宋_GB2312"/>
          <w:sz w:val="30"/>
          <w:szCs w:val="30"/>
        </w:rPr>
      </w:pPr>
    </w:p>
    <w:p w:rsidR="00366D12" w:rsidRDefault="00366D12" w:rsidP="00366D12">
      <w:pPr>
        <w:spacing w:line="58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366D12" w:rsidRDefault="00366D12" w:rsidP="00366D12">
      <w:pPr>
        <w:spacing w:line="58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366D12" w:rsidRDefault="00366D12" w:rsidP="00366D12">
      <w:pPr>
        <w:spacing w:line="580" w:lineRule="exact"/>
        <w:rPr>
          <w:rFonts w:ascii="楷体_GB2312" w:eastAsia="楷体_GB2312" w:hAnsi="仿宋_GB2312"/>
          <w:sz w:val="32"/>
        </w:rPr>
      </w:pPr>
    </w:p>
    <w:p w:rsidR="00366D12" w:rsidRDefault="00366D12" w:rsidP="00366D12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张车政发</w:t>
      </w:r>
      <w:r w:rsidRPr="00EA1036">
        <w:rPr>
          <w:rFonts w:ascii="楷体_GB2312" w:eastAsia="楷体_GB2312" w:hAnsi="宋体" w:hint="eastAsia"/>
          <w:sz w:val="32"/>
          <w:szCs w:val="32"/>
        </w:rPr>
        <w:t>〔20</w:t>
      </w:r>
      <w:r>
        <w:rPr>
          <w:rFonts w:ascii="楷体_GB2312" w:eastAsia="楷体_GB2312" w:hAnsi="宋体" w:hint="eastAsia"/>
          <w:sz w:val="32"/>
          <w:szCs w:val="32"/>
        </w:rPr>
        <w:t>20</w:t>
      </w:r>
      <w:r w:rsidRPr="00EA1036">
        <w:rPr>
          <w:rFonts w:ascii="楷体_GB2312" w:eastAsia="楷体_GB2312" w:hAnsi="宋体" w:hint="eastAsia"/>
          <w:sz w:val="32"/>
          <w:szCs w:val="32"/>
        </w:rPr>
        <w:t>〕</w:t>
      </w:r>
      <w:r>
        <w:rPr>
          <w:rFonts w:ascii="楷体_GB2312" w:eastAsia="楷体_GB2312" w:hAnsi="宋体" w:hint="eastAsia"/>
          <w:sz w:val="32"/>
          <w:szCs w:val="32"/>
        </w:rPr>
        <w:t>29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366D12" w:rsidRDefault="00366D12" w:rsidP="00366D12">
      <w:pPr>
        <w:spacing w:line="560" w:lineRule="exact"/>
        <w:jc w:val="center"/>
        <w:rPr>
          <w:sz w:val="32"/>
          <w:szCs w:val="32"/>
        </w:rPr>
      </w:pPr>
    </w:p>
    <w:p w:rsidR="00366D12" w:rsidRPr="00366D12" w:rsidRDefault="00366D12" w:rsidP="00366D12">
      <w:pPr>
        <w:spacing w:line="56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</w:p>
    <w:p w:rsidR="00F24C59" w:rsidRDefault="00A351B4">
      <w:pPr>
        <w:pStyle w:val="a3"/>
        <w:spacing w:line="56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车站街道</w:t>
      </w:r>
      <w:r w:rsidR="00F24C59">
        <w:rPr>
          <w:rFonts w:ascii="方正小标宋简体" w:eastAsia="方正小标宋简体" w:hAnsi="仿宋_GB2312" w:cs="仿宋_GB2312" w:hint="eastAsia"/>
          <w:sz w:val="44"/>
          <w:szCs w:val="44"/>
        </w:rPr>
        <w:t>办事处</w:t>
      </w:r>
    </w:p>
    <w:p w:rsidR="000E6BAA" w:rsidRDefault="00A351B4">
      <w:pPr>
        <w:pStyle w:val="a3"/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创建“无非法集资社区（村居）”</w:t>
      </w:r>
    </w:p>
    <w:p w:rsidR="000E6BAA" w:rsidRDefault="00A351B4">
      <w:pPr>
        <w:pStyle w:val="a3"/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工作实施方案</w:t>
      </w:r>
    </w:p>
    <w:p w:rsidR="000E6BAA" w:rsidRDefault="000E6BAA">
      <w:pPr>
        <w:spacing w:line="560" w:lineRule="exact"/>
        <w:rPr>
          <w:rFonts w:ascii="仿宋_GB2312" w:eastAsia="仿宋_GB2312" w:hAnsi="仿宋_GB2312" w:cs="仿宋_GB2312"/>
        </w:rPr>
      </w:pPr>
    </w:p>
    <w:p w:rsidR="000E6BAA" w:rsidRDefault="00A351B4" w:rsidP="00366D12">
      <w:pPr>
        <w:pStyle w:val="a6"/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各社区居委会、各有关单位：</w:t>
      </w:r>
    </w:p>
    <w:p w:rsidR="000E6BAA" w:rsidRDefault="00A351B4" w:rsidP="00366D1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做好打击和处置非法集资工作，建立和完善打击非法集资工作的长效机制，有效遏制非法集资活动的蔓延，防止非法集资活动死灰复燃，按照“坚持打防并举、强化源头防控”的工作思路，结合实际，决定在全办开展无非法集资社区（村居）创建工作，特制定本实施方案：</w:t>
      </w:r>
    </w:p>
    <w:p w:rsidR="000E6BAA" w:rsidRDefault="00A351B4" w:rsidP="00366D12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一、总体要求</w:t>
      </w:r>
    </w:p>
    <w:p w:rsidR="000E6BAA" w:rsidRDefault="00A351B4" w:rsidP="00366D1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深入贯彻中央、省、市、区打好防范化解金融风险攻坚战工作部署要求，进一步推进防范和处置非法集资长效机制的建设，构建“党委政府领导、部门指导协调、各方联合行动、公众共同参与”的工作格局，加大打击整治力度，夯实基层基础，强化源头治理，依法严厉打击和有效防范非法集资违法犯罪，切实维护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人民群众根本利益，促进社会和谐稳定。</w:t>
      </w:r>
    </w:p>
    <w:p w:rsidR="000E6BAA" w:rsidRPr="00366D12" w:rsidRDefault="00A351B4" w:rsidP="00366D12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366D12">
        <w:rPr>
          <w:rFonts w:ascii="黑体" w:eastAsia="黑体" w:hAnsi="黑体" w:cs="黑体" w:hint="eastAsia"/>
          <w:sz w:val="32"/>
          <w:szCs w:val="32"/>
        </w:rPr>
        <w:t>二、工作原则</w:t>
      </w:r>
    </w:p>
    <w:p w:rsidR="000E6BAA" w:rsidRDefault="00A351B4" w:rsidP="00366D1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66D12">
        <w:rPr>
          <w:rFonts w:ascii="楷体_GB2312" w:eastAsia="楷体_GB2312" w:hAnsi="仿宋_GB2312" w:cs="仿宋_GB2312" w:hint="eastAsia"/>
          <w:sz w:val="32"/>
          <w:szCs w:val="32"/>
        </w:rPr>
        <w:t>（一）打防兼顾，示范引领。</w:t>
      </w:r>
      <w:r>
        <w:rPr>
          <w:rFonts w:ascii="仿宋_GB2312" w:eastAsia="仿宋_GB2312" w:hAnsi="仿宋_GB2312" w:cs="仿宋_GB2312" w:hint="eastAsia"/>
          <w:sz w:val="32"/>
          <w:szCs w:val="32"/>
        </w:rPr>
        <w:t>坚持抓源头、抓防范、抓整治，通过创建工作铲除非法集资的生存空间，提升挤压管控效能，做到早发现、早报告、早预警、早处置，从根本上防止非法集资活动蔓延。坚持建设一处引领一片，切实发挥示范带动作用，推动提升打防管控效能。</w:t>
      </w:r>
    </w:p>
    <w:p w:rsidR="000E6BAA" w:rsidRDefault="00A351B4" w:rsidP="00366D1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66D12">
        <w:rPr>
          <w:rFonts w:ascii="楷体_GB2312" w:eastAsia="楷体_GB2312" w:hAnsi="仿宋_GB2312" w:cs="仿宋_GB2312" w:hint="eastAsia"/>
          <w:sz w:val="32"/>
          <w:szCs w:val="32"/>
        </w:rPr>
        <w:t>（二）把握政策，协同推进。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建设工作要坚持以法律和法规为准绳，充分发挥各社区的主体作用，并以社区网格化治理为契机，发挥社区基本单元的综合治理作用，从源头抓起，向基础发力，做细做实防范工作，共同维护良好的金融秩序。</w:t>
      </w:r>
    </w:p>
    <w:p w:rsidR="000E6BAA" w:rsidRDefault="00A351B4" w:rsidP="00366D1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66D12">
        <w:rPr>
          <w:rFonts w:ascii="楷体_GB2312" w:eastAsia="楷体_GB2312" w:hAnsi="仿宋_GB2312" w:cs="仿宋_GB2312" w:hint="eastAsia"/>
          <w:sz w:val="32"/>
          <w:szCs w:val="32"/>
        </w:rPr>
        <w:t>（三）条块结合，属地管理。</w:t>
      </w:r>
      <w:r>
        <w:rPr>
          <w:rFonts w:ascii="仿宋_GB2312" w:eastAsia="仿宋_GB2312" w:hAnsi="仿宋_GB2312" w:cs="仿宋_GB2312" w:hint="eastAsia"/>
          <w:sz w:val="32"/>
          <w:szCs w:val="32"/>
        </w:rPr>
        <w:t>街道处非专班统一部署和推进，各村居根据统一部署，负责本辖区内建设工作。</w:t>
      </w:r>
    </w:p>
    <w:p w:rsidR="000E6BAA" w:rsidRDefault="00A351B4" w:rsidP="00366D1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66D12">
        <w:rPr>
          <w:rFonts w:ascii="楷体_GB2312" w:eastAsia="楷体_GB2312" w:hAnsi="仿宋_GB2312" w:cs="仿宋_GB2312" w:hint="eastAsia"/>
          <w:sz w:val="32"/>
          <w:szCs w:val="32"/>
        </w:rPr>
        <w:t>（四）积极妥善，维护稳定。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各村居应积极稳妥地处置非法集资活动，做好群体性事件的预防和处置工作，维护社会稳定。</w:t>
      </w:r>
    </w:p>
    <w:p w:rsidR="000E6BAA" w:rsidRPr="00366D12" w:rsidRDefault="00A351B4" w:rsidP="00366D12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366D12">
        <w:rPr>
          <w:rFonts w:ascii="黑体" w:eastAsia="黑体" w:hAnsi="黑体" w:cs="黑体" w:hint="eastAsia"/>
          <w:sz w:val="32"/>
          <w:szCs w:val="32"/>
        </w:rPr>
        <w:t>三、目标任务</w:t>
      </w:r>
    </w:p>
    <w:p w:rsidR="000E6BAA" w:rsidRDefault="00A351B4" w:rsidP="00366D1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通过开展创建工作，全力防范处置非法集资活动，最大限度遏制非法集资活动蔓延，市场经济秩序得到进一步规范，全办50%的社区要创建成功。</w:t>
      </w:r>
    </w:p>
    <w:p w:rsidR="000E6BAA" w:rsidRPr="00366D12" w:rsidRDefault="00A351B4" w:rsidP="00366D12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366D12">
        <w:rPr>
          <w:rFonts w:ascii="黑体" w:eastAsia="黑体" w:hAnsi="黑体" w:cs="黑体" w:hint="eastAsia"/>
          <w:sz w:val="32"/>
          <w:szCs w:val="32"/>
        </w:rPr>
        <w:t>四、建设标准</w:t>
      </w:r>
    </w:p>
    <w:p w:rsidR="000E6BAA" w:rsidRDefault="00A351B4" w:rsidP="00366D1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无非法集资社区（村居）”创建工作，总体上要落实好“十个一”工作，即：建立“一个打击非法集资组织”、开展“一系列宣传教育”、确定“一名联络员”、选聘“一批志愿者”、派发“一张联系卡”、发放“一封公开信”、签订“一批责任书”、建立“一系列登记台账”、设立“一个监测点”、形成“一套防控机制”。</w:t>
      </w:r>
    </w:p>
    <w:p w:rsidR="000E6BAA" w:rsidRDefault="00A351B4" w:rsidP="00366D1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“无非法集资社区（村居）”的总体要求是辖区内无非法集资机构、无非法集资场所。具体标准是：</w:t>
      </w:r>
    </w:p>
    <w:p w:rsidR="00366D12" w:rsidRDefault="00A351B4" w:rsidP="00366D12">
      <w:pPr>
        <w:pStyle w:val="a7"/>
        <w:numPr>
          <w:ilvl w:val="0"/>
          <w:numId w:val="3"/>
        </w:numPr>
        <w:spacing w:line="56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366D12">
        <w:rPr>
          <w:rFonts w:ascii="楷体_GB2312" w:eastAsia="楷体_GB2312" w:hAnsi="仿宋_GB2312" w:cs="仿宋_GB2312" w:hint="eastAsia"/>
          <w:sz w:val="32"/>
          <w:szCs w:val="32"/>
        </w:rPr>
        <w:t>监测预警体系完善。</w:t>
      </w:r>
      <w:r w:rsidRPr="00366D12">
        <w:rPr>
          <w:rFonts w:ascii="仿宋_GB2312" w:eastAsia="仿宋_GB2312" w:hAnsi="仿宋_GB2312" w:cs="仿宋_GB2312" w:hint="eastAsia"/>
          <w:sz w:val="32"/>
          <w:szCs w:val="32"/>
        </w:rPr>
        <w:t>充分发挥社区网格化治理和基</w:t>
      </w:r>
    </w:p>
    <w:p w:rsidR="000E6BAA" w:rsidRPr="00366D12" w:rsidRDefault="00A351B4" w:rsidP="00366D1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366D12">
        <w:rPr>
          <w:rFonts w:ascii="仿宋_GB2312" w:eastAsia="仿宋_GB2312" w:hAnsi="仿宋_GB2312" w:cs="仿宋_GB2312" w:hint="eastAsia"/>
          <w:sz w:val="32"/>
          <w:szCs w:val="32"/>
        </w:rPr>
        <w:t>层群众自治的经验和优势，将防范和处置非法集资工作纳入基层网格化治理范畴，依托《张店区非法集资案件举报奖励办法》。动员社会各方面力量广泛参与、群防群治。组织力量深入社区开展防范预警工作，加强对基层网格人员开展非法集资监测预警、宣传教育等技能培训，时刻关注辖区内参与非法集资的人员动向，及时发现非法集资线索，早介入、早处理，努力将非法集资风险隐患化解在基层。</w:t>
      </w:r>
    </w:p>
    <w:p w:rsidR="000E6BAA" w:rsidRDefault="00A351B4" w:rsidP="00366D1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Pr="00366D12">
        <w:rPr>
          <w:rFonts w:ascii="楷体_GB2312" w:eastAsia="楷体_GB2312" w:hAnsi="仿宋_GB2312" w:cs="仿宋_GB2312" w:hint="eastAsia"/>
          <w:sz w:val="32"/>
          <w:szCs w:val="32"/>
        </w:rPr>
        <w:t>（二）宣传教育活动到位。</w:t>
      </w:r>
      <w:r>
        <w:rPr>
          <w:rFonts w:ascii="仿宋_GB2312" w:eastAsia="仿宋_GB2312" w:hAnsi="仿宋_GB2312" w:cs="仿宋_GB2312" w:hint="eastAsia"/>
          <w:sz w:val="32"/>
          <w:szCs w:val="32"/>
        </w:rPr>
        <w:t>大力开产宣传教育工作，通过发放宣传单、张贴海报、悬挂横幅、典型案例等形式，有针对性地开展宣传工作，揭露非法集资违法性质和欺诈本质，帮助广大群众提高识别、防范、抵制非法集资的能力，动员广大群众都来发现、抵制、制止、举报非法集资违法活动，在辖区内营造防范非法集资、拒绝非法集资的浓厚范围，从源头上遏制非法集资活动。各社区要定期开展不同主题、种类的宣传教育活动，推动防范和处置非法集资工作进机关、进工厂、进学校、进家庭、进社区，贴近群众、贴近生活进行宣传教育；要充分发动社区基层组织作用，引导广大群众对非法集资不参与、能识别、敢揭发，切断非法集资在基层的传播链条。</w:t>
      </w:r>
    </w:p>
    <w:p w:rsidR="000E6BAA" w:rsidRDefault="00A351B4" w:rsidP="00366D12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366D12">
        <w:rPr>
          <w:rFonts w:ascii="楷体_GB2312" w:eastAsia="楷体_GB2312" w:hAnsi="仿宋_GB2312" w:cs="仿宋_GB2312" w:hint="eastAsia"/>
          <w:sz w:val="32"/>
          <w:szCs w:val="32"/>
        </w:rPr>
        <w:t>（三）基层防范工作扎实。</w:t>
      </w:r>
      <w:r>
        <w:rPr>
          <w:rFonts w:ascii="仿宋_GB2312" w:eastAsia="仿宋_GB2312" w:hAnsi="仿宋_GB2312" w:cs="仿宋_GB2312" w:hint="eastAsia"/>
          <w:sz w:val="32"/>
          <w:szCs w:val="32"/>
        </w:rPr>
        <w:t>在辖区内建立健全防范非法集资活动的情报信息网络，充分发动群众对非法集资活动进行举报，组织社区网格员、社区三级巡防队加强对辖区内非法集资活动监控，定期开展排查活动，发现异常情况迅速报告有关部门，为专项打击行动提供依据。加强重点领域管控，密切关注投资理财、P2P网络借贷等新的高发重点领域，以及投资工作、农业专业合作社、民办监狱机构、养老机构等新的风险点。</w:t>
      </w:r>
    </w:p>
    <w:p w:rsidR="000E6BAA" w:rsidRDefault="00A351B4" w:rsidP="00366D12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366D12">
        <w:rPr>
          <w:rFonts w:ascii="楷体_GB2312" w:eastAsia="楷体_GB2312" w:hAnsi="仿宋_GB2312" w:cs="仿宋_GB2312" w:hint="eastAsia"/>
          <w:sz w:val="32"/>
          <w:szCs w:val="32"/>
        </w:rPr>
        <w:t>（四）沟通协调配合有力。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完善举报投诉、日常监管、区域协作、应急处置等一系列制度，在相关部门开展取缔和打击非法集资活动、抓捕非法集资头目及骨干分子、安抚利益受损群众等相关工作时，发挥自身优势，积极主动做好配合工作。</w:t>
      </w:r>
    </w:p>
    <w:p w:rsidR="000E6BAA" w:rsidRPr="00366D12" w:rsidRDefault="00A351B4" w:rsidP="00366D12">
      <w:pPr>
        <w:spacing w:line="520" w:lineRule="exact"/>
        <w:ind w:firstLine="640"/>
        <w:rPr>
          <w:rFonts w:ascii="黑体" w:eastAsia="黑体" w:hAnsi="黑体" w:cs="黑体"/>
          <w:sz w:val="32"/>
          <w:szCs w:val="32"/>
        </w:rPr>
      </w:pPr>
      <w:r w:rsidRPr="00366D12">
        <w:rPr>
          <w:rFonts w:ascii="黑体" w:eastAsia="黑体" w:hAnsi="黑体" w:cs="黑体" w:hint="eastAsia"/>
          <w:sz w:val="32"/>
          <w:szCs w:val="32"/>
        </w:rPr>
        <w:t>五、工作要求</w:t>
      </w:r>
    </w:p>
    <w:p w:rsidR="000E6BAA" w:rsidRDefault="00A351B4" w:rsidP="00366D12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366D12">
        <w:rPr>
          <w:rFonts w:ascii="楷体_GB2312" w:eastAsia="楷体_GB2312" w:hAnsi="仿宋_GB2312" w:cs="仿宋_GB2312" w:hint="eastAsia"/>
          <w:sz w:val="32"/>
          <w:szCs w:val="32"/>
        </w:rPr>
        <w:t>（一）制定实施方案。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各村居要按照创建无非法集资社区（村居）工作要求，结合实际，认真制定具体方案和措施，有计划、有步骤地推动创建无非法集资社区（村居）工作深入开展。</w:t>
      </w:r>
    </w:p>
    <w:p w:rsidR="000E6BAA" w:rsidRDefault="00A351B4" w:rsidP="00366D12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366D12">
        <w:rPr>
          <w:rFonts w:ascii="楷体_GB2312" w:eastAsia="楷体_GB2312" w:hAnsi="仿宋_GB2312" w:cs="仿宋_GB2312" w:hint="eastAsia"/>
          <w:sz w:val="32"/>
          <w:szCs w:val="32"/>
        </w:rPr>
        <w:t>（二）明确职责分工。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各社区是打击非法集资和创建无非法集资社区（村居）的第一责任人。街道处非专班要做好评议监督和检查督导工作，确保创建工作取得实效。</w:t>
      </w:r>
    </w:p>
    <w:p w:rsidR="000E6BAA" w:rsidRDefault="00A351B4" w:rsidP="00366D12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366D12">
        <w:rPr>
          <w:rFonts w:ascii="楷体_GB2312" w:eastAsia="楷体_GB2312" w:hAnsi="仿宋_GB2312" w:cs="仿宋_GB2312" w:hint="eastAsia"/>
          <w:sz w:val="32"/>
          <w:szCs w:val="32"/>
        </w:rPr>
        <w:t>（三）狠抓责任落实。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各村居要紧紧围绕创建无非法集资社区（村居）目标要求，明确责任，层层抓落实，做到工作到位，责任到人。</w:t>
      </w:r>
    </w:p>
    <w:p w:rsidR="000E6BAA" w:rsidRDefault="00A351B4" w:rsidP="00366D12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366D12">
        <w:rPr>
          <w:rFonts w:ascii="楷体_GB2312" w:eastAsia="楷体_GB2312" w:hAnsi="仿宋_GB2312" w:cs="仿宋_GB2312" w:hint="eastAsia"/>
          <w:sz w:val="32"/>
          <w:szCs w:val="32"/>
        </w:rPr>
        <w:t>（四）加强信息反馈。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各社区要在工作中不断探索和总结创建无非法集资社区（村居）工作的精要，定期向街道处非办报告创建活动开展情况。</w:t>
      </w:r>
    </w:p>
    <w:p w:rsidR="000E6BAA" w:rsidRDefault="000E6BAA" w:rsidP="00366D12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66D12" w:rsidRDefault="00366D12">
      <w:pPr>
        <w:spacing w:line="560" w:lineRule="exact"/>
        <w:ind w:right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车站街道办事处</w:t>
      </w:r>
    </w:p>
    <w:p w:rsidR="000E6BAA" w:rsidRDefault="00366D12" w:rsidP="00F24C59">
      <w:pPr>
        <w:spacing w:line="560" w:lineRule="exact"/>
        <w:ind w:right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2020年7月22日</w:t>
      </w:r>
      <w:r w:rsidR="00A351B4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</w:t>
      </w:r>
      <w:bookmarkStart w:id="0" w:name="_GoBack"/>
      <w:bookmarkEnd w:id="0"/>
    </w:p>
    <w:sectPr w:rsidR="000E6BAA" w:rsidSect="00366D12">
      <w:footerReference w:type="even" r:id="rId8"/>
      <w:footerReference w:type="default" r:id="rId9"/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90B" w:rsidRDefault="00E1090B" w:rsidP="00366D12">
      <w:r>
        <w:separator/>
      </w:r>
    </w:p>
  </w:endnote>
  <w:endnote w:type="continuationSeparator" w:id="0">
    <w:p w:rsidR="00E1090B" w:rsidRDefault="00E1090B" w:rsidP="00366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704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366D12" w:rsidRPr="00366D12" w:rsidRDefault="00366D12" w:rsidP="00366D12">
        <w:pPr>
          <w:pStyle w:val="a4"/>
          <w:ind w:right="360"/>
          <w:rPr>
            <w:rFonts w:asciiTheme="minorEastAsia" w:eastAsiaTheme="minorEastAsia" w:hAnsiTheme="minorEastAsia"/>
            <w:sz w:val="28"/>
            <w:szCs w:val="28"/>
          </w:rPr>
        </w:pPr>
        <w:r w:rsidRPr="00366D12">
          <w:rPr>
            <w:rFonts w:asciiTheme="minorEastAsia" w:eastAsiaTheme="minorEastAsia" w:hAnsiTheme="minorEastAsia"/>
            <w:sz w:val="28"/>
            <w:szCs w:val="28"/>
          </w:rPr>
          <w:t>—</w:t>
        </w:r>
        <w:r w:rsidRPr="00366D12"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 w:rsidR="008A7069" w:rsidRPr="00366D12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366D12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8A7069" w:rsidRPr="00366D12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F24C59" w:rsidRPr="00F24C5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="008A7069" w:rsidRPr="00366D12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366D12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  <w:p w:rsidR="00366D12" w:rsidRDefault="00366D1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697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366D12" w:rsidRPr="00366D12" w:rsidRDefault="00366D12">
        <w:pPr>
          <w:pStyle w:val="a4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366D12">
          <w:rPr>
            <w:rFonts w:asciiTheme="minorEastAsia" w:eastAsiaTheme="minorEastAsia" w:hAnsiTheme="minorEastAsia"/>
            <w:sz w:val="28"/>
            <w:szCs w:val="28"/>
          </w:rPr>
          <w:t>—</w:t>
        </w:r>
        <w:r w:rsidRPr="00366D12"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 w:rsidR="008A7069" w:rsidRPr="00366D12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366D12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8A7069" w:rsidRPr="00366D12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E1090B" w:rsidRPr="00E1090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="008A7069" w:rsidRPr="00366D12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366D12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  <w:p w:rsidR="00366D12" w:rsidRDefault="00366D1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90B" w:rsidRDefault="00E1090B" w:rsidP="00366D12">
      <w:r>
        <w:separator/>
      </w:r>
    </w:p>
  </w:footnote>
  <w:footnote w:type="continuationSeparator" w:id="0">
    <w:p w:rsidR="00E1090B" w:rsidRDefault="00E1090B" w:rsidP="00366D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15BC5"/>
    <w:multiLevelType w:val="hybridMultilevel"/>
    <w:tmpl w:val="CB307C50"/>
    <w:lvl w:ilvl="0" w:tplc="610091CC">
      <w:start w:val="1"/>
      <w:numFmt w:val="japaneseCounting"/>
      <w:lvlText w:val="（%1）"/>
      <w:lvlJc w:val="left"/>
      <w:pPr>
        <w:ind w:left="1720" w:hanging="1080"/>
      </w:pPr>
      <w:rPr>
        <w:rFonts w:ascii="楷体_GB2312" w:eastAsia="楷体_GB2312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8907C93"/>
    <w:multiLevelType w:val="singleLevel"/>
    <w:tmpl w:val="68907C9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917610D"/>
    <w:multiLevelType w:val="hybridMultilevel"/>
    <w:tmpl w:val="2A649136"/>
    <w:lvl w:ilvl="0" w:tplc="843C8AEC">
      <w:start w:val="1"/>
      <w:numFmt w:val="japaneseCounting"/>
      <w:lvlText w:val="（%1）"/>
      <w:lvlJc w:val="left"/>
      <w:pPr>
        <w:ind w:left="1720" w:hanging="1080"/>
      </w:pPr>
      <w:rPr>
        <w:rFonts w:ascii="楷体_GB2312" w:eastAsia="楷体_GB2312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4A33CA6"/>
    <w:rsid w:val="00083DC2"/>
    <w:rsid w:val="000E6BAA"/>
    <w:rsid w:val="000E76F9"/>
    <w:rsid w:val="00303109"/>
    <w:rsid w:val="00366D12"/>
    <w:rsid w:val="00565BFD"/>
    <w:rsid w:val="0067720E"/>
    <w:rsid w:val="006E6F58"/>
    <w:rsid w:val="008A7069"/>
    <w:rsid w:val="008F5159"/>
    <w:rsid w:val="00A351B4"/>
    <w:rsid w:val="00A95C04"/>
    <w:rsid w:val="00E1090B"/>
    <w:rsid w:val="00F24C59"/>
    <w:rsid w:val="01200DBA"/>
    <w:rsid w:val="06DE1A9E"/>
    <w:rsid w:val="0B2C4A44"/>
    <w:rsid w:val="0CD21A7B"/>
    <w:rsid w:val="10604294"/>
    <w:rsid w:val="15C3552B"/>
    <w:rsid w:val="16974E83"/>
    <w:rsid w:val="1EC66255"/>
    <w:rsid w:val="2DF37846"/>
    <w:rsid w:val="2F1665E3"/>
    <w:rsid w:val="36DA6CD3"/>
    <w:rsid w:val="37B14AE5"/>
    <w:rsid w:val="4A8E548D"/>
    <w:rsid w:val="581E522A"/>
    <w:rsid w:val="5A285A13"/>
    <w:rsid w:val="630479B1"/>
    <w:rsid w:val="64A33CA6"/>
    <w:rsid w:val="74AE32A3"/>
    <w:rsid w:val="7B986D30"/>
    <w:rsid w:val="7C8B43AA"/>
    <w:rsid w:val="7D532239"/>
    <w:rsid w:val="7DEA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B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0E6BAA"/>
    <w:pPr>
      <w:autoSpaceDE w:val="0"/>
      <w:autoSpaceDN w:val="0"/>
      <w:adjustRightInd w:val="0"/>
      <w:spacing w:line="544" w:lineRule="atLeast"/>
      <w:jc w:val="left"/>
    </w:pPr>
    <w:rPr>
      <w:rFonts w:ascii="仿宋_GB2312" w:eastAsia="仿宋_GB2312"/>
      <w:color w:val="000000"/>
      <w:kern w:val="0"/>
      <w:sz w:val="32"/>
      <w:szCs w:val="20"/>
    </w:rPr>
  </w:style>
  <w:style w:type="paragraph" w:styleId="a4">
    <w:name w:val="footer"/>
    <w:basedOn w:val="a"/>
    <w:link w:val="Char"/>
    <w:uiPriority w:val="99"/>
    <w:rsid w:val="000E6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0E6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6">
    <w:name w:val="仿宋"/>
    <w:basedOn w:val="a"/>
    <w:qFormat/>
    <w:rsid w:val="000E6BAA"/>
    <w:rPr>
      <w:rFonts w:eastAsia="仿宋_GB2312"/>
      <w:sz w:val="32"/>
      <w:szCs w:val="20"/>
    </w:rPr>
  </w:style>
  <w:style w:type="character" w:customStyle="1" w:styleId="Char0">
    <w:name w:val="页眉 Char"/>
    <w:basedOn w:val="a0"/>
    <w:link w:val="a5"/>
    <w:qFormat/>
    <w:rsid w:val="000E6BAA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0E6BAA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366D1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325</Words>
  <Characters>1855</Characters>
  <Application>Microsoft Office Word</Application>
  <DocSecurity>0</DocSecurity>
  <Lines>15</Lines>
  <Paragraphs>4</Paragraphs>
  <ScaleCrop>false</ScaleCrop>
  <Company>微软中国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2019-09-05T08:03:00Z</cp:lastPrinted>
  <dcterms:created xsi:type="dcterms:W3CDTF">2020-07-27T01:07:00Z</dcterms:created>
  <dcterms:modified xsi:type="dcterms:W3CDTF">2020-07-27T02:16:00Z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