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880" w:hanging="2880"/>
        <w:spacing w:before="208" w:line="249" w:lineRule="auto"/>
        <w:outlineLvl w:val="0"/>
        <w:rPr>
          <w:rFonts w:ascii="SimHei" w:hAnsi="SimHei" w:eastAsia="SimHei" w:cs="SimHei"/>
          <w:sz w:val="64"/>
          <w:szCs w:val="64"/>
        </w:rPr>
      </w:pPr>
      <w:r>
        <w:rPr>
          <w:rFonts w:ascii="SimHei" w:hAnsi="SimHei" w:eastAsia="SimHei" w:cs="SimHei"/>
          <w:sz w:val="64"/>
          <w:szCs w:val="64"/>
          <w:spacing w:val="-2"/>
        </w:rPr>
        <w:t>2024年淄博市张店区工商业联合</w:t>
      </w:r>
      <w:r>
        <w:rPr>
          <w:rFonts w:ascii="SimHei" w:hAnsi="SimHei" w:eastAsia="SimHei" w:cs="SimHei"/>
          <w:sz w:val="64"/>
          <w:szCs w:val="64"/>
          <w:spacing w:val="11"/>
        </w:rPr>
        <w:t xml:space="preserve"> </w:t>
      </w:r>
      <w:r>
        <w:rPr>
          <w:rFonts w:ascii="SimHei" w:hAnsi="SimHei" w:eastAsia="SimHei" w:cs="SimHei"/>
          <w:sz w:val="64"/>
          <w:szCs w:val="64"/>
          <w:spacing w:val="-4"/>
        </w:rPr>
        <w:t>会部门预算</w:t>
      </w:r>
    </w:p>
    <w:p>
      <w:pPr>
        <w:spacing w:line="249" w:lineRule="auto"/>
        <w:sectPr>
          <w:pgSz w:w="11900" w:h="16840"/>
          <w:pgMar w:top="1431" w:right="1468" w:bottom="0" w:left="1491" w:header="0" w:footer="0" w:gutter="0"/>
        </w:sectPr>
        <w:rPr>
          <w:rFonts w:ascii="SimHei" w:hAnsi="SimHei" w:eastAsia="SimHei" w:cs="SimHei"/>
          <w:sz w:val="64"/>
          <w:szCs w:val="64"/>
        </w:rPr>
      </w:pPr>
    </w:p>
    <w:p>
      <w:pPr>
        <w:ind w:left="3995"/>
        <w:spacing w:before="180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7"/>
        </w:rPr>
        <w:t>目</w:t>
      </w:r>
      <w:r>
        <w:rPr>
          <w:rFonts w:ascii="SimHei" w:hAnsi="SimHei" w:eastAsia="SimHei" w:cs="SimHei"/>
          <w:sz w:val="32"/>
          <w:szCs w:val="32"/>
          <w:spacing w:val="7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27"/>
        </w:rPr>
        <w:t>录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第一部分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部门概况</w:t>
      </w:r>
    </w:p>
    <w:p>
      <w:pPr>
        <w:pStyle w:val="BodyText"/>
        <w:ind w:left="564"/>
        <w:spacing w:before="165" w:line="224" w:lineRule="auto"/>
        <w:rPr/>
      </w:pPr>
      <w:r>
        <w:rPr>
          <w:spacing w:val="-5"/>
        </w:rPr>
        <w:t>一、主要职责</w:t>
      </w:r>
    </w:p>
    <w:p>
      <w:pPr>
        <w:pStyle w:val="BodyText"/>
        <w:ind w:left="561"/>
        <w:spacing w:before="158" w:line="227" w:lineRule="auto"/>
        <w:rPr/>
      </w:pPr>
      <w:r>
        <w:rPr>
          <w:spacing w:val="-2"/>
        </w:rPr>
        <w:t>二、机构设置情况</w:t>
      </w:r>
    </w:p>
    <w:p>
      <w:pPr>
        <w:spacing w:before="156" w:line="500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第二部分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2024年部门预算表</w:t>
      </w:r>
    </w:p>
    <w:p>
      <w:pPr>
        <w:pStyle w:val="BodyText"/>
        <w:ind w:left="564"/>
        <w:spacing w:before="1" w:line="226" w:lineRule="auto"/>
        <w:rPr/>
      </w:pPr>
      <w:r>
        <w:rPr>
          <w:spacing w:val="-4"/>
        </w:rPr>
        <w:t>一、收支总体情况表</w:t>
      </w:r>
    </w:p>
    <w:p>
      <w:pPr>
        <w:pStyle w:val="BodyText"/>
        <w:ind w:left="561"/>
        <w:spacing w:before="156" w:line="500" w:lineRule="exact"/>
        <w:rPr/>
      </w:pPr>
      <w:r>
        <w:rPr>
          <w:spacing w:val="-2"/>
          <w:position w:val="16"/>
        </w:rPr>
        <w:t>二、收入总体情况表</w:t>
      </w:r>
    </w:p>
    <w:p>
      <w:pPr>
        <w:pStyle w:val="BodyText"/>
        <w:ind w:left="555"/>
        <w:spacing w:before="1" w:line="226" w:lineRule="auto"/>
        <w:rPr/>
      </w:pPr>
      <w:r>
        <w:rPr>
          <w:spacing w:val="-1"/>
        </w:rPr>
        <w:t>三、支出总体情况表</w:t>
      </w:r>
    </w:p>
    <w:p>
      <w:pPr>
        <w:pStyle w:val="BodyText"/>
        <w:ind w:left="573"/>
        <w:spacing w:before="156" w:line="227" w:lineRule="auto"/>
        <w:rPr/>
      </w:pPr>
      <w:r>
        <w:rPr>
          <w:spacing w:val="-2"/>
        </w:rPr>
        <w:t>四、财政拨款收支总体情况表</w:t>
      </w:r>
    </w:p>
    <w:p>
      <w:pPr>
        <w:pStyle w:val="BodyText"/>
        <w:ind w:left="562"/>
        <w:spacing w:before="155" w:line="227" w:lineRule="auto"/>
        <w:rPr/>
      </w:pPr>
      <w:r>
        <w:rPr>
          <w:spacing w:val="-9"/>
        </w:rPr>
        <w:t>五、</w:t>
      </w:r>
      <w:r>
        <w:rPr>
          <w:spacing w:val="-38"/>
        </w:rPr>
        <w:t xml:space="preserve"> </w:t>
      </w:r>
      <w:r>
        <w:rPr>
          <w:spacing w:val="-9"/>
        </w:rPr>
        <w:t>一般公共预算支出情况表</w:t>
      </w:r>
    </w:p>
    <w:p>
      <w:pPr>
        <w:pStyle w:val="BodyText"/>
        <w:ind w:left="567"/>
        <w:spacing w:before="157" w:line="225" w:lineRule="auto"/>
        <w:rPr/>
      </w:pPr>
      <w:r>
        <w:rPr>
          <w:spacing w:val="-8"/>
        </w:rPr>
        <w:t>六、</w:t>
      </w:r>
      <w:r>
        <w:rPr>
          <w:spacing w:val="-40"/>
        </w:rPr>
        <w:t xml:space="preserve"> </w:t>
      </w:r>
      <w:r>
        <w:rPr>
          <w:spacing w:val="-8"/>
        </w:rPr>
        <w:t>一般公共预算基本支出情况表</w:t>
      </w:r>
    </w:p>
    <w:p>
      <w:pPr>
        <w:pStyle w:val="BodyText"/>
        <w:ind w:left="565"/>
        <w:spacing w:before="159" w:line="500" w:lineRule="exact"/>
        <w:rPr/>
      </w:pPr>
      <w:r>
        <w:rPr>
          <w:spacing w:val="-6"/>
          <w:position w:val="15"/>
        </w:rPr>
        <w:t>七、</w:t>
      </w:r>
      <w:r>
        <w:rPr>
          <w:spacing w:val="-43"/>
          <w:position w:val="15"/>
        </w:rPr>
        <w:t xml:space="preserve"> </w:t>
      </w:r>
      <w:r>
        <w:rPr>
          <w:spacing w:val="-6"/>
          <w:position w:val="15"/>
        </w:rPr>
        <w:t>一般公共预算“三公”经费支出情况表</w:t>
      </w:r>
    </w:p>
    <w:p>
      <w:pPr>
        <w:pStyle w:val="BodyText"/>
        <w:ind w:left="563"/>
        <w:spacing w:line="226" w:lineRule="auto"/>
        <w:rPr/>
      </w:pPr>
      <w:r>
        <w:rPr>
          <w:spacing w:val="-1"/>
        </w:rPr>
        <w:t>八、政府性基金预算支出情况表</w:t>
      </w:r>
    </w:p>
    <w:p>
      <w:pPr>
        <w:pStyle w:val="BodyText"/>
        <w:ind w:left="562"/>
        <w:spacing w:before="157" w:line="225" w:lineRule="auto"/>
        <w:rPr/>
      </w:pPr>
      <w:r>
        <w:rPr>
          <w:spacing w:val="-1"/>
        </w:rPr>
        <w:t>九、国有资本经营预算支出情况表</w:t>
      </w:r>
    </w:p>
    <w:p>
      <w:pPr>
        <w:pStyle w:val="BodyText"/>
        <w:ind w:left="567"/>
        <w:spacing w:before="159" w:line="225" w:lineRule="auto"/>
        <w:rPr/>
      </w:pPr>
      <w:r>
        <w:rPr>
          <w:spacing w:val="-2"/>
        </w:rPr>
        <w:t>十、基本支出预算情况表</w:t>
      </w:r>
    </w:p>
    <w:p>
      <w:pPr>
        <w:pStyle w:val="BodyText"/>
        <w:ind w:left="567"/>
        <w:spacing w:before="158" w:line="500" w:lineRule="exact"/>
        <w:rPr/>
      </w:pPr>
      <w:r>
        <w:rPr>
          <w:spacing w:val="-3"/>
          <w:position w:val="15"/>
        </w:rPr>
        <w:t>十一、项目支出预算情况表</w:t>
      </w:r>
    </w:p>
    <w:p>
      <w:pPr>
        <w:pStyle w:val="BodyText"/>
        <w:ind w:left="567"/>
        <w:spacing w:before="1" w:line="226" w:lineRule="auto"/>
        <w:rPr/>
      </w:pPr>
      <w:r>
        <w:rPr>
          <w:spacing w:val="-2"/>
        </w:rPr>
        <w:t>十二、政府采购预算情况表</w:t>
      </w:r>
    </w:p>
    <w:p>
      <w:pPr>
        <w:spacing w:before="157" w:line="500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第三部分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2024年部门预算情况和重要事项说明</w:t>
      </w:r>
    </w:p>
    <w:p>
      <w:pPr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第四部分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名词解释</w:t>
      </w:r>
    </w:p>
    <w:p>
      <w:pPr>
        <w:spacing w:line="221" w:lineRule="auto"/>
        <w:sectPr>
          <w:footerReference w:type="default" r:id="rId1"/>
          <w:pgSz w:w="11900" w:h="16840"/>
          <w:pgMar w:top="1431" w:right="1785" w:bottom="726" w:left="1528" w:header="0" w:footer="563" w:gutter="0"/>
        </w:sectPr>
        <w:rPr>
          <w:rFonts w:ascii="SimHei" w:hAnsi="SimHei" w:eastAsia="SimHei" w:cs="SimHei"/>
          <w:sz w:val="28"/>
          <w:szCs w:val="28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5"/>
        </w:rPr>
        <w:t>第一部分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864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6"/>
        </w:rPr>
        <w:t>部门概况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726" w:left="1234" w:header="0" w:footer="563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557"/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5"/>
        </w:rPr>
        <w:t>一、主要职责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spacing w:before="91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1.引导非公有制经济人士学习贯彻党的路线方针政策，遵守国家法律法</w:t>
      </w:r>
    </w:p>
    <w:p>
      <w:pPr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规，培养拥护党的领导、走中国特色社会主义道</w:t>
      </w:r>
      <w:r>
        <w:rPr>
          <w:rFonts w:ascii="FangSong" w:hAnsi="FangSong" w:eastAsia="FangSong" w:cs="FangSong"/>
          <w:sz w:val="28"/>
          <w:szCs w:val="28"/>
          <w:spacing w:val="-3"/>
        </w:rPr>
        <w:t>路的非公制经济人士队伍；</w:t>
      </w:r>
    </w:p>
    <w:p>
      <w:pPr>
        <w:ind w:left="555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21"/>
        </w:rPr>
        <w:t>2.参加政治协商，发挥民主监督作用，积极参政议政；</w:t>
      </w:r>
    </w:p>
    <w:p>
      <w:pPr>
        <w:ind w:left="557"/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3.推动经贸交流和合作，促经经济社会发展；</w:t>
      </w:r>
    </w:p>
    <w:p>
      <w:pPr>
        <w:ind w:left="551"/>
        <w:spacing w:before="226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21"/>
        </w:rPr>
        <w:t>4.加强行业协会商会建设，服务非公有制企业发展；</w:t>
      </w:r>
    </w:p>
    <w:p>
      <w:pPr>
        <w:ind w:left="557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5.参与协调劳动关系，促进社会和谐稳定；</w:t>
      </w:r>
    </w:p>
    <w:p>
      <w:pPr>
        <w:ind w:right="59"/>
        <w:spacing w:before="227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6.反映非公有制企业和非公有制经济人士利益诉求</w:t>
      </w:r>
      <w:r>
        <w:rPr>
          <w:rFonts w:ascii="FangSong" w:hAnsi="FangSong" w:eastAsia="FangSong" w:cs="FangSong"/>
          <w:sz w:val="28"/>
          <w:szCs w:val="28"/>
          <w:spacing w:val="-3"/>
          <w:position w:val="21"/>
        </w:rPr>
        <w:t>，维护其合法权益；</w:t>
      </w:r>
    </w:p>
    <w:p>
      <w:pPr>
        <w:ind w:left="558"/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7.承办异地商会驻张店办事机构相关管理工作。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left="557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二、机构设置情况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spacing w:before="92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淄博市张店区工商业联合会部门预算包括：淄博市张店区工商业联合会</w:t>
      </w:r>
    </w:p>
    <w:p>
      <w:pPr>
        <w:ind w:left="1"/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本级预算。</w:t>
      </w:r>
    </w:p>
    <w:p>
      <w:pPr>
        <w:spacing w:before="224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纳入淄博市张店区工商业联合会2024年部门预算编制范围的二级预算单</w:t>
      </w:r>
    </w:p>
    <w:p>
      <w:pPr>
        <w:ind w:left="1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位包括：</w:t>
      </w:r>
    </w:p>
    <w:p>
      <w:pPr>
        <w:ind w:left="565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淄博市张店区工商业联合会本级预算，无其他二级</w:t>
      </w:r>
      <w:r>
        <w:rPr>
          <w:rFonts w:ascii="FangSong" w:hAnsi="FangSong" w:eastAsia="FangSong" w:cs="FangSong"/>
          <w:sz w:val="28"/>
          <w:szCs w:val="28"/>
          <w:spacing w:val="-3"/>
        </w:rPr>
        <w:t>预算单位。</w:t>
      </w:r>
    </w:p>
    <w:p>
      <w:pPr>
        <w:spacing w:line="221" w:lineRule="auto"/>
        <w:sectPr>
          <w:footerReference w:type="default" r:id="rId3"/>
          <w:pgSz w:w="11900" w:h="16840"/>
          <w:pgMar w:top="1431" w:right="1442" w:bottom="726" w:left="1235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第二部分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970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2024年部门预算表</w:t>
      </w:r>
    </w:p>
    <w:p>
      <w:pPr>
        <w:spacing w:line="222" w:lineRule="auto"/>
        <w:sectPr>
          <w:footerReference w:type="default" r:id="rId4"/>
          <w:pgSz w:w="11900" w:h="16840"/>
          <w:pgMar w:top="1431" w:right="1785" w:bottom="726" w:left="1234" w:header="0" w:footer="563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4242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收支总体情况表</w:t>
      </w:r>
    </w:p>
    <w:p>
      <w:pPr>
        <w:ind w:left="48"/>
        <w:spacing w:before="83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5"/>
          <w:pgSz w:w="11900" w:h="16840"/>
          <w:pgMar w:top="695" w:right="859" w:bottom="724" w:left="859" w:header="0" w:footer="564" w:gutter="0"/>
          <w:cols w:equalWidth="0" w:num="2">
            <w:col w:w="9202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01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27"/>
        <w:gridCol w:w="2261"/>
        <w:gridCol w:w="2826"/>
        <w:gridCol w:w="2262"/>
      </w:tblGrid>
      <w:tr>
        <w:trPr>
          <w:trHeight w:val="363" w:hRule="atLeast"/>
        </w:trPr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71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69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1229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52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1232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85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2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6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1" w:line="190" w:lineRule="auto"/>
              <w:rPr/>
            </w:pPr>
            <w:r>
              <w:rPr/>
              <w:t>163.22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20"/>
              <w:spacing w:before="113" w:line="227" w:lineRule="auto"/>
              <w:rPr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3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9"/>
              <w:spacing w:before="114" w:line="226" w:lineRule="auto"/>
              <w:rPr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6"/>
              <w:spacing w:before="114" w:line="226" w:lineRule="auto"/>
              <w:rPr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0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"/>
              <w:spacing w:before="115" w:line="227" w:lineRule="auto"/>
              <w:rPr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61"/>
              <w:spacing w:before="144" w:line="189" w:lineRule="auto"/>
              <w:rPr/>
            </w:pPr>
            <w:r>
              <w:rPr>
                <w:spacing w:val="2"/>
              </w:rPr>
              <w:t>29.65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72"/>
              <w:spacing w:before="143" w:line="190" w:lineRule="auto"/>
              <w:rPr/>
            </w:pPr>
            <w:r>
              <w:rPr/>
              <w:t>13.89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72"/>
              <w:spacing w:before="145" w:line="190" w:lineRule="auto"/>
              <w:rPr/>
            </w:pPr>
            <w:r>
              <w:rPr/>
              <w:t>16.84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17"/>
              <w:spacing w:before="119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8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20"/>
              <w:spacing w:before="119" w:line="226" w:lineRule="auto"/>
              <w:rPr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66"/>
              <w:spacing w:before="148" w:line="189" w:lineRule="auto"/>
              <w:rPr/>
            </w:pPr>
            <w:r>
              <w:rPr>
                <w:spacing w:val="2"/>
              </w:rPr>
              <w:t>223.60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56"/>
              <w:spacing w:before="120" w:line="226" w:lineRule="auto"/>
              <w:rPr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20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9"/>
              <w:spacing w:before="12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905"/>
              <w:spacing w:before="120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9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903"/>
              <w:spacing w:before="120" w:line="227" w:lineRule="auto"/>
              <w:rPr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66"/>
              <w:spacing w:before="149" w:line="189" w:lineRule="auto"/>
              <w:rPr/>
            </w:pPr>
            <w:r>
              <w:rPr>
                <w:spacing w:val="2"/>
              </w:rPr>
              <w:t>223.60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0" w:h="16840"/>
          <w:pgMar w:top="695" w:right="859" w:bottom="724" w:left="859" w:header="0" w:footer="564" w:gutter="0"/>
          <w:cols w:equalWidth="0" w:num="1">
            <w:col w:w="10182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6"/>
          <w:pgSz w:w="16840" w:h="11900"/>
          <w:pgMar w:top="1011" w:right="286" w:bottom="726" w:left="288" w:header="0" w:footer="564" w:gutter="0"/>
          <w:cols w:equalWidth="0" w:num="1">
            <w:col w:w="1626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7641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收入总体情况表</w:t>
      </w:r>
    </w:p>
    <w:p>
      <w:pPr>
        <w:ind w:left="48"/>
        <w:spacing w:before="83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86" w:bottom="726" w:left="288" w:header="0" w:footer="564" w:gutter="0"/>
          <w:cols w:equalWidth="0" w:num="2">
            <w:col w:w="1528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5"/>
        <w:gridCol w:w="2122"/>
        <w:gridCol w:w="989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2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2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86"/>
              <w:spacing w:line="19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</w:p>
          <w:p>
            <w:pPr>
              <w:pStyle w:val="TableText"/>
              <w:ind w:left="251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</w:p>
          <w:p>
            <w:pPr>
              <w:pStyle w:val="TableText"/>
              <w:ind w:left="164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5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3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207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民主党派及工商联事务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5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48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4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5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2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4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51" w:right="120" w:firstLine="291"/>
              <w:spacing w:before="83" w:line="20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险缴费支出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1"/>
              <w:spacing w:before="15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39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2"/>
              <w:spacing w:before="16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6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2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6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3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286" w:bottom="726" w:left="288" w:header="0" w:footer="564" w:gutter="0"/>
          <w:cols w:equalWidth="0" w:num="1">
            <w:col w:w="1626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7"/>
          <w:pgSz w:w="16840" w:h="11900"/>
          <w:pgMar w:top="1011" w:right="286" w:bottom="724" w:left="288" w:header="0" w:footer="564" w:gutter="0"/>
          <w:cols w:equalWidth="0" w:num="1">
            <w:col w:w="1626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7641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收入总体情况表</w:t>
      </w:r>
    </w:p>
    <w:p>
      <w:pPr>
        <w:ind w:left="48"/>
        <w:spacing w:before="83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86" w:bottom="724" w:left="288" w:header="0" w:footer="564" w:gutter="0"/>
          <w:cols w:equalWidth="0" w:num="2">
            <w:col w:w="1528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86"/>
              <w:spacing w:line="19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</w:p>
          <w:p>
            <w:pPr>
              <w:pStyle w:val="TableText"/>
              <w:ind w:left="251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</w:p>
          <w:p>
            <w:pPr>
              <w:pStyle w:val="TableText"/>
              <w:ind w:left="164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286" w:bottom="724" w:left="288" w:header="0" w:footer="564" w:gutter="0"/>
          <w:cols w:equalWidth="0" w:num="1">
            <w:col w:w="1626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8"/>
          <w:pgSz w:w="16840" w:h="11900"/>
          <w:pgMar w:top="1011" w:right="1276" w:bottom="726" w:left="1278" w:header="0" w:footer="564" w:gutter="0"/>
          <w:cols w:equalWidth="0" w:num="1">
            <w:col w:w="1428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6235"/>
        <w:spacing w:before="85" w:line="225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支出总体情况表</w:t>
      </w:r>
    </w:p>
    <w:p>
      <w:pPr>
        <w:ind w:left="48"/>
        <w:spacing w:before="84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1276" w:bottom="726" w:left="1278" w:header="0" w:footer="564" w:gutter="0"/>
          <w:cols w:equalWidth="0" w:num="2">
            <w:col w:w="1330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5"/>
        <w:gridCol w:w="706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4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223.60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211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民主党派及工商联事务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8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9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6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33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1276" w:bottom="726" w:left="1278" w:header="0" w:footer="564" w:gutter="0"/>
          <w:cols w:equalWidth="0" w:num="1">
            <w:col w:w="1428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06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财政拨款收支总体情况表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9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2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5"/>
              <w:spacing w:before="114" w:line="227" w:lineRule="auto"/>
              <w:rPr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2" w:line="190" w:lineRule="auto"/>
              <w:rPr/>
            </w:pPr>
            <w:r>
              <w:rPr/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2" w:line="190" w:lineRule="auto"/>
              <w:rPr/>
            </w:pPr>
            <w:r>
              <w:rPr/>
              <w:t>163.22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5"/>
              <w:spacing w:before="114" w:line="226" w:lineRule="auto"/>
              <w:rPr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8" w:lineRule="auto"/>
              <w:rPr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1"/>
              <w:spacing w:before="114" w:line="226" w:lineRule="auto"/>
              <w:rPr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"/>
              <w:spacing w:before="114" w:line="227" w:lineRule="auto"/>
              <w:rPr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2"/>
              <w:spacing w:before="145" w:line="189" w:lineRule="auto"/>
              <w:rPr/>
            </w:pPr>
            <w:r>
              <w:rPr>
                <w:spacing w:val="2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3"/>
              <w:spacing w:before="145" w:line="189" w:lineRule="auto"/>
              <w:rPr/>
            </w:pPr>
            <w:r>
              <w:rPr>
                <w:spacing w:val="2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4"/>
              <w:spacing w:before="143" w:line="190" w:lineRule="auto"/>
              <w:rPr/>
            </w:pPr>
            <w:r>
              <w:rPr/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5"/>
              <w:spacing w:before="143" w:line="190" w:lineRule="auto"/>
              <w:rPr/>
            </w:pPr>
            <w:r>
              <w:rPr/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6" w:line="228" w:lineRule="auto"/>
              <w:rPr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8" w:lineRule="auto"/>
              <w:rPr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4"/>
              <w:spacing w:before="147" w:line="190" w:lineRule="auto"/>
              <w:rPr/>
            </w:pPr>
            <w:r>
              <w:rPr/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5"/>
              <w:spacing w:before="147" w:line="190" w:lineRule="auto"/>
              <w:rPr/>
            </w:pPr>
            <w:r>
              <w:rPr/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06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财政拨款收支总体情况表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0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3" w:line="227" w:lineRule="auto"/>
              <w:rPr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7" w:lineRule="auto"/>
              <w:rPr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513"/>
              <w:spacing w:before="115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4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5" w:line="227" w:lineRule="auto"/>
              <w:rPr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8"/>
              <w:spacing w:before="144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9"/>
              <w:spacing w:before="144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9"/>
              <w:spacing w:before="117" w:line="227" w:lineRule="auto"/>
              <w:rPr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24"/>
              <w:spacing w:before="117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6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7" w:line="228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8"/>
              <w:spacing w:before="146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9"/>
              <w:spacing w:before="146" w:line="189" w:lineRule="auto"/>
              <w:rPr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520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一般公共预算支出情况表</w:t>
      </w:r>
    </w:p>
    <w:p>
      <w:pPr>
        <w:ind w:left="48"/>
        <w:spacing w:before="87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1"/>
          <w:pgSz w:w="16840" w:h="11900"/>
          <w:pgMar w:top="695" w:right="1771" w:bottom="726" w:left="1773" w:header="0" w:footer="563" w:gutter="0"/>
          <w:cols w:equalWidth="0" w:num="2">
            <w:col w:w="1231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202.49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210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民主党派及工商联事务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28.87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29.32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28.54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2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1771" w:bottom="726" w:left="1773" w:header="0" w:footer="563" w:gutter="0"/>
          <w:cols w:equalWidth="0" w:num="1">
            <w:col w:w="1329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4414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一般公共预算基本支出情况表</w:t>
      </w:r>
    </w:p>
    <w:p>
      <w:pPr>
        <w:ind w:left="48"/>
        <w:spacing w:before="87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公开表6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2"/>
          <w:pgSz w:w="16840" w:h="11900"/>
          <w:pgMar w:top="695" w:right="2303" w:bottom="726" w:left="2303" w:header="0" w:footer="563" w:gutter="0"/>
          <w:cols w:equalWidth="0" w:num="2">
            <w:col w:w="11252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22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rPr>
          <w:trHeight w:val="365" w:hRule="atLeast"/>
        </w:trPr>
        <w:tc>
          <w:tcPr>
            <w:tcW w:w="1130" w:type="dxa"/>
            <w:vAlign w:val="top"/>
            <w:gridSpan w:val="2"/>
          </w:tcPr>
          <w:p>
            <w:pPr>
              <w:pStyle w:val="TableText"/>
              <w:ind w:left="190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4"/>
              <w:spacing w:before="297" w:line="227" w:lineRule="auto"/>
              <w:rPr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pStyle w:val="TableText"/>
              <w:ind w:left="191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97" w:line="227" w:lineRule="auto"/>
              <w:rPr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666"/>
              <w:spacing w:before="113" w:line="227" w:lineRule="auto"/>
              <w:rPr/>
            </w:pPr>
            <w:r>
              <w:rPr>
                <w:spacing w:val="7"/>
              </w:rPr>
              <w:t>基本支出预算</w:t>
            </w:r>
          </w:p>
        </w:tc>
      </w:tr>
      <w:tr>
        <w:trPr>
          <w:trHeight w:val="361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7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191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188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3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565"/>
              <w:spacing w:before="1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11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6"/>
              <w:spacing w:before="111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2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9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9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202.49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192.30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192.30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136.21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136.21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4.10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4.10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1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6.15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6.15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1.64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1.64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7.92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7.92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1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10.19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10.19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2303" w:bottom="726" w:left="2303" w:header="0" w:footer="563" w:gutter="0"/>
          <w:cols w:equalWidth="0" w:num="1">
            <w:col w:w="12233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13"/>
          <w:pgSz w:w="16840" w:h="11900"/>
          <w:pgMar w:top="1011" w:right="909" w:bottom="726" w:left="910" w:header="0" w:footer="564" w:gutter="0"/>
          <w:cols w:equalWidth="0" w:num="1">
            <w:col w:w="15020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527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一般公共预算“三公”经费支出情况表</w:t>
      </w:r>
    </w:p>
    <w:p>
      <w:pPr>
        <w:ind w:left="48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公开表7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909" w:bottom="726" w:left="910" w:header="0" w:footer="564" w:gutter="0"/>
          <w:cols w:equalWidth="0" w:num="2">
            <w:col w:w="14038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0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rPr>
          <w:trHeight w:val="363" w:hRule="atLeast"/>
        </w:trPr>
        <w:tc>
          <w:tcPr>
            <w:tcW w:w="7535" w:type="dxa"/>
            <w:vAlign w:val="top"/>
            <w:gridSpan w:val="6"/>
          </w:tcPr>
          <w:p>
            <w:pPr>
              <w:pStyle w:val="TableText"/>
              <w:ind w:left="3207"/>
              <w:spacing w:before="114" w:line="227" w:lineRule="auto"/>
              <w:rPr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vAlign w:val="top"/>
            <w:gridSpan w:val="6"/>
          </w:tcPr>
          <w:p>
            <w:pPr>
              <w:pStyle w:val="TableText"/>
              <w:ind w:left="3181"/>
              <w:spacing w:before="114" w:line="227" w:lineRule="auto"/>
              <w:rPr/>
            </w:pPr>
            <w:r>
              <w:rPr>
                <w:spacing w:val="5"/>
              </w:rPr>
              <w:t>2024年预算数</w:t>
            </w:r>
          </w:p>
        </w:tc>
      </w:tr>
      <w:tr>
        <w:trPr>
          <w:trHeight w:val="361" w:hRule="atLeast"/>
        </w:trPr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231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3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 w:right="199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7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</w:tr>
      <w:tr>
        <w:trPr>
          <w:trHeight w:val="559" w:hRule="atLeast"/>
        </w:trPr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2" w:right="45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0" w:right="46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 w:right="41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4" w:right="42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（注：2024年没有一般公共预算“三公”经费支出。）</w:t>
      </w:r>
    </w:p>
    <w:p>
      <w:pPr>
        <w:spacing w:line="190" w:lineRule="auto"/>
        <w:sectPr>
          <w:type w:val="continuous"/>
          <w:pgSz w:w="16840" w:h="11900"/>
          <w:pgMar w:top="1011" w:right="909" w:bottom="726" w:left="910" w:header="0" w:footer="564" w:gutter="0"/>
          <w:cols w:equalWidth="0" w:num="1">
            <w:col w:w="15020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10"/>
        <w:rPr/>
      </w:pPr>
      <w:r/>
    </w:p>
    <w:p>
      <w:pPr>
        <w:sectPr>
          <w:footerReference w:type="default" r:id="rId14"/>
          <w:pgSz w:w="16840" w:h="11900"/>
          <w:pgMar w:top="1011" w:right="1785" w:bottom="726" w:left="1787" w:header="0" w:footer="563" w:gutter="0"/>
          <w:cols w:equalWidth="0" w:num="1">
            <w:col w:w="13267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5056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政府性基金预算支出情况表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公开表8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1785" w:bottom="726" w:left="1787" w:header="0" w:footer="563" w:gutter="0"/>
          <w:cols w:equalWidth="0" w:num="2">
            <w:col w:w="12285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32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rPr>
          <w:trHeight w:val="363" w:hRule="atLeast"/>
        </w:trPr>
        <w:tc>
          <w:tcPr>
            <w:tcW w:w="1311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2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59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856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58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TableText"/>
              <w:ind w:left="124"/>
              <w:spacing w:before="14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TableText"/>
              <w:ind w:left="128"/>
              <w:spacing w:before="14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31"/>
              <w:spacing w:before="142" w:line="228" w:lineRule="auto"/>
              <w:rPr/>
            </w:pPr>
            <w:r>
              <w:rPr/>
              <w:t>项</w:t>
            </w:r>
          </w:p>
        </w:tc>
        <w:tc>
          <w:tcPr>
            <w:tcW w:w="45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472"/>
              <w:spacing w:before="141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4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7"/>
              <w:spacing w:before="14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（注：2024年没有使用政府性基金预算拨款安排的支出。）</w:t>
      </w:r>
    </w:p>
    <w:p>
      <w:pPr>
        <w:spacing w:line="190" w:lineRule="auto"/>
        <w:sectPr>
          <w:type w:val="continuous"/>
          <w:pgSz w:w="16840" w:h="11900"/>
          <w:pgMar w:top="1011" w:right="1785" w:bottom="726" w:left="1787" w:header="0" w:footer="563" w:gutter="0"/>
          <w:cols w:equalWidth="0" w:num="1">
            <w:col w:w="13267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10"/>
        <w:rPr/>
      </w:pPr>
      <w:r/>
    </w:p>
    <w:p>
      <w:pPr>
        <w:sectPr>
          <w:footerReference w:type="default" r:id="rId15"/>
          <w:pgSz w:w="16840" w:h="11900"/>
          <w:pgMar w:top="1011" w:right="2217" w:bottom="726" w:left="2218" w:header="0" w:footer="564" w:gutter="0"/>
          <w:cols w:equalWidth="0" w:num="1">
            <w:col w:w="12404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4511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国有资本经营预算支出情况表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公开表9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217" w:bottom="726" w:left="2218" w:header="0" w:footer="564" w:gutter="0"/>
          <w:cols w:equalWidth="0" w:num="2">
            <w:col w:w="11422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23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rPr>
          <w:trHeight w:val="363" w:hRule="atLeast"/>
        </w:trPr>
        <w:tc>
          <w:tcPr>
            <w:tcW w:w="1313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11"/>
              <w:spacing w:before="297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99"/>
              <w:spacing w:before="297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pStyle w:val="TableText"/>
              <w:ind w:left="1961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0"/>
              <w:spacing w:before="297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TableText"/>
              <w:ind w:left="124"/>
              <w:spacing w:before="11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TableText"/>
              <w:ind w:left="127"/>
              <w:spacing w:before="11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29"/>
              <w:spacing w:before="113" w:line="228" w:lineRule="auto"/>
              <w:rPr/>
            </w:pPr>
            <w:r>
              <w:rPr/>
              <w:t>项</w:t>
            </w:r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pStyle w:val="TableText"/>
              <w:ind w:left="506"/>
              <w:spacing w:before="113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TableText"/>
              <w:ind w:left="408"/>
              <w:spacing w:before="113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TableText"/>
              <w:ind w:left="253"/>
              <w:spacing w:before="113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（注：2024年没有使用国有资本经营预</w:t>
      </w:r>
      <w:r>
        <w:rPr>
          <w:rFonts w:ascii="SimSun" w:hAnsi="SimSun" w:eastAsia="SimSun" w:cs="SimSun"/>
          <w:sz w:val="20"/>
          <w:szCs w:val="20"/>
          <w:spacing w:val="5"/>
        </w:rPr>
        <w:t>算拨款安排的支出。）</w:t>
      </w:r>
    </w:p>
    <w:p>
      <w:pPr>
        <w:spacing w:line="190" w:lineRule="auto"/>
        <w:sectPr>
          <w:type w:val="continuous"/>
          <w:pgSz w:w="16840" w:h="11900"/>
          <w:pgMar w:top="1011" w:right="2217" w:bottom="726" w:left="2218" w:header="0" w:footer="564" w:gutter="0"/>
          <w:cols w:equalWidth="0" w:num="1">
            <w:col w:w="12404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601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基本支出预算情况表</w:t>
      </w:r>
    </w:p>
    <w:p>
      <w:pPr>
        <w:ind w:left="48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公开表10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6"/>
          <w:pgSz w:w="16840" w:h="11900"/>
          <w:pgMar w:top="695" w:right="642" w:bottom="726" w:left="642" w:header="0" w:footer="564" w:gutter="0"/>
          <w:cols w:equalWidth="0" w:num="2">
            <w:col w:w="14575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5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rPr>
          <w:trHeight w:val="365" w:hRule="atLeast"/>
        </w:trPr>
        <w:tc>
          <w:tcPr>
            <w:tcW w:w="847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 w:right="46" w:hanging="751"/>
              <w:spacing w:before="58" w:line="210" w:lineRule="auto"/>
              <w:rPr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 w:right="44" w:hanging="753"/>
              <w:spacing w:before="58" w:line="210" w:lineRule="auto"/>
              <w:rPr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vAlign w:val="top"/>
            <w:gridSpan w:val="4"/>
          </w:tcPr>
          <w:p>
            <w:pPr>
              <w:pStyle w:val="TableText"/>
              <w:ind w:left="1891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08" w:line="193" w:lineRule="auto"/>
              <w:rPr/>
            </w:pPr>
            <w:r>
              <w:rPr>
                <w:spacing w:val="6"/>
              </w:rPr>
              <w:t>使用非财</w:t>
            </w:r>
          </w:p>
          <w:p>
            <w:pPr>
              <w:pStyle w:val="TableText"/>
              <w:ind w:left="125"/>
              <w:spacing w:line="193" w:lineRule="auto"/>
              <w:rPr/>
            </w:pPr>
            <w:r>
              <w:rPr>
                <w:spacing w:val="6"/>
              </w:rPr>
              <w:t>政拨款结</w:t>
            </w:r>
          </w:p>
          <w:p>
            <w:pPr>
              <w:pStyle w:val="TableText"/>
              <w:ind w:left="409"/>
              <w:spacing w:line="228" w:lineRule="auto"/>
              <w:rPr/>
            </w:pPr>
            <w:r>
              <w:rPr/>
              <w:t>余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0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1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8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6" w:right="90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2" w:right="90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89" w:right="89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3"/>
              <w:spacing w:before="13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51" w:right="129" w:firstLine="140"/>
              <w:spacing w:before="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3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6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5"/>
              <w:spacing w:before="14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4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7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7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1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200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642" w:bottom="726" w:left="642" w:header="0" w:footer="564" w:gutter="0"/>
          <w:cols w:equalWidth="0" w:num="1">
            <w:col w:w="15556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672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项目支出预算情况表</w:t>
      </w:r>
    </w:p>
    <w:p>
      <w:pPr>
        <w:ind w:left="50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公开表11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7"/>
          <w:pgSz w:w="16840" w:h="11900"/>
          <w:pgMar w:top="695" w:right="569" w:bottom="726" w:left="569" w:header="0" w:footer="564" w:gutter="0"/>
          <w:cols w:equalWidth="0" w:num="2">
            <w:col w:w="14719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6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5"/>
        <w:gridCol w:w="1201"/>
        <w:gridCol w:w="1059"/>
        <w:gridCol w:w="1059"/>
        <w:gridCol w:w="1059"/>
        <w:gridCol w:w="1060"/>
        <w:gridCol w:w="1061"/>
        <w:gridCol w:w="1060"/>
        <w:gridCol w:w="1059"/>
        <w:gridCol w:w="1059"/>
        <w:gridCol w:w="1063"/>
      </w:tblGrid>
      <w:tr>
        <w:trPr>
          <w:trHeight w:val="364" w:hRule="atLeast"/>
        </w:trPr>
        <w:tc>
          <w:tcPr>
            <w:tcW w:w="495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2"/>
              <w:spacing w:before="58" w:line="228" w:lineRule="auto"/>
              <w:rPr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59" w:line="227" w:lineRule="auto"/>
              <w:rPr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239" w:type="dxa"/>
            <w:vAlign w:val="top"/>
            <w:gridSpan w:val="4"/>
          </w:tcPr>
          <w:p>
            <w:pPr>
              <w:pStyle w:val="TableText"/>
              <w:ind w:left="1746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 w:right="55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"/>
              <w:spacing w:before="59" w:line="193" w:lineRule="auto"/>
              <w:rPr/>
            </w:pPr>
            <w:r>
              <w:rPr>
                <w:spacing w:val="6"/>
              </w:rPr>
              <w:t>使用非财政</w:t>
            </w:r>
          </w:p>
          <w:p>
            <w:pPr>
              <w:pStyle w:val="TableText"/>
              <w:ind w:left="161"/>
              <w:spacing w:line="227" w:lineRule="auto"/>
              <w:rPr/>
            </w:pP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6" w:hRule="atLeast"/>
        </w:trPr>
        <w:tc>
          <w:tcPr>
            <w:tcW w:w="49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49"/>
              <w:spacing w:before="2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8" w:right="56" w:hanging="374"/>
              <w:spacing w:before="117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46" w:right="55" w:hanging="282"/>
              <w:spacing w:before="117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ind w:left="252" w:right="56" w:hanging="170"/>
              <w:spacing w:before="117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6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工商联换届工作经费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569" w:bottom="726" w:left="569" w:header="0" w:footer="564" w:gutter="0"/>
          <w:cols w:equalWidth="0" w:num="1">
            <w:col w:w="1570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18"/>
          <w:pgSz w:w="16840" w:h="11900"/>
          <w:pgMar w:top="1011" w:right="583" w:bottom="726" w:left="585" w:header="0" w:footer="564" w:gutter="0"/>
          <w:cols w:equalWidth="0" w:num="1">
            <w:col w:w="15671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918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政府采购预算表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公开表12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583" w:bottom="726" w:left="585" w:header="0" w:footer="564" w:gutter="0"/>
          <w:cols w:equalWidth="0" w:num="2">
            <w:col w:w="14689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6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"/>
        <w:gridCol w:w="479"/>
        <w:gridCol w:w="551"/>
        <w:gridCol w:w="3395"/>
        <w:gridCol w:w="1413"/>
        <w:gridCol w:w="1413"/>
        <w:gridCol w:w="1130"/>
        <w:gridCol w:w="1130"/>
        <w:gridCol w:w="1132"/>
        <w:gridCol w:w="1130"/>
        <w:gridCol w:w="1130"/>
        <w:gridCol w:w="1130"/>
        <w:gridCol w:w="1137"/>
      </w:tblGrid>
      <w:tr>
        <w:trPr>
          <w:trHeight w:val="363" w:hRule="atLeast"/>
        </w:trPr>
        <w:tc>
          <w:tcPr>
            <w:tcW w:w="1525" w:type="dxa"/>
            <w:vAlign w:val="top"/>
            <w:gridSpan w:val="3"/>
          </w:tcPr>
          <w:p>
            <w:pPr>
              <w:pStyle w:val="TableText"/>
              <w:ind w:left="388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4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0745" w:type="dxa"/>
            <w:vAlign w:val="top"/>
            <w:gridSpan w:val="9"/>
          </w:tcPr>
          <w:p>
            <w:pPr>
              <w:pStyle w:val="TableText"/>
              <w:ind w:left="4300"/>
              <w:spacing w:before="114" w:line="227" w:lineRule="auto"/>
              <w:rPr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rPr>
          <w:trHeight w:val="361" w:hRule="atLeast"/>
        </w:trPr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58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59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58" w:line="228" w:lineRule="auto"/>
              <w:rPr/>
            </w:pPr>
            <w:r>
              <w:rPr/>
              <w:t>项</w:t>
            </w:r>
          </w:p>
        </w:tc>
        <w:tc>
          <w:tcPr>
            <w:tcW w:w="339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vAlign w:val="top"/>
            <w:gridSpan w:val="4"/>
          </w:tcPr>
          <w:p>
            <w:pPr>
              <w:pStyle w:val="TableText"/>
              <w:ind w:left="2032"/>
              <w:spacing w:before="113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 w:right="87" w:hanging="190"/>
              <w:spacing w:before="58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59" w:line="193" w:lineRule="auto"/>
              <w:rPr/>
            </w:pPr>
            <w:r>
              <w:rPr>
                <w:spacing w:val="6"/>
              </w:rPr>
              <w:t>使用非财政</w:t>
            </w:r>
          </w:p>
          <w:p>
            <w:pPr>
              <w:pStyle w:val="TableText"/>
              <w:ind w:left="200"/>
              <w:spacing w:line="227" w:lineRule="auto"/>
              <w:rPr/>
            </w:pPr>
            <w:r>
              <w:rPr>
                <w:spacing w:val="6"/>
              </w:rPr>
              <w:t>拨款结余</w:t>
            </w:r>
          </w:p>
        </w:tc>
        <w:tc>
          <w:tcPr>
            <w:tcW w:w="1137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58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9" w:hRule="atLeast"/>
        </w:trPr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pStyle w:val="TableText"/>
              <w:ind w:left="52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476" w:right="89" w:hanging="374"/>
              <w:spacing w:before="120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384" w:right="87" w:hanging="282"/>
              <w:spacing w:before="120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2" w:type="dxa"/>
            <w:vAlign w:val="top"/>
          </w:tcPr>
          <w:p>
            <w:pPr>
              <w:pStyle w:val="TableText"/>
              <w:ind w:left="291" w:right="88" w:hanging="170"/>
              <w:spacing w:before="120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（注：2024年未安排政府采购预算。）</w:t>
      </w:r>
    </w:p>
    <w:p>
      <w:pPr>
        <w:spacing w:line="190" w:lineRule="auto"/>
        <w:sectPr>
          <w:type w:val="continuous"/>
          <w:pgSz w:w="16840" w:h="11900"/>
          <w:pgMar w:top="1011" w:right="583" w:bottom="726" w:left="585" w:header="0" w:footer="564" w:gutter="0"/>
          <w:cols w:equalWidth="0" w:num="1">
            <w:col w:w="15671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第三部分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10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2024年部门预算情况和重要事项说明</w:t>
      </w:r>
    </w:p>
    <w:p>
      <w:pPr>
        <w:spacing w:line="221" w:lineRule="auto"/>
        <w:sectPr>
          <w:footerReference w:type="default" r:id="rId19"/>
          <w:pgSz w:w="11900" w:h="16840"/>
          <w:pgMar w:top="1431" w:right="1785" w:bottom="726" w:left="1234" w:header="0" w:footer="564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562"/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一、预算收支增减变化情况说明</w:t>
      </w:r>
    </w:p>
    <w:p>
      <w:pPr>
        <w:spacing w:before="225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按照综合预算的原则，本部门所有收入和支出均纳入部门预算管理,部门</w:t>
      </w:r>
    </w:p>
    <w:p>
      <w:pPr>
        <w:ind w:left="6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本级和所属单位的收入和支出均包含在部门预算中。</w:t>
      </w:r>
    </w:p>
    <w:p>
      <w:pPr>
        <w:ind w:left="565"/>
        <w:spacing w:before="227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  <w:position w:val="20"/>
        </w:rPr>
        <w:t>（一）收入预算：2024年收入预算223.60万元，其中：</w:t>
      </w:r>
      <w:r>
        <w:rPr>
          <w:rFonts w:ascii="FangSong" w:hAnsi="FangSong" w:eastAsia="FangSong" w:cs="FangSong"/>
          <w:sz w:val="28"/>
          <w:szCs w:val="28"/>
          <w:spacing w:val="92"/>
          <w:position w:val="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  <w:position w:val="20"/>
        </w:rPr>
        <w:t>一般公共预算收</w:t>
      </w:r>
    </w:p>
    <w:p>
      <w:pPr>
        <w:ind w:left="5"/>
        <w:spacing w:before="1" w:line="2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入223.60万元。</w:t>
      </w:r>
    </w:p>
    <w:p>
      <w:pPr>
        <w:ind w:left="565"/>
        <w:spacing w:before="217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（二）支出预算：2024年支出预算223.60万元，其中：基本支出</w:t>
      </w:r>
    </w:p>
    <w:p>
      <w:pPr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218.98万元，项目支出4.62万元。</w:t>
      </w:r>
    </w:p>
    <w:p>
      <w:pPr>
        <w:spacing w:before="221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0"/>
        </w:rPr>
        <w:t>（三）增减变化情况：2024年收支预算</w:t>
      </w: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223.60万元，比上年减少94.96万</w:t>
      </w:r>
    </w:p>
    <w:p>
      <w:pPr>
        <w:ind w:left="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元，其中：</w:t>
      </w:r>
    </w:p>
    <w:p>
      <w:pPr>
        <w:ind w:left="577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1.收入预算减少94.96万元，其中一般公共预算收入减少94.96万元。</w:t>
      </w:r>
    </w:p>
    <w:p>
      <w:pPr>
        <w:ind w:left="559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0"/>
        </w:rPr>
        <w:t>2.支出预算减少94.96万元，其中基本支出</w:t>
      </w: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减少99.58万元，项目支出增</w:t>
      </w:r>
    </w:p>
    <w:p>
      <w:pPr>
        <w:ind w:left="4"/>
        <w:spacing w:before="2" w:line="2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加4.62万元。</w:t>
      </w:r>
    </w:p>
    <w:p>
      <w:pPr>
        <w:ind w:left="562"/>
        <w:spacing w:before="21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3.收支预算减少的主要原因，住房公积金减少。</w:t>
      </w:r>
    </w:p>
    <w:p>
      <w:pPr>
        <w:ind w:left="562"/>
        <w:spacing w:before="225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二、“三公”经费支出情况</w:t>
      </w:r>
    </w:p>
    <w:p>
      <w:pPr>
        <w:ind w:left="559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2023年、2024年均未使用一般公共预算拨款安排“三公”经费支出。</w:t>
      </w:r>
    </w:p>
    <w:p>
      <w:pPr>
        <w:ind w:left="563"/>
        <w:spacing w:before="223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三、机关运行经费情况</w:t>
      </w:r>
    </w:p>
    <w:p>
      <w:pPr>
        <w:ind w:left="565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机关运行经费指为保障行政单位（包括参照公务员法管理</w:t>
      </w: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的事业单位）</w:t>
      </w:r>
    </w:p>
    <w:p>
      <w:pPr>
        <w:ind w:left="7"/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运行用于购买货物和服务的各项资金，包括办公及印刷费、邮电费、差旅</w:t>
      </w:r>
    </w:p>
    <w:p>
      <w:pPr>
        <w:ind w:left="4" w:right="140" w:firstLine="9"/>
        <w:spacing w:before="225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费、会议费、福利费、日常维修费、专用材料及一般设备购置费、办公用房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水电费、办公用房取暖费、办公用房物业管理费、公务用车运行维护费以及</w:t>
      </w:r>
    </w:p>
    <w:p>
      <w:pPr>
        <w:ind w:left="7"/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其他费用。2024年本部门机关运行经费安排16.49万元，较2023年预算</w:t>
      </w:r>
    </w:p>
    <w:p>
      <w:pPr>
        <w:ind w:left="17"/>
        <w:spacing w:before="225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15.68。主要原因是：人员调整。</w:t>
      </w:r>
    </w:p>
    <w:p>
      <w:pPr>
        <w:ind w:left="574"/>
        <w:spacing w:before="221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四、政府采购情况</w:t>
      </w:r>
    </w:p>
    <w:p>
      <w:pPr>
        <w:ind w:left="559"/>
        <w:spacing w:before="222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2024年政府采购预算0.00万元，其中：政</w:t>
      </w:r>
      <w:r>
        <w:rPr>
          <w:rFonts w:ascii="FangSong" w:hAnsi="FangSong" w:eastAsia="FangSong" w:cs="FangSong"/>
          <w:sz w:val="28"/>
          <w:szCs w:val="28"/>
          <w:spacing w:val="-1"/>
        </w:rPr>
        <w:t>府采购货物预算0.00万元，政</w:t>
      </w:r>
    </w:p>
    <w:p>
      <w:pPr>
        <w:spacing w:line="221" w:lineRule="auto"/>
        <w:sectPr>
          <w:footerReference w:type="default" r:id="rId20"/>
          <w:pgSz w:w="11900" w:h="16840"/>
          <w:pgMar w:top="1431" w:right="1302" w:bottom="726" w:left="1230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4"/>
        <w:spacing w:before="91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0"/>
        </w:rPr>
        <w:t>府采购工程预算0.00万元，政府采购服务预算0.00万元。</w:t>
      </w:r>
    </w:p>
    <w:p>
      <w:pPr>
        <w:ind w:left="563"/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五、国有资产占有使用情况</w:t>
      </w:r>
    </w:p>
    <w:p>
      <w:pPr>
        <w:ind w:left="18" w:firstLine="544"/>
        <w:spacing w:before="224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截至2023年12月31日，本部门共有车辆0辆，其中机要通信用车0辆、应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急保障用车0辆、执法执勤用车0辆、特种专业技术用车0辆、其他按照规定配</w:t>
      </w:r>
    </w:p>
    <w:p>
      <w:pPr>
        <w:ind w:left="5"/>
        <w:spacing w:before="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备的公务用车0辆。</w:t>
      </w:r>
    </w:p>
    <w:p>
      <w:pPr>
        <w:ind w:left="568"/>
        <w:spacing w:before="227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单位价值100万元以上的设备0台（件、套）。</w:t>
      </w:r>
    </w:p>
    <w:p>
      <w:pPr>
        <w:ind w:left="557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2024年预算未安排购置单位价值100万元以上大型设备。</w:t>
      </w:r>
    </w:p>
    <w:p>
      <w:pPr>
        <w:ind w:left="564"/>
        <w:spacing w:before="225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六、绩效目标情况说明</w:t>
      </w:r>
    </w:p>
    <w:p>
      <w:pPr>
        <w:pStyle w:val="BodyText"/>
        <w:ind w:left="574"/>
        <w:spacing w:before="225" w:line="223" w:lineRule="auto"/>
        <w:rPr/>
      </w:pPr>
      <w:r>
        <w:rPr>
          <w:spacing w:val="-5"/>
        </w:rPr>
        <w:t>（一）预算绩效管理情况</w:t>
      </w:r>
    </w:p>
    <w:p>
      <w:pPr>
        <w:ind w:firstLine="567"/>
        <w:spacing w:before="223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淄博市张店区工商业联合会2024年项目支出全面实施绩效目标管理，涉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及预算项目支出1个，预算资金4.62万元，</w:t>
      </w:r>
      <w:r>
        <w:rPr>
          <w:rFonts w:ascii="FangSong" w:hAnsi="FangSong" w:eastAsia="FangSong" w:cs="FangSong"/>
          <w:sz w:val="28"/>
          <w:szCs w:val="28"/>
          <w:spacing w:val="-1"/>
        </w:rPr>
        <w:t>其中财政拨款4.62万元。拟对工商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联换届工作经费等1个项目开展部门重点绩效评价，涉及预算资金4.62</w:t>
      </w:r>
      <w:r>
        <w:rPr>
          <w:rFonts w:ascii="FangSong" w:hAnsi="FangSong" w:eastAsia="FangSong" w:cs="FangSong"/>
          <w:sz w:val="28"/>
          <w:szCs w:val="28"/>
          <w:spacing w:val="-3"/>
        </w:rPr>
        <w:t>万元，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其中财政拨款4.62万元。根据以前年度绩效评价结果，优化工商联换届工作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经费等项目支出2024年预算安排，进一步改进管理、完善政策。</w:t>
      </w:r>
    </w:p>
    <w:p>
      <w:pPr>
        <w:pStyle w:val="BodyText"/>
        <w:ind w:left="574"/>
        <w:spacing w:before="224" w:line="223" w:lineRule="auto"/>
        <w:rPr/>
      </w:pPr>
      <w:r>
        <w:rPr>
          <w:spacing w:val="-3"/>
        </w:rPr>
        <w:t>（二）部门主管专项资金的绩效目标表</w:t>
      </w:r>
    </w:p>
    <w:p>
      <w:pPr>
        <w:spacing w:line="223" w:lineRule="auto"/>
        <w:sectPr>
          <w:footerReference w:type="default" r:id="rId21"/>
          <w:pgSz w:w="11900" w:h="16840"/>
          <w:pgMar w:top="1431" w:right="1302" w:bottom="726" w:left="1233" w:header="0" w:footer="563" w:gutter="0"/>
        </w:sectPr>
        <w:rPr/>
      </w:pPr>
    </w:p>
    <w:p>
      <w:pPr>
        <w:pStyle w:val="BodyText"/>
        <w:ind w:left="1443"/>
        <w:spacing w:before="58" w:line="224" w:lineRule="auto"/>
        <w:rPr/>
      </w:pPr>
      <w:r>
        <w:rPr>
          <w:spacing w:val="-4"/>
        </w:rPr>
        <w:t>（三）部门预算项目绩效目标表</w:t>
      </w:r>
    </w:p>
    <w:p>
      <w:pPr>
        <w:ind w:left="4365"/>
        <w:spacing w:before="259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工商联换届工作经费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淄博市张店区工商业联合会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淄博市张店区工商业联合会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</w:p>
          <w:p>
            <w:pPr>
              <w:pStyle w:val="TableText"/>
              <w:ind w:left="272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4.62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4.62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通过支付换届保障经费，确保大会顺利召开，高质量完成换届选举任务。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换届大会所需费用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≤231元/人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完成换届工作所需费用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≤4.62万元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组织换届大会人数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换届大会标准要求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符合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换届大会召开时间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9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及时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工商联会员单位凝聚力显著提高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提高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工商联事业稳步推进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≥5年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会员单位满意度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≥96%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0" w:h="16840"/>
          <w:pgMar w:top="541" w:right="385" w:bottom="726" w:left="385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第四部分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857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名词解释</w:t>
      </w:r>
    </w:p>
    <w:p>
      <w:pPr>
        <w:spacing w:line="222" w:lineRule="auto"/>
        <w:sectPr>
          <w:footerReference w:type="default" r:id="rId23"/>
          <w:pgSz w:w="11900" w:h="16840"/>
          <w:pgMar w:top="1431" w:right="1785" w:bottom="726" w:left="1234" w:header="0" w:footer="564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30" w:right="140" w:firstLine="563"/>
        <w:spacing w:before="91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一、财政拨款收入：指由县（区）级财政拨款形成的部门收入，包括一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般公共预算拨款收入、政府性基金预算拨款收入和国有资本经营预算拨款收</w:t>
      </w:r>
    </w:p>
    <w:p>
      <w:pPr>
        <w:ind w:left="29"/>
        <w:spacing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38" w:right="140" w:firstLine="560"/>
        <w:spacing w:before="202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二、财政专户管理资金：指缴入财政专户、实行专项管理的高中以上学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费、住宿费、高校委托培养费、函大、电大、夜大及短训班培训费等教育收</w:t>
      </w:r>
    </w:p>
    <w:p>
      <w:pPr>
        <w:ind w:left="38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费。</w:t>
      </w:r>
    </w:p>
    <w:p>
      <w:pPr>
        <w:ind w:left="597"/>
        <w:spacing w:before="220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三、事业收入：指事业单位开展专业业务活动及辅助活动所取得的收</w:t>
      </w:r>
    </w:p>
    <w:p>
      <w:pPr>
        <w:ind w:left="2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入，不含纳入财政专户管理的教育收费。</w:t>
      </w:r>
    </w:p>
    <w:p>
      <w:pPr>
        <w:ind w:left="622"/>
        <w:spacing w:before="223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四、事业单位经营收入：指事业单位在专业业务活动及其辅助活动之外</w:t>
      </w:r>
    </w:p>
    <w:p>
      <w:pPr>
        <w:ind w:left="29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开展非独立核算经营活动取得的收入。</w:t>
      </w:r>
    </w:p>
    <w:p>
      <w:pPr>
        <w:ind w:left="29" w:right="140" w:firstLine="564"/>
        <w:spacing w:before="224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五、其他收入：指除“财政拨款收入”“财政专户管理资金”“事业收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入”“事业单位经营收入”“上级补助收入”“附属单位上缴收入”等以外</w:t>
      </w:r>
    </w:p>
    <w:p>
      <w:pPr>
        <w:ind w:left="45"/>
        <w:spacing w:before="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的收入。主要包括利息存款收入、事业单位固定资产出租收入等。</w:t>
      </w:r>
    </w:p>
    <w:p>
      <w:pPr>
        <w:ind w:left="591"/>
        <w:spacing w:before="227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六、上级补助收入：指单位从主管部门和上级单位取得的非财政补助收</w:t>
      </w:r>
    </w:p>
    <w:p>
      <w:pPr>
        <w:ind w:left="29"/>
        <w:spacing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595"/>
        <w:spacing w:before="202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七、附属单位上缴收入：指本部门所属纳入部门预算编报范围的单位按</w:t>
      </w:r>
    </w:p>
    <w:p>
      <w:pPr>
        <w:ind w:left="26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有关规定上缴的收入。</w:t>
      </w:r>
    </w:p>
    <w:p>
      <w:pPr>
        <w:ind w:firstLine="588"/>
        <w:spacing w:before="223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八、使用非财政拨款结余：指本部门在预计用当年的“财政拨款</w:t>
      </w:r>
      <w:r>
        <w:rPr>
          <w:rFonts w:ascii="FangSong" w:hAnsi="FangSong" w:eastAsia="FangSong" w:cs="FangSong"/>
          <w:sz w:val="28"/>
          <w:szCs w:val="28"/>
          <w:spacing w:val="3"/>
        </w:rPr>
        <w:t>收入”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“财政专户管理资金收入”“事业收入”“事业单位经营收入”“上级补助</w:t>
      </w:r>
    </w:p>
    <w:p>
      <w:pPr>
        <w:ind w:left="44"/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收入”“附属单位上缴收入”“其他收入”等不足以安排当年支出的</w:t>
      </w:r>
      <w:r>
        <w:rPr>
          <w:rFonts w:ascii="FangSong" w:hAnsi="FangSong" w:eastAsia="FangSong" w:cs="FangSong"/>
          <w:sz w:val="28"/>
          <w:szCs w:val="28"/>
          <w:spacing w:val="-2"/>
        </w:rPr>
        <w:t>情况</w:t>
      </w:r>
    </w:p>
    <w:p>
      <w:pPr>
        <w:ind w:left="34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下，使用以前年度积累结余弥补本年度收支缺口的资金。</w:t>
      </w:r>
    </w:p>
    <w:p>
      <w:pPr>
        <w:ind w:left="599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九、上年结转：指以前年度尚未完成、结转到本年仍按原规定用途继续</w:t>
      </w:r>
    </w:p>
    <w:p>
      <w:pPr>
        <w:ind w:left="30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使用的资金。</w:t>
      </w:r>
    </w:p>
    <w:p>
      <w:pPr>
        <w:ind w:left="597"/>
        <w:spacing w:before="22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十、基本支出：指为保障机构正常运转、完成日常工作任务而发生的人</w:t>
      </w:r>
    </w:p>
    <w:p>
      <w:pPr>
        <w:spacing w:line="219" w:lineRule="auto"/>
        <w:sectPr>
          <w:footerReference w:type="default" r:id="rId24"/>
          <w:pgSz w:w="11900" w:h="16840"/>
          <w:pgMar w:top="1431" w:right="1302" w:bottom="726" w:left="1206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22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员支出和日常公用支出。</w:t>
      </w:r>
    </w:p>
    <w:p>
      <w:pPr>
        <w:ind w:right="17"/>
        <w:spacing w:before="222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十一、项目支出：指在基本支出之外为完成特定任务和事业发展目标所</w:t>
      </w:r>
    </w:p>
    <w:p>
      <w:pPr>
        <w:ind w:left="8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发生的支出。</w:t>
      </w:r>
    </w:p>
    <w:p>
      <w:pPr>
        <w:ind w:left="568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十二、上缴上级支出：指下级单位上缴上级的支出。</w:t>
      </w:r>
    </w:p>
    <w:p>
      <w:pPr>
        <w:spacing w:before="224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十三、事业单位经营支出：指事业单位在专业业务活动及其辅助活动之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外开展非独立核算经营活动发生的支出。</w:t>
      </w:r>
    </w:p>
    <w:p>
      <w:pPr>
        <w:ind w:left="568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十四、对下级单位补助支出：指对下级单位补助发生的支出。</w:t>
      </w:r>
    </w:p>
    <w:p>
      <w:pPr>
        <w:spacing w:before="225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十五、结转下年：指以前年度预算安排、因客观条件发生变化无法按原</w:t>
      </w:r>
    </w:p>
    <w:p>
      <w:pPr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计划实施，需延迟到以后年度按原规定用途继续使用的资金。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十六、“三公”经费：指县（区）级部门单位安排的因公出国（境）</w:t>
      </w:r>
    </w:p>
    <w:p>
      <w:pPr>
        <w:ind w:left="1" w:firstLine="7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费、公务用车购置及运行费和公务接待费。其中，因公出国（境）费反映单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位公务出国（境）的国际差旅费、国外城市间交通费、住宿费、伙食费、培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训费、公杂费等支出；公务用车购置及运行费反映单位公务用车车辆购置支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出（含车辆购置税）及燃料费、维修费、过路过桥费、保险费、安全奖励费</w:t>
      </w:r>
    </w:p>
    <w:p>
      <w:pPr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用等支出；公务接待费反映单位按规定开支的各类接待（含外宾接待）支</w:t>
      </w:r>
    </w:p>
    <w:p>
      <w:pPr>
        <w:ind w:left="29"/>
        <w:spacing w:before="225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出。</w:t>
      </w:r>
    </w:p>
    <w:p>
      <w:pPr>
        <w:spacing w:before="216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十七、机关运行经费：指为保障行政单位（包括参照公务员法管理的事</w:t>
      </w:r>
    </w:p>
    <w:p>
      <w:pPr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业单位）运行用于购买货物和服务的各项资金，包括办公及印刷费、邮电</w:t>
      </w:r>
    </w:p>
    <w:p>
      <w:pPr>
        <w:ind w:left="9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费、差旅费、会议费、福利费、日常维修费、专用材料及</w:t>
      </w:r>
      <w:r>
        <w:rPr>
          <w:rFonts w:ascii="FangSong" w:hAnsi="FangSong" w:eastAsia="FangSong" w:cs="FangSong"/>
          <w:sz w:val="28"/>
          <w:szCs w:val="28"/>
          <w:spacing w:val="-3"/>
        </w:rPr>
        <w:t>一般设备购置费、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办公用房水电费、办公用房取暖费、办公用房物业管理费、公务用车运行维</w:t>
      </w:r>
    </w:p>
    <w:p>
      <w:pPr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护费以及其他费用。</w:t>
      </w:r>
    </w:p>
    <w:sectPr>
      <w:footerReference w:type="default" r:id="rId25"/>
      <w:pgSz w:w="11900" w:h="16840"/>
      <w:pgMar w:top="1431" w:right="1442" w:bottom="726" w:left="1235" w:header="0" w:footer="5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2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10 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11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38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12 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13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54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14 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2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15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16 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17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5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18 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19 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 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4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20 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21 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22 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23 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24 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25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4 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96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6 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7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8 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9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KaiTi" w:hAnsi="KaiTi" w:eastAsia="KaiTi" w:cs="KaiTi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2024-03-27T08:58:20Z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2024-03-27T14:38:57</vt:filetime>
  </property>
</Properties>
</file>