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关于公开张店区财政局2023年度“双随机、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一公开”抽查工作计划的通知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根据张店区“双随机、一公开”监管工作联席会议办公室要求，现将张店区财政局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年度“双随机、一公开”抽查工作计划予以公开。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附件：张店区财政局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年度“双随机、一公开”抽查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6" w:leftChars="76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6" w:leftChars="76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6" w:leftChars="76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6" w:leftChars="760" w:firstLine="4160" w:firstLineChars="1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张店区财政局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6" w:leftChars="760" w:firstLine="3840" w:firstLineChars="1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6" w:leftChars="760" w:firstLine="3840" w:firstLineChars="1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6" w:leftChars="760" w:firstLine="3840" w:firstLineChars="1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2098" w:right="1531" w:bottom="2098" w:left="1531" w:header="851" w:footer="992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张店区财政局2023年度“双随机、一公开”抽查工作计划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5"/>
        <w:tblW w:w="12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1285"/>
        <w:gridCol w:w="1286"/>
        <w:gridCol w:w="1286"/>
        <w:gridCol w:w="1286"/>
        <w:gridCol w:w="1286"/>
        <w:gridCol w:w="1286"/>
        <w:gridCol w:w="1286"/>
        <w:gridCol w:w="1286"/>
        <w:gridCol w:w="1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28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抽查类别</w:t>
            </w:r>
          </w:p>
        </w:tc>
        <w:tc>
          <w:tcPr>
            <w:tcW w:w="128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抽查事项</w:t>
            </w:r>
          </w:p>
        </w:tc>
        <w:tc>
          <w:tcPr>
            <w:tcW w:w="128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检查对象</w:t>
            </w:r>
          </w:p>
        </w:tc>
        <w:tc>
          <w:tcPr>
            <w:tcW w:w="128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事项类别</w:t>
            </w:r>
          </w:p>
        </w:tc>
        <w:tc>
          <w:tcPr>
            <w:tcW w:w="128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抽查比例及频次</w:t>
            </w:r>
          </w:p>
        </w:tc>
        <w:tc>
          <w:tcPr>
            <w:tcW w:w="128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预估抽查对象数</w:t>
            </w:r>
          </w:p>
        </w:tc>
        <w:tc>
          <w:tcPr>
            <w:tcW w:w="128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预估抽查对象风险等级</w:t>
            </w:r>
          </w:p>
        </w:tc>
        <w:tc>
          <w:tcPr>
            <w:tcW w:w="128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检查时间</w:t>
            </w:r>
          </w:p>
        </w:tc>
        <w:tc>
          <w:tcPr>
            <w:tcW w:w="128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检查主体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128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</w:rPr>
              <w:t>会计信息质量检查</w:t>
            </w:r>
          </w:p>
        </w:tc>
        <w:tc>
          <w:tcPr>
            <w:tcW w:w="128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小标宋简体" w:hAnsi="方正小标宋简体" w:eastAsia="仿宋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</w:rPr>
              <w:t>会计准则执行情况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128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小标宋简体" w:hAnsi="方正小标宋简体" w:eastAsia="仿宋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</w:rPr>
              <w:t>区级行政事业单位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、国有企业</w:t>
            </w:r>
          </w:p>
        </w:tc>
        <w:tc>
          <w:tcPr>
            <w:tcW w:w="128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</w:rPr>
              <w:t>一般检查事项</w:t>
            </w:r>
          </w:p>
        </w:tc>
        <w:tc>
          <w:tcPr>
            <w:tcW w:w="128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</w:rPr>
              <w:t>抽查比例及频次根据监管需要确定</w:t>
            </w:r>
          </w:p>
        </w:tc>
        <w:tc>
          <w:tcPr>
            <w:tcW w:w="128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-</w:t>
            </w: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</w:rPr>
              <w:t>家</w:t>
            </w:r>
          </w:p>
        </w:tc>
        <w:tc>
          <w:tcPr>
            <w:tcW w:w="128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</w:rPr>
              <w:t>中风险</w:t>
            </w:r>
          </w:p>
        </w:tc>
        <w:tc>
          <w:tcPr>
            <w:tcW w:w="128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</w:rPr>
              <w:t>预计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6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-10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</w:rPr>
              <w:t>月，具体时间以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市局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</w:rPr>
              <w:t>通知为准</w:t>
            </w:r>
          </w:p>
        </w:tc>
        <w:tc>
          <w:tcPr>
            <w:tcW w:w="128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</w:rPr>
              <w:t>县级财政部门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6838" w:h="11906" w:orient="landscape"/>
      <w:pgMar w:top="1531" w:right="2098" w:bottom="1531" w:left="209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50A58"/>
    <w:rsid w:val="03533978"/>
    <w:rsid w:val="0635079D"/>
    <w:rsid w:val="1D9928CA"/>
    <w:rsid w:val="1F1264F9"/>
    <w:rsid w:val="20B60036"/>
    <w:rsid w:val="217B53CB"/>
    <w:rsid w:val="25C67F69"/>
    <w:rsid w:val="25F61B24"/>
    <w:rsid w:val="2ACB4589"/>
    <w:rsid w:val="36542BAC"/>
    <w:rsid w:val="45AD0CD7"/>
    <w:rsid w:val="4E52701F"/>
    <w:rsid w:val="50826466"/>
    <w:rsid w:val="5F15099D"/>
    <w:rsid w:val="66953BF6"/>
    <w:rsid w:val="67C13660"/>
    <w:rsid w:val="73A41210"/>
    <w:rsid w:val="7F7507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NTKO</cp:lastModifiedBy>
  <dcterms:modified xsi:type="dcterms:W3CDTF">2023-07-11T05:48:58Z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