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62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  <w:shd w:val="clear" w:color="auto" w:fill="FFFFFF"/>
        </w:rPr>
        <w:t>淄博市张店区残疾人联合会</w:t>
      </w:r>
      <w:r>
        <w:rPr>
          <w:rFonts w:hint="eastAsia" w:ascii="Times New Roman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机关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</w:rPr>
        <w:t>20</w:t>
      </w: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  <w:lang w:val="en-US" w:eastAsia="zh-CN"/>
        </w:rPr>
        <w:t>20</w:t>
      </w:r>
      <w:r>
        <w:rPr>
          <w:rFonts w:hint="eastAsia" w:ascii="Times New Roman" w:hAnsi="方正小标宋简体" w:eastAsia="方正小标宋简体" w:cs="方正小标宋简体"/>
          <w:sz w:val="44"/>
          <w:szCs w:val="44"/>
          <w:shd w:val="clear" w:color="auto" w:fill="FFFFFF"/>
        </w:rPr>
        <w:t>年政府信息公开工作年度报告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420"/>
        <w:jc w:val="both"/>
        <w:rPr>
          <w:rFonts w:ascii="Times New Roman" w:hAnsi="Times New Roman" w:eastAsia="宋体" w:cs="宋体"/>
          <w:sz w:val="28"/>
          <w:szCs w:val="28"/>
        </w:rPr>
      </w:pP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Calibri" w:eastAsia="仿宋_GB2312" w:cs="Times New Roman"/>
          <w:color w:val="000000"/>
          <w:sz w:val="32"/>
          <w:szCs w:val="32"/>
        </w:rPr>
        <w:t>本报告由张店区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残疾人联合会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按照《中华人民共和国政府信息公开条例》、《山东省政府信息公开办法》、《淄博市政府信息公开规定》要求编制。所列数据的统计期限是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日至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12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31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日。本报告电子版可在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张店区政务公开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网站查阅或下载（网址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http://www.zhangdian.gov.cn/gongkai/site_zdqcjrlhh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）。如对报告内容有疑问，请与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淄博市张店区残疾人联合会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机关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联系（地址：张店区新村西路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226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号区政务中心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134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房间；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邮编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:255020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；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电话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:0533-2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212161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；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电子邮箱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: zdqclbgs@zb.shandong.cn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）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宋体" w:cs="宋体"/>
          <w:color w:val="222222"/>
          <w:kern w:val="0"/>
          <w:sz w:val="24"/>
        </w:rPr>
      </w:pPr>
      <w:r>
        <w:rPr>
          <w:rFonts w:hint="eastAsia" w:ascii="Times New Roman" w:hAnsi="黑体" w:eastAsia="黑体" w:cs="黑体"/>
          <w:sz w:val="32"/>
          <w:szCs w:val="32"/>
          <w:shd w:val="clear" w:color="auto" w:fill="FFFFFF"/>
        </w:rPr>
        <w:t>一、总体情况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Calibri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  <w:t>2020年张店区残联机关政务公开工作，以残疾人工作为中心，严格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按照全国、省、市、区政府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政务公开工作相关要求，开展政务信息公开工作。区残联机关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不断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建立健全和完善各项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工作机制，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全面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深化信息公开力度，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提升信息公开水平，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确保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信息发布及时、准确、有效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区残联机关政务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信息公开工作运行正常，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兼职政务信息公开人员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  <w:t>1名，人大建议办理2件，政协提案办理1件，</w:t>
      </w:r>
      <w:bookmarkStart w:id="0" w:name="_GoBack"/>
      <w:bookmarkEnd w:id="0"/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确保了群众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对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区残联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工作的知情权、表达权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参与权和监督权，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区残联政务</w:t>
      </w:r>
      <w:r>
        <w:rPr>
          <w:rFonts w:hint="default" w:ascii="Times New Roman" w:hAnsi="Calibri" w:eastAsia="仿宋_GB2312" w:cs="Times New Roman"/>
          <w:color w:val="000000"/>
          <w:sz w:val="32"/>
          <w:szCs w:val="32"/>
        </w:rPr>
        <w:t>公开工作质量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不管</w:t>
      </w:r>
      <w:r>
        <w:rPr>
          <w:rFonts w:hint="default" w:ascii="Times New Roman" w:hAnsi="Calibri" w:eastAsia="仿宋_GB2312" w:cs="Times New Roman"/>
          <w:color w:val="000000"/>
          <w:sz w:val="32"/>
          <w:szCs w:val="32"/>
        </w:rPr>
        <w:t>提高，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政务服务水平和</w:t>
      </w:r>
      <w:r>
        <w:rPr>
          <w:rFonts w:hint="default" w:ascii="Times New Roman" w:hAnsi="Calibri" w:eastAsia="仿宋_GB2312" w:cs="Times New Roman"/>
          <w:color w:val="000000"/>
          <w:sz w:val="32"/>
          <w:szCs w:val="32"/>
        </w:rPr>
        <w:t>群众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满意度进一步提升。</w:t>
      </w:r>
    </w:p>
    <w:p>
      <w:pPr>
        <w:pStyle w:val="4"/>
        <w:widowControl/>
        <w:shd w:val="clear" w:color="auto" w:fill="FFFFFF"/>
        <w:spacing w:beforeAutospacing="0" w:after="240" w:afterAutospacing="0"/>
        <w:ind w:firstLine="640"/>
        <w:jc w:val="both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708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本年新</w:t>
            </w:r>
            <w:r>
              <w:rPr>
                <w:rFonts w:hint="eastAsia" w:ascii="Times New Roman" w:hAnsi="Times New Roman" w:cstheme="minorEastAsia"/>
                <w:kern w:val="0"/>
                <w:sz w:val="24"/>
              </w:rPr>
              <w:br w:type="textWrapping"/>
            </w: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对外公开</w:t>
            </w:r>
          </w:p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　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0 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本年增</w:t>
            </w: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/</w:t>
            </w: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　1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　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本年增</w:t>
            </w: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/</w:t>
            </w: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本年增</w:t>
            </w: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/</w:t>
            </w: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 w:eastAsia="宋体" w:cs="宋体"/>
        </w:rPr>
      </w:pPr>
    </w:p>
    <w:p>
      <w:pPr>
        <w:pStyle w:val="4"/>
        <w:widowControl/>
        <w:shd w:val="clear" w:color="auto" w:fill="FFFFFF"/>
        <w:spacing w:beforeAutospacing="0" w:after="240" w:afterAutospacing="0"/>
        <w:ind w:left="-199" w:leftChars="-95" w:firstLine="620"/>
        <w:jc w:val="both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黑体" w:eastAsia="黑体" w:cs="黑体"/>
          <w:b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宋体" w:eastAsia="宋体" w:cs="宋体"/>
                <w:kern w:val="0"/>
                <w:sz w:val="15"/>
                <w:szCs w:val="15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Times New Roman" w:hAnsi="Times New Roma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危及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“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三安全一稳定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6.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7.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8.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Times New Roman" w:hAnsi="Times New Roma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Times New Roman" w:hAnsi="Times New Roma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要求行政机关确认或重新</w:t>
            </w:r>
          </w:p>
          <w:p>
            <w:pPr>
              <w:widowControl/>
              <w:spacing w:line="300" w:lineRule="exact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 w:eastAsia="宋体" w:cs="宋体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黑体" w:eastAsia="黑体" w:cs="宋体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 w:eastAsia="宋体" w:cs="宋体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Times New Roman" w:hAnsi="Times New Roman" w:eastAsia="宋体" w:cs="宋体"/>
          <w:sz w:val="24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黑体" w:eastAsia="黑体" w:cs="宋体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/>
        <w:jc w:val="both"/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年，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区残联在政务信息公开工作中，集中发力，按时按要求完成了各项工作，但是依然存在一些问题。比如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政务信息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公开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工作长效机制不够完善，政务公开工作不够创新，仍是按照上级安排按部就班开展工作，政务信息公开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意识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有待增强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进一步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做好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政府信息公开工作，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下一步，区残联将创新工作，真抓实干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/>
        <w:jc w:val="both"/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强化领导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进一步提升对政务信息公开工作的认识，继续将政务信息公开工作纳入从残联年度重点工作，强化领导，确保信息及时、高效、完整公开。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/>
        <w:jc w:val="both"/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立足群众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要不断完善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政务信息公开的内容、形式，对涉及广大残疾人的重大问题、决策和制度应及时公开，提高公开针对性。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进一步做好公开和不予公开两类信息的界定，完善主动公开的信息目录。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/>
        <w:jc w:val="both"/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完善制度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进一步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完善政府信息公开制度，严格按照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张店区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政府信息公开基本目录和年度政务公开工作要点要求，严格考核问责，加强社会监督，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不断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加强政务公开目录、内容规范化建设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。积极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处理来自广大群众对区残联政务公开工作的意见和建议。健全完善信息公开保密、审查制度，确保区残联信息公开工作科学化、程序化、标准化。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黑体" w:eastAsia="黑体" w:cs="宋体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没有需要报告的其他事项。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B4105D4"/>
    <w:rsid w:val="000D1159"/>
    <w:rsid w:val="002C5B52"/>
    <w:rsid w:val="003C3DCB"/>
    <w:rsid w:val="003F475E"/>
    <w:rsid w:val="00476ACF"/>
    <w:rsid w:val="005A5513"/>
    <w:rsid w:val="006E1FC7"/>
    <w:rsid w:val="00901FD7"/>
    <w:rsid w:val="009844C0"/>
    <w:rsid w:val="00AB1A96"/>
    <w:rsid w:val="00AD3CA8"/>
    <w:rsid w:val="00B121CD"/>
    <w:rsid w:val="00C26EFC"/>
    <w:rsid w:val="00CD0F85"/>
    <w:rsid w:val="00E729D2"/>
    <w:rsid w:val="00E80C3A"/>
    <w:rsid w:val="0A780477"/>
    <w:rsid w:val="2E223195"/>
    <w:rsid w:val="35C33367"/>
    <w:rsid w:val="37464714"/>
    <w:rsid w:val="3AE6555A"/>
    <w:rsid w:val="40066E40"/>
    <w:rsid w:val="4B24395B"/>
    <w:rsid w:val="4F886D1F"/>
    <w:rsid w:val="56015F00"/>
    <w:rsid w:val="57574EE4"/>
    <w:rsid w:val="57D65D24"/>
    <w:rsid w:val="7B4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1634</Words>
  <Characters>1763</Characters>
  <Lines>15</Lines>
  <Paragraphs>4</Paragraphs>
  <TotalTime>42</TotalTime>
  <ScaleCrop>false</ScaleCrop>
  <LinksUpToDate>false</LinksUpToDate>
  <CharactersWithSpaces>1796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2019-12-13T05:37:00Z</dcterms:created>
  <dc:creator>January</dc:creator>
  <cp:lastModifiedBy>Administrator</cp:lastModifiedBy>
  <cp:lastPrinted>2020-01-09T01:49:00Z</cp:lastPrinted>
  <dcterms:modified xsi:type="dcterms:W3CDTF">2021-01-29T03:21:07Z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