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0" w:lineRule="atLeast"/>
        <w:rPr>
          <w:rFonts w:ascii="方正小标宋简体" w:hAnsi="方正小标宋简体" w:eastAsia="方正小标宋简体" w:cs="方正小标宋简体"/>
          <w:color w:val="333333"/>
          <w:szCs w:val="44"/>
          <w:shd w:val="clear" w:color="auto" w:fill="FFFFFF"/>
        </w:rPr>
      </w:pPr>
    </w:p>
    <w:p>
      <w:pPr>
        <w:pStyle w:val="2"/>
        <w:spacing w:line="0" w:lineRule="atLeast"/>
        <w:rPr>
          <w:rFonts w:ascii="方正小标宋简体" w:hAnsi="方正小标宋简体" w:eastAsia="方正小标宋简体" w:cs="方正小标宋简体"/>
          <w:color w:val="333333"/>
          <w:szCs w:val="44"/>
          <w:shd w:val="clear" w:color="auto" w:fill="FFFFFF"/>
        </w:rPr>
      </w:pPr>
      <w:r>
        <w:rPr>
          <w:rFonts w:hint="eastAsia" w:ascii="方正小标宋简体" w:hAnsi="方正小标宋简体" w:eastAsia="方正小标宋简体" w:cs="方正小标宋简体"/>
          <w:color w:val="333333"/>
          <w:szCs w:val="44"/>
          <w:shd w:val="clear" w:color="auto" w:fill="FFFFFF"/>
        </w:rPr>
        <w:t>张店区人民政府</w:t>
      </w:r>
    </w:p>
    <w:p>
      <w:pPr>
        <w:pStyle w:val="2"/>
        <w:spacing w:line="0" w:lineRule="atLeast"/>
        <w:rPr>
          <w:rFonts w:ascii="方正小标宋简体" w:hAnsi="方正小标宋简体" w:eastAsia="方正小标宋简体" w:cs="方正小标宋简体"/>
          <w:color w:val="333333"/>
          <w:szCs w:val="44"/>
          <w:shd w:val="clear" w:color="auto" w:fill="FFFFFF"/>
        </w:rPr>
      </w:pPr>
      <w:r>
        <w:rPr>
          <w:rFonts w:ascii="方正小标宋简体" w:hAnsi="方正小标宋简体" w:eastAsia="方正小标宋简体" w:cs="方正小标宋简体"/>
          <w:color w:val="333333"/>
          <w:szCs w:val="44"/>
          <w:shd w:val="clear" w:color="auto" w:fill="FFFFFF"/>
        </w:rPr>
        <w:t>20</w:t>
      </w:r>
      <w:r>
        <w:rPr>
          <w:rFonts w:hint="eastAsia" w:ascii="方正小标宋简体" w:hAnsi="方正小标宋简体" w:eastAsia="方正小标宋简体" w:cs="方正小标宋简体"/>
          <w:color w:val="333333"/>
          <w:szCs w:val="44"/>
          <w:shd w:val="clear" w:color="auto" w:fill="FFFFFF"/>
        </w:rPr>
        <w:t>20年政府信息公开工作年度报告</w:t>
      </w:r>
    </w:p>
    <w:p>
      <w:pPr>
        <w:pStyle w:val="2"/>
        <w:ind w:firstLine="640" w:firstLineChars="200"/>
        <w:jc w:val="both"/>
        <w:rPr>
          <w:rFonts w:ascii="仿宋" w:hAnsi="仿宋" w:eastAsia="仿宋" w:cs="仿宋"/>
          <w:color w:val="333333"/>
          <w:sz w:val="32"/>
          <w:szCs w:val="32"/>
          <w:shd w:val="clear" w:color="auto" w:fill="FFFFFF"/>
        </w:rPr>
      </w:pPr>
    </w:p>
    <w:p>
      <w:pPr>
        <w:pStyle w:val="2"/>
        <w:ind w:firstLine="640" w:firstLineChars="200"/>
        <w:jc w:val="both"/>
      </w:pPr>
      <w:r>
        <w:rPr>
          <w:rFonts w:hint="eastAsia" w:ascii="仿宋" w:hAnsi="仿宋" w:eastAsia="仿宋" w:cs="仿宋"/>
          <w:color w:val="333333"/>
          <w:sz w:val="32"/>
          <w:szCs w:val="32"/>
          <w:shd w:val="clear" w:color="auto" w:fill="FFFFFF"/>
        </w:rPr>
        <w:t>本报告是根据《中华人民共和国政府信息公开条例》（以下简称《条例》）要求</w:t>
      </w:r>
      <w:r>
        <w:rPr>
          <w:rFonts w:ascii="仿宋" w:hAnsi="仿宋" w:eastAsia="仿宋" w:cs="仿宋"/>
          <w:color w:val="333333"/>
          <w:sz w:val="32"/>
          <w:szCs w:val="32"/>
          <w:shd w:val="clear" w:color="auto" w:fill="FFFFFF"/>
        </w:rPr>
        <w:t>,</w:t>
      </w:r>
      <w:r>
        <w:rPr>
          <w:rFonts w:hint="eastAsia" w:ascii="仿宋" w:hAnsi="仿宋" w:eastAsia="仿宋" w:cs="仿宋"/>
          <w:color w:val="333333"/>
          <w:sz w:val="32"/>
          <w:szCs w:val="32"/>
          <w:shd w:val="clear" w:color="auto" w:fill="FFFFFF"/>
        </w:rPr>
        <w:t>由淄博市张店区人民政府办公室编制。本年度报告中所列数据的统计期限自</w:t>
      </w:r>
      <w:r>
        <w:rPr>
          <w:rFonts w:ascii="仿宋" w:hAnsi="仿宋" w:eastAsia="仿宋" w:cs="仿宋"/>
          <w:color w:val="333333"/>
          <w:sz w:val="32"/>
          <w:szCs w:val="32"/>
          <w:shd w:val="clear" w:color="auto" w:fill="FFFFFF"/>
        </w:rPr>
        <w:t>20</w:t>
      </w:r>
      <w:r>
        <w:rPr>
          <w:rFonts w:hint="eastAsia" w:ascii="仿宋" w:hAnsi="仿宋" w:eastAsia="仿宋" w:cs="仿宋"/>
          <w:color w:val="333333"/>
          <w:sz w:val="32"/>
          <w:szCs w:val="32"/>
          <w:shd w:val="clear" w:color="auto" w:fill="FFFFFF"/>
        </w:rPr>
        <w:t>20年</w:t>
      </w:r>
      <w:r>
        <w:rPr>
          <w:rFonts w:ascii="仿宋" w:hAnsi="仿宋" w:eastAsia="仿宋" w:cs="仿宋"/>
          <w:color w:val="333333"/>
          <w:sz w:val="32"/>
          <w:szCs w:val="32"/>
          <w:shd w:val="clear" w:color="auto" w:fill="FFFFFF"/>
        </w:rPr>
        <w:t>1</w:t>
      </w:r>
      <w:r>
        <w:rPr>
          <w:rFonts w:hint="eastAsia" w:ascii="仿宋" w:hAnsi="仿宋" w:eastAsia="仿宋" w:cs="仿宋"/>
          <w:color w:val="333333"/>
          <w:sz w:val="32"/>
          <w:szCs w:val="32"/>
          <w:shd w:val="clear" w:color="auto" w:fill="FFFFFF"/>
        </w:rPr>
        <w:t>月</w:t>
      </w:r>
      <w:r>
        <w:rPr>
          <w:rFonts w:ascii="仿宋" w:hAnsi="仿宋" w:eastAsia="仿宋" w:cs="仿宋"/>
          <w:color w:val="333333"/>
          <w:sz w:val="32"/>
          <w:szCs w:val="32"/>
          <w:shd w:val="clear" w:color="auto" w:fill="FFFFFF"/>
        </w:rPr>
        <w:t>1</w:t>
      </w:r>
      <w:r>
        <w:rPr>
          <w:rFonts w:hint="eastAsia" w:ascii="仿宋" w:hAnsi="仿宋" w:eastAsia="仿宋" w:cs="仿宋"/>
          <w:color w:val="333333"/>
          <w:sz w:val="32"/>
          <w:szCs w:val="32"/>
          <w:shd w:val="clear" w:color="auto" w:fill="FFFFFF"/>
        </w:rPr>
        <w:t>日起至</w:t>
      </w:r>
      <w:r>
        <w:rPr>
          <w:rFonts w:ascii="仿宋" w:hAnsi="仿宋" w:eastAsia="仿宋" w:cs="仿宋"/>
          <w:color w:val="333333"/>
          <w:sz w:val="32"/>
          <w:szCs w:val="32"/>
          <w:shd w:val="clear" w:color="auto" w:fill="FFFFFF"/>
        </w:rPr>
        <w:t>12</w:t>
      </w:r>
      <w:r>
        <w:rPr>
          <w:rFonts w:hint="eastAsia" w:ascii="仿宋" w:hAnsi="仿宋" w:eastAsia="仿宋" w:cs="仿宋"/>
          <w:color w:val="333333"/>
          <w:sz w:val="32"/>
          <w:szCs w:val="32"/>
          <w:shd w:val="clear" w:color="auto" w:fill="FFFFFF"/>
        </w:rPr>
        <w:t>月</w:t>
      </w:r>
      <w:r>
        <w:rPr>
          <w:rFonts w:ascii="仿宋" w:hAnsi="仿宋" w:eastAsia="仿宋" w:cs="仿宋"/>
          <w:color w:val="333333"/>
          <w:sz w:val="32"/>
          <w:szCs w:val="32"/>
          <w:shd w:val="clear" w:color="auto" w:fill="FFFFFF"/>
        </w:rPr>
        <w:t>31</w:t>
      </w:r>
      <w:r>
        <w:rPr>
          <w:rFonts w:hint="eastAsia" w:ascii="仿宋" w:hAnsi="仿宋" w:eastAsia="仿宋" w:cs="仿宋"/>
          <w:color w:val="333333"/>
          <w:sz w:val="32"/>
          <w:szCs w:val="32"/>
          <w:shd w:val="clear" w:color="auto" w:fill="FFFFFF"/>
        </w:rPr>
        <w:t>日止。本报告电子版可在淄博市张店区人民政府门户网站（网址：</w:t>
      </w:r>
      <w:r>
        <w:rPr>
          <w:rFonts w:ascii="仿宋" w:hAnsi="仿宋" w:eastAsia="仿宋" w:cs="仿宋"/>
          <w:color w:val="333333"/>
          <w:sz w:val="32"/>
          <w:szCs w:val="32"/>
          <w:shd w:val="clear" w:color="auto" w:fill="FFFFFF"/>
        </w:rPr>
        <w:t>www.zhangdian.gov.cn/gongkai</w:t>
      </w:r>
      <w:r>
        <w:rPr>
          <w:rFonts w:hint="eastAsia" w:ascii="仿宋" w:hAnsi="仿宋" w:eastAsia="仿宋" w:cs="仿宋"/>
          <w:color w:val="333333"/>
          <w:sz w:val="32"/>
          <w:szCs w:val="32"/>
          <w:shd w:val="clear" w:color="auto" w:fill="FFFFFF"/>
        </w:rPr>
        <w:t>）查阅或下载。如对报告内容有疑问，请与张店区人民政府办公室联系（地址：张店区新村西路</w:t>
      </w:r>
      <w:r>
        <w:rPr>
          <w:rFonts w:ascii="仿宋" w:hAnsi="仿宋" w:eastAsia="仿宋" w:cs="仿宋"/>
          <w:color w:val="333333"/>
          <w:sz w:val="32"/>
          <w:szCs w:val="32"/>
          <w:shd w:val="clear" w:color="auto" w:fill="FFFFFF"/>
        </w:rPr>
        <w:t>226</w:t>
      </w:r>
      <w:r>
        <w:rPr>
          <w:rFonts w:hint="eastAsia" w:ascii="仿宋" w:hAnsi="仿宋" w:eastAsia="仿宋" w:cs="仿宋"/>
          <w:color w:val="333333"/>
          <w:sz w:val="32"/>
          <w:szCs w:val="32"/>
          <w:shd w:val="clear" w:color="auto" w:fill="FFFFFF"/>
        </w:rPr>
        <w:t>号区政务中心</w:t>
      </w:r>
      <w:r>
        <w:rPr>
          <w:rFonts w:ascii="仿宋" w:hAnsi="仿宋" w:eastAsia="仿宋" w:cs="仿宋"/>
          <w:color w:val="333333"/>
          <w:sz w:val="32"/>
          <w:szCs w:val="32"/>
          <w:shd w:val="clear" w:color="auto" w:fill="FFFFFF"/>
        </w:rPr>
        <w:t>;</w:t>
      </w:r>
      <w:r>
        <w:rPr>
          <w:rFonts w:hint="eastAsia" w:ascii="仿宋" w:hAnsi="仿宋" w:eastAsia="仿宋" w:cs="仿宋"/>
          <w:color w:val="333333"/>
          <w:sz w:val="32"/>
          <w:szCs w:val="32"/>
          <w:shd w:val="clear" w:color="auto" w:fill="FFFFFF"/>
        </w:rPr>
        <w:t>邮编</w:t>
      </w:r>
      <w:r>
        <w:rPr>
          <w:rFonts w:ascii="仿宋" w:hAnsi="仿宋" w:eastAsia="仿宋" w:cs="仿宋"/>
          <w:color w:val="333333"/>
          <w:sz w:val="32"/>
          <w:szCs w:val="32"/>
          <w:shd w:val="clear" w:color="auto" w:fill="FFFFFF"/>
        </w:rPr>
        <w:t>:255020;</w:t>
      </w:r>
      <w:r>
        <w:rPr>
          <w:rFonts w:hint="eastAsia" w:ascii="仿宋" w:hAnsi="仿宋" w:eastAsia="仿宋" w:cs="仿宋"/>
          <w:color w:val="333333"/>
          <w:sz w:val="32"/>
          <w:szCs w:val="32"/>
          <w:shd w:val="clear" w:color="auto" w:fill="FFFFFF"/>
        </w:rPr>
        <w:t>电话</w:t>
      </w:r>
      <w:r>
        <w:rPr>
          <w:rFonts w:ascii="仿宋" w:hAnsi="仿宋" w:eastAsia="仿宋" w:cs="仿宋"/>
          <w:color w:val="333333"/>
          <w:sz w:val="32"/>
          <w:szCs w:val="32"/>
          <w:shd w:val="clear" w:color="auto" w:fill="FFFFFF"/>
        </w:rPr>
        <w:t>:0533-2869836</w:t>
      </w:r>
      <w:r>
        <w:rPr>
          <w:rFonts w:hint="eastAsia" w:ascii="仿宋" w:hAnsi="仿宋" w:eastAsia="仿宋" w:cs="仿宋"/>
          <w:color w:val="333333"/>
          <w:sz w:val="32"/>
          <w:szCs w:val="32"/>
          <w:shd w:val="clear" w:color="auto" w:fill="FFFFFF"/>
        </w:rPr>
        <w:t>）。</w:t>
      </w:r>
    </w:p>
    <w:p>
      <w:pPr>
        <w:ind w:firstLine="640" w:firstLineChars="200"/>
        <w:rPr>
          <w:rFonts w:ascii="黑体" w:hAnsi="黑体" w:eastAsia="黑体" w:cs="黑体"/>
          <w:sz w:val="32"/>
          <w:szCs w:val="32"/>
        </w:rPr>
      </w:pPr>
      <w:r>
        <w:rPr>
          <w:rFonts w:hint="eastAsia" w:ascii="黑体" w:hAnsi="黑体" w:eastAsia="黑体" w:cs="黑体"/>
          <w:sz w:val="32"/>
          <w:szCs w:val="32"/>
        </w:rPr>
        <w:t>一、总体情况</w:t>
      </w:r>
    </w:p>
    <w:p>
      <w:pPr>
        <w:ind w:firstLine="640" w:firstLineChars="200"/>
        <w:rPr>
          <w:rFonts w:ascii="仿宋" w:hAnsi="仿宋" w:eastAsia="仿宋" w:cs="仿宋"/>
          <w:sz w:val="32"/>
          <w:szCs w:val="32"/>
        </w:rPr>
      </w:pPr>
      <w:r>
        <w:rPr>
          <w:rFonts w:ascii="仿宋" w:hAnsi="仿宋" w:eastAsia="仿宋" w:cs="仿宋"/>
          <w:sz w:val="32"/>
          <w:szCs w:val="32"/>
        </w:rPr>
        <w:t>20</w:t>
      </w:r>
      <w:r>
        <w:rPr>
          <w:rFonts w:hint="eastAsia" w:ascii="仿宋" w:hAnsi="仿宋" w:eastAsia="仿宋" w:cs="仿宋"/>
          <w:sz w:val="32"/>
          <w:szCs w:val="32"/>
        </w:rPr>
        <w:t>20年张店区把政务公开工作作为提高政府工作透明度、优化营商环境、保障公民合法权益、促进法治政府、创新政府、廉洁政府和服务型政府建设的重要举措</w:t>
      </w:r>
      <w:r>
        <w:rPr>
          <w:rFonts w:hint="eastAsia" w:ascii="仿宋" w:hAnsi="仿宋" w:eastAsia="仿宋" w:cs="仿宋"/>
          <w:sz w:val="32"/>
          <w:szCs w:val="32"/>
          <w:lang w:eastAsia="zh-CN"/>
        </w:rPr>
        <w:t>，</w:t>
      </w:r>
      <w:r>
        <w:rPr>
          <w:rFonts w:hint="eastAsia" w:ascii="仿宋" w:hAnsi="仿宋" w:eastAsia="仿宋" w:cs="仿宋"/>
          <w:sz w:val="32"/>
          <w:szCs w:val="32"/>
        </w:rPr>
        <w:t>补短板，强基础，着力规范政府信息全链条管理，着力强化公开、解读、发布、互动全流程联动，着力打造政府信息融公开、政务新媒体、政府公报等全渠道平台，</w:t>
      </w:r>
      <w:r>
        <w:rPr>
          <w:rFonts w:hint="eastAsia" w:ascii="仿宋" w:hAnsi="仿宋" w:eastAsia="仿宋"/>
          <w:color w:val="000000"/>
          <w:sz w:val="32"/>
          <w:szCs w:val="32"/>
          <w:shd w:val="clear" w:color="auto" w:fill="FFFFFF"/>
        </w:rPr>
        <w:t>进一步推进决策、执行、管理、服务、结果公开，</w:t>
      </w:r>
      <w:r>
        <w:rPr>
          <w:rFonts w:hint="eastAsia" w:ascii="仿宋" w:hAnsi="仿宋" w:eastAsia="仿宋" w:cs="仿宋"/>
          <w:sz w:val="32"/>
          <w:szCs w:val="32"/>
        </w:rPr>
        <w:t>全面提升政务公开质量和实效，满足公民、法人和其他组织的知情权、获得感和幸福感。</w:t>
      </w:r>
    </w:p>
    <w:p>
      <w:pPr>
        <w:spacing w:line="600" w:lineRule="exact"/>
        <w:ind w:firstLine="525" w:firstLineChars="250"/>
        <w:rPr>
          <w:rFonts w:ascii="仿宋" w:hAnsi="仿宋" w:eastAsia="仿宋" w:cs="仿宋_GB2312"/>
          <w:sz w:val="32"/>
          <w:szCs w:val="32"/>
        </w:rPr>
      </w:pPr>
      <w:r>
        <w:rPr>
          <w:rFonts w:hint="eastAsia" w:ascii="楷体" w:hAnsi="楷体" w:eastAsia="楷体" w:cs="楷体"/>
        </w:rPr>
        <w:drawing>
          <wp:anchor distT="0" distB="0" distL="114300" distR="114300" simplePos="0" relativeHeight="251661312" behindDoc="0" locked="0" layoutInCell="1" allowOverlap="1">
            <wp:simplePos x="0" y="0"/>
            <wp:positionH relativeFrom="column">
              <wp:posOffset>2540</wp:posOffset>
            </wp:positionH>
            <wp:positionV relativeFrom="paragraph">
              <wp:posOffset>5515610</wp:posOffset>
            </wp:positionV>
            <wp:extent cx="5308600" cy="2530475"/>
            <wp:effectExtent l="19050" t="0" r="6350" b="0"/>
            <wp:wrapTopAndBottom/>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5"/>
                    <a:stretch>
                      <a:fillRect/>
                    </a:stretch>
                  </pic:blipFill>
                  <pic:spPr>
                    <a:xfrm>
                      <a:off x="0" y="0"/>
                      <a:ext cx="5308600" cy="2530475"/>
                    </a:xfrm>
                    <a:prstGeom prst="rect">
                      <a:avLst/>
                    </a:prstGeom>
                    <a:noFill/>
                    <a:ln>
                      <a:noFill/>
                    </a:ln>
                  </pic:spPr>
                </pic:pic>
              </a:graphicData>
            </a:graphic>
          </wp:anchor>
        </w:drawing>
      </w:r>
      <w:r>
        <w:rPr>
          <w:rFonts w:hint="eastAsia" w:ascii="楷体" w:hAnsi="楷体" w:eastAsia="楷体" w:cs="楷体"/>
        </w:rPr>
        <w:drawing>
          <wp:anchor distT="0" distB="0" distL="114300" distR="114300" simplePos="0" relativeHeight="251659264" behindDoc="0" locked="0" layoutInCell="1" allowOverlap="1">
            <wp:simplePos x="0" y="0"/>
            <wp:positionH relativeFrom="column">
              <wp:posOffset>331470</wp:posOffset>
            </wp:positionH>
            <wp:positionV relativeFrom="paragraph">
              <wp:posOffset>-22225</wp:posOffset>
            </wp:positionV>
            <wp:extent cx="4794250" cy="2794000"/>
            <wp:effectExtent l="19050" t="0" r="0" b="0"/>
            <wp:wrapTopAndBottom/>
            <wp:docPr id="4"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
                    <pic:cNvPicPr>
                      <a:picLocks noChangeAspect="1"/>
                    </pic:cNvPicPr>
                  </pic:nvPicPr>
                  <pic:blipFill>
                    <a:blip r:embed="rId6"/>
                    <a:srcRect r="-1802" b="49275"/>
                    <a:stretch>
                      <a:fillRect/>
                    </a:stretch>
                  </pic:blipFill>
                  <pic:spPr>
                    <a:xfrm>
                      <a:off x="0" y="0"/>
                      <a:ext cx="4794250" cy="2794000"/>
                    </a:xfrm>
                    <a:prstGeom prst="rect">
                      <a:avLst/>
                    </a:prstGeom>
                    <a:noFill/>
                    <a:ln>
                      <a:noFill/>
                    </a:ln>
                  </pic:spPr>
                </pic:pic>
              </a:graphicData>
            </a:graphic>
          </wp:anchor>
        </w:drawing>
      </w:r>
      <w:r>
        <w:rPr>
          <w:rFonts w:hint="eastAsia" w:ascii="楷体" w:hAnsi="楷体" w:eastAsia="楷体" w:cs="楷体"/>
          <w:sz w:val="32"/>
          <w:szCs w:val="32"/>
        </w:rPr>
        <w:t>(一)完善政务公开工作体制机制。</w:t>
      </w:r>
      <w:r>
        <w:rPr>
          <w:rFonts w:hint="eastAsia" w:ascii="仿宋" w:hAnsi="仿宋" w:eastAsia="仿宋" w:cs="仿宋"/>
          <w:b/>
          <w:bCs/>
          <w:sz w:val="32"/>
          <w:szCs w:val="32"/>
        </w:rPr>
        <w:t>一是</w:t>
      </w:r>
      <w:r>
        <w:rPr>
          <w:rFonts w:hint="eastAsia" w:ascii="仿宋" w:hAnsi="仿宋" w:eastAsia="仿宋" w:cs="仿宋"/>
          <w:sz w:val="32"/>
          <w:szCs w:val="32"/>
        </w:rPr>
        <w:t>加强组织领导。进一步完善领导体制、工作机制，各镇办、各部门明确内设机构承担政务公开日常工作，进一步理顺全区政务公开工作立体化协调、推进和落实机制。</w:t>
      </w:r>
      <w:r>
        <w:rPr>
          <w:rFonts w:hint="eastAsia" w:ascii="仿宋" w:hAnsi="仿宋" w:eastAsia="仿宋" w:cs="仿宋"/>
          <w:b/>
          <w:bCs/>
          <w:sz w:val="32"/>
          <w:szCs w:val="32"/>
        </w:rPr>
        <w:t>二是</w:t>
      </w:r>
      <w:r>
        <w:rPr>
          <w:rFonts w:hint="eastAsia" w:ascii="仿宋" w:hAnsi="仿宋" w:eastAsia="仿宋" w:cs="仿宋"/>
          <w:sz w:val="32"/>
          <w:szCs w:val="32"/>
        </w:rPr>
        <w:t>按照国办、省、市政务公开工作要点要求，结合实际制定《张店区2020年政务公开工作要点》，并对工作任务细化分解，进一步明确分工、压实责任，保障了政务公开工作的扎实有序开展。制定印发了《张店区政府政务公开事项标准化规范化目录（2020年版）》，并通过区政府门户网站政府信息公开专栏向社会主动公开。2020年政府信息主动公开基本目录突出政府信息主动公开基本目录的标准化管理，进一步明确“五公开”的主体、内容、时限、渠道等，并将重点领域信息公开纳入主动公开基本目录，确保信息规范、有序、高质量公开，理顺了全区政务公开工作立体化协调、推进和落实机制。</w:t>
      </w:r>
      <w:r>
        <w:rPr>
          <w:rFonts w:hint="eastAsia" w:ascii="仿宋" w:hAnsi="仿宋" w:eastAsia="仿宋" w:cs="仿宋"/>
          <w:b/>
          <w:sz w:val="32"/>
          <w:szCs w:val="32"/>
        </w:rPr>
        <w:t>三是</w:t>
      </w:r>
      <w:r>
        <w:rPr>
          <w:rFonts w:hint="eastAsia" w:ascii="仿宋" w:hAnsi="仿宋" w:eastAsia="仿宋" w:cs="仿宋"/>
          <w:sz w:val="32"/>
          <w:szCs w:val="32"/>
        </w:rPr>
        <w:t>进一步完善考核机制。</w:t>
      </w:r>
      <w:r>
        <w:rPr>
          <w:rFonts w:ascii="仿宋" w:hAnsi="仿宋" w:eastAsia="仿宋" w:cs="仿宋"/>
          <w:color w:val="000000"/>
          <w:sz w:val="32"/>
          <w:szCs w:val="32"/>
          <w:shd w:val="clear" w:color="auto" w:fill="FFFFFF"/>
        </w:rPr>
        <w:t>严格落实中央、省、市文件规定的分值不低于</w:t>
      </w:r>
      <w:r>
        <w:rPr>
          <w:rFonts w:hint="eastAsia" w:ascii="仿宋" w:hAnsi="仿宋" w:eastAsia="仿宋" w:cs="仿宋"/>
          <w:color w:val="000000"/>
          <w:sz w:val="32"/>
          <w:szCs w:val="32"/>
          <w:shd w:val="clear" w:color="auto" w:fill="FFFFFF"/>
        </w:rPr>
        <w:t>4%要求，</w:t>
      </w:r>
      <w:r>
        <w:rPr>
          <w:rFonts w:hint="eastAsia" w:ascii="仿宋" w:hAnsi="仿宋" w:eastAsia="仿宋" w:cs="仿宋"/>
          <w:sz w:val="32"/>
          <w:szCs w:val="32"/>
        </w:rPr>
        <w:t>制发《2020年张店区政务公开工作评估考核方案》，根据各成员单位职责明确评估考核责任单位并对省、市政务公开考核指标逐项细化分解，进一步发挥评估考核的</w:t>
      </w:r>
      <w:r>
        <w:rPr>
          <w:rFonts w:hint="eastAsia" w:ascii="仿宋" w:hAnsi="仿宋" w:eastAsia="仿宋" w:cs="仿宋"/>
          <w:sz w:val="32"/>
          <w:szCs w:val="32"/>
        </w:rPr>
        <w:drawing>
          <wp:anchor distT="0" distB="0" distL="114300" distR="114300" simplePos="0" relativeHeight="251663360" behindDoc="0" locked="0" layoutInCell="1" allowOverlap="1">
            <wp:simplePos x="0" y="0"/>
            <wp:positionH relativeFrom="column">
              <wp:posOffset>-12065</wp:posOffset>
            </wp:positionH>
            <wp:positionV relativeFrom="paragraph">
              <wp:posOffset>4695825</wp:posOffset>
            </wp:positionV>
            <wp:extent cx="5233035" cy="2157730"/>
            <wp:effectExtent l="19050" t="0" r="5715" b="0"/>
            <wp:wrapTopAndBottom/>
            <wp:docPr id="3" name="图片 5" descr="QQ截图2021020909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QQ截图20210209093832"/>
                    <pic:cNvPicPr>
                      <a:picLocks noChangeAspect="1"/>
                    </pic:cNvPicPr>
                  </pic:nvPicPr>
                  <pic:blipFill>
                    <a:blip r:embed="rId7"/>
                    <a:srcRect t="38948" r="1100"/>
                    <a:stretch>
                      <a:fillRect/>
                    </a:stretch>
                  </pic:blipFill>
                  <pic:spPr>
                    <a:xfrm>
                      <a:off x="0" y="0"/>
                      <a:ext cx="5233035" cy="2157730"/>
                    </a:xfrm>
                    <a:prstGeom prst="rect">
                      <a:avLst/>
                    </a:prstGeom>
                    <a:noFill/>
                    <a:ln>
                      <a:noFill/>
                    </a:ln>
                  </pic:spPr>
                </pic:pic>
              </a:graphicData>
            </a:graphic>
          </wp:anchor>
        </w:drawing>
      </w:r>
      <w:r>
        <w:rPr>
          <w:rFonts w:hint="eastAsia" w:ascii="仿宋" w:hAnsi="仿宋" w:eastAsia="仿宋" w:cs="仿宋"/>
          <w:sz w:val="32"/>
          <w:szCs w:val="32"/>
        </w:rPr>
        <w:t>风向标和指挥棒作用。</w:t>
      </w:r>
      <w:r>
        <w:rPr>
          <w:rFonts w:hint="eastAsia" w:ascii="仿宋" w:hAnsi="仿宋" w:eastAsia="仿宋" w:cs="仿宋"/>
          <w:b/>
          <w:bCs/>
          <w:sz w:val="32"/>
          <w:szCs w:val="32"/>
        </w:rPr>
        <w:t>四是</w:t>
      </w:r>
      <w:r>
        <w:rPr>
          <w:rFonts w:hint="eastAsia" w:ascii="仿宋" w:hAnsi="仿宋" w:eastAsia="仿宋" w:cs="仿宋_GB2312"/>
          <w:sz w:val="32"/>
          <w:szCs w:val="32"/>
        </w:rPr>
        <w:t>进一步完善《政府信息源头性认定办法》、《政府信息公开责任追究办法》、《政府信息公开保密审查办法》等协调工作制度，完善政府信息公开程序，强化对政府信息资源的管理，确保政府信息和政务公开工作持续良好开展。</w:t>
      </w:r>
      <w:r>
        <w:rPr>
          <w:rFonts w:hint="eastAsia" w:ascii="仿宋" w:hAnsi="仿宋" w:eastAsia="仿宋" w:cs="仿宋_GB2312"/>
          <w:b/>
          <w:bCs/>
          <w:sz w:val="32"/>
          <w:szCs w:val="32"/>
        </w:rPr>
        <w:t>五是</w:t>
      </w:r>
      <w:r>
        <w:rPr>
          <w:rFonts w:hint="eastAsia" w:ascii="仿宋" w:hAnsi="仿宋" w:eastAsia="仿宋" w:cs="仿宋_GB2312"/>
          <w:sz w:val="32"/>
          <w:szCs w:val="32"/>
        </w:rPr>
        <w:t>积极开展专项业务培训，</w:t>
      </w:r>
      <w:r>
        <w:rPr>
          <w:rFonts w:hint="eastAsia" w:ascii="仿宋" w:hAnsi="仿宋" w:eastAsia="仿宋" w:cs="仿宋"/>
          <w:sz w:val="32"/>
          <w:szCs w:val="32"/>
        </w:rPr>
        <w:t>结合实际制定下发《张店区2020年政务公开工作业务培训方案》，全年共</w:t>
      </w:r>
      <w:r>
        <w:rPr>
          <w:rFonts w:hint="eastAsia" w:ascii="仿宋" w:hAnsi="仿宋" w:eastAsia="仿宋" w:cs="仿宋_GB2312"/>
          <w:sz w:val="32"/>
          <w:szCs w:val="32"/>
        </w:rPr>
        <w:t>组织区级政务公开推进培训会6次，参训700余人次，切实提升全区各镇办、各部门具体工作人员的政府信息公开业务能力水平。</w:t>
      </w:r>
    </w:p>
    <w:p>
      <w:pPr>
        <w:pStyle w:val="2"/>
        <w:ind w:firstLine="640" w:firstLineChars="200"/>
        <w:jc w:val="both"/>
        <w:rPr>
          <w:rFonts w:ascii="仿宋" w:hAnsi="仿宋" w:eastAsia="仿宋" w:cs="仿宋_GB2312"/>
          <w:sz w:val="32"/>
          <w:szCs w:val="32"/>
        </w:rPr>
      </w:pPr>
      <w:r>
        <w:rPr>
          <w:rFonts w:hint="eastAsia" w:ascii="楷体" w:hAnsi="楷体" w:eastAsia="楷体" w:cs="楷体"/>
          <w:sz w:val="32"/>
          <w:szCs w:val="32"/>
        </w:rPr>
        <w:t>（二）做好深化政府信息主动公开工作。</w:t>
      </w:r>
      <w:r>
        <w:rPr>
          <w:rFonts w:hint="eastAsia" w:ascii="仿宋" w:hAnsi="仿宋" w:eastAsia="仿宋" w:cs="仿宋_GB2312"/>
          <w:sz w:val="32"/>
          <w:szCs w:val="32"/>
        </w:rPr>
        <w:t>坚持“公开为常态、不公开为例外”原则，归集展示机构职能、履职依据、财政信息、规划计划等信息，梳理主动公开事项，完善政府信息主动公开目录，及时、准确公开社会公众关注度高的政府信息。</w:t>
      </w:r>
      <w:r>
        <w:rPr>
          <w:rFonts w:hint="eastAsia" w:ascii="仿宋" w:hAnsi="仿宋" w:eastAsia="仿宋" w:cs="仿宋_GB2312"/>
          <w:b/>
          <w:sz w:val="32"/>
          <w:szCs w:val="32"/>
        </w:rPr>
        <w:t>一是</w:t>
      </w:r>
      <w:r>
        <w:rPr>
          <w:rFonts w:hint="eastAsia" w:ascii="仿宋" w:hAnsi="仿宋" w:eastAsia="仿宋" w:cs="仿宋_GB2312"/>
          <w:sz w:val="32"/>
          <w:szCs w:val="32"/>
        </w:rPr>
        <w:t>聚焦重点领域信息公开。围绕重大建设项目、公共资源配置、重点民生与公益事业、营商环境等重点领域，加大主动公开力度，做到发布及时、内容全面、便于获取。</w:t>
      </w:r>
      <w:r>
        <w:rPr>
          <w:rFonts w:hint="eastAsia" w:ascii="仿宋" w:hAnsi="仿宋" w:eastAsia="仿宋" w:cs="仿宋_GB2312"/>
          <w:b/>
          <w:sz w:val="32"/>
          <w:szCs w:val="32"/>
        </w:rPr>
        <w:t>二是</w:t>
      </w:r>
      <w:r>
        <w:rPr>
          <w:rFonts w:hint="eastAsia" w:ascii="仿宋" w:hAnsi="仿宋" w:eastAsia="仿宋" w:cs="仿宋_GB2312"/>
          <w:sz w:val="32"/>
          <w:szCs w:val="32"/>
        </w:rPr>
        <w:t>推进重大行政决策预公开。认真贯彻落实重大行政决策程序有关规定，推动建立重大行政决策预公开制度，明确重大决策征求意见的范围、程序、方式及有关要求，落实工作责任。积极构建基层行政决策公众参与机制，凡涉及公共利益和公众权益的重大事项，除依法应当保密的外，主动向社会公布决策草案、依据、主要内容等，通过政府网站、政务新媒体、报刊、电视等渠道，广泛征求社会公众意见，及时公布意见收集及采纳情况，提高决策的科学化、民主化、法治化水平。</w:t>
      </w:r>
      <w:r>
        <w:rPr>
          <w:rFonts w:hint="eastAsia" w:ascii="仿宋" w:hAnsi="仿宋" w:eastAsia="仿宋" w:cs="仿宋_GB2312"/>
          <w:b/>
          <w:sz w:val="32"/>
          <w:szCs w:val="32"/>
        </w:rPr>
        <w:t>三是</w:t>
      </w:r>
      <w:r>
        <w:rPr>
          <w:rFonts w:hint="eastAsia" w:ascii="仿宋" w:hAnsi="仿宋" w:eastAsia="仿宋" w:cs="仿宋_GB2312"/>
          <w:sz w:val="32"/>
          <w:szCs w:val="32"/>
        </w:rPr>
        <w:t>强化政策解读。在区门户网站政府信息公开栏目中开设“政策解读”目录，对区政府或区政府办公室印发的规范性文件，及时、准确地开展信息发布和解读工作。除文字解读外，还发布文稿解读、图文解读、动漫解读、媒体解读等多种解读形式，并与政策原文相互关联。通过多种形式的对外发布，增强政策解读的传播力和影响力，让社会群众更直观地理解政府文件内容。</w:t>
      </w:r>
    </w:p>
    <w:p>
      <w:pPr>
        <w:pStyle w:val="2"/>
        <w:ind w:firstLine="640" w:firstLineChars="200"/>
        <w:jc w:val="both"/>
        <w:rPr>
          <w:rFonts w:ascii="仿宋" w:hAnsi="仿宋" w:eastAsia="仿宋" w:cs="仿宋_GB2312"/>
          <w:sz w:val="32"/>
          <w:szCs w:val="32"/>
        </w:rPr>
      </w:pPr>
      <w:r>
        <w:rPr>
          <w:rFonts w:ascii="仿宋" w:hAnsi="仿宋" w:eastAsia="仿宋" w:cs="仿宋_GB2312"/>
          <w:sz w:val="32"/>
          <w:szCs w:val="32"/>
        </w:rPr>
        <w:drawing>
          <wp:inline distT="0" distB="0" distL="114300" distR="114300">
            <wp:extent cx="4988560" cy="2303780"/>
            <wp:effectExtent l="19050" t="0" r="213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4989298" cy="2304442"/>
                    </a:xfrm>
                    <a:prstGeom prst="rect">
                      <a:avLst/>
                    </a:prstGeom>
                    <a:noFill/>
                    <a:ln>
                      <a:noFill/>
                    </a:ln>
                  </pic:spPr>
                </pic:pic>
              </a:graphicData>
            </a:graphic>
          </wp:inline>
        </w:drawing>
      </w:r>
    </w:p>
    <w:p>
      <w:pPr>
        <w:pStyle w:val="2"/>
        <w:ind w:firstLine="640" w:firstLineChars="200"/>
        <w:jc w:val="both"/>
        <w:rPr>
          <w:rFonts w:ascii="仿宋" w:hAnsi="仿宋" w:eastAsia="仿宋" w:cs="Times New Roman"/>
          <w:sz w:val="32"/>
          <w:szCs w:val="32"/>
        </w:rPr>
      </w:pPr>
      <w:r>
        <w:rPr>
          <w:rFonts w:hint="eastAsia" w:ascii="仿宋" w:hAnsi="仿宋" w:eastAsia="仿宋" w:cs="仿宋_GB2312"/>
          <w:sz w:val="32"/>
          <w:szCs w:val="32"/>
        </w:rPr>
        <w:t>2020年通过区政府门户网站公开政府信息10378条，累计51368条、图片信息7375条。引导各相关单位充分利用“两微一端”等新媒体，依托“今日张店”、“爱张店”APP等平台，及时公开发布各类政府信息，共计31600余条，为企业和群众提供优质高效的信息公开服务，保障公民知情权等。</w:t>
      </w:r>
    </w:p>
    <w:p>
      <w:pPr>
        <w:spacing w:line="600" w:lineRule="exact"/>
        <w:ind w:firstLine="640" w:firstLineChars="200"/>
        <w:rPr>
          <w:rFonts w:ascii="楷体" w:hAnsi="楷体" w:eastAsia="楷体" w:cs="楷体"/>
          <w:sz w:val="32"/>
          <w:szCs w:val="32"/>
        </w:rPr>
      </w:pPr>
      <w:r>
        <w:rPr>
          <w:rFonts w:hint="eastAsia" w:ascii="楷体" w:hAnsi="楷体" w:eastAsia="楷体" w:cs="楷体"/>
          <w:sz w:val="32"/>
          <w:szCs w:val="32"/>
        </w:rPr>
        <w:t>（三）加强政府信息平台建设。</w:t>
      </w:r>
    </w:p>
    <w:p>
      <w:pPr>
        <w:spacing w:line="600" w:lineRule="exact"/>
        <w:ind w:firstLine="640" w:firstLineChars="200"/>
        <w:rPr>
          <w:rStyle w:val="9"/>
          <w:rFonts w:ascii="仿宋" w:hAnsi="仿宋" w:eastAsia="仿宋" w:cs="仿宋"/>
          <w:b w:val="0"/>
          <w:bCs/>
          <w:sz w:val="32"/>
          <w:szCs w:val="32"/>
          <w:shd w:val="clear" w:color="auto" w:fill="FFFFFF"/>
        </w:rPr>
      </w:pPr>
      <w:r>
        <w:rPr>
          <w:rFonts w:hint="eastAsia" w:ascii="仿宋" w:hAnsi="仿宋" w:eastAsia="仿宋" w:cs="仿宋"/>
          <w:sz w:val="32"/>
          <w:szCs w:val="32"/>
        </w:rPr>
        <w:t>一是圆满</w:t>
      </w:r>
      <w:r>
        <w:rPr>
          <w:rStyle w:val="9"/>
          <w:rFonts w:hint="eastAsia" w:ascii="仿宋" w:hAnsi="仿宋" w:eastAsia="仿宋" w:cs="仿宋"/>
          <w:b w:val="0"/>
          <w:bCs/>
          <w:sz w:val="32"/>
          <w:szCs w:val="32"/>
          <w:shd w:val="clear" w:color="auto" w:fill="FFFFFF"/>
        </w:rPr>
        <w:t>完成政府信息公开平台——“融公开” 平台升级切换任务，累计迁移数据20余万条，新建栏目</w:t>
      </w:r>
      <w:r>
        <w:rPr>
          <w:rStyle w:val="9"/>
          <w:rFonts w:hint="eastAsia" w:ascii="仿宋" w:hAnsi="仿宋" w:eastAsia="仿宋" w:cs="仿宋"/>
          <w:b w:val="0"/>
          <w:bCs/>
          <w:sz w:val="32"/>
          <w:szCs w:val="32"/>
          <w:shd w:val="clear" w:color="auto" w:fill="FFFFFF"/>
          <w:lang w:val="en-US" w:eastAsia="zh-CN"/>
        </w:rPr>
        <w:t>近8000</w:t>
      </w:r>
      <w:r>
        <w:rPr>
          <w:rStyle w:val="9"/>
          <w:rFonts w:hint="eastAsia" w:ascii="仿宋" w:hAnsi="仿宋" w:eastAsia="仿宋" w:cs="仿宋"/>
          <w:b w:val="0"/>
          <w:bCs/>
          <w:sz w:val="32"/>
          <w:szCs w:val="32"/>
          <w:shd w:val="clear" w:color="auto" w:fill="FFFFFF"/>
        </w:rPr>
        <w:t>个，进一步优化公开方式、功能设计和公众查询互动，进一步增加了政务公开工作的透明度。</w:t>
      </w:r>
    </w:p>
    <w:p>
      <w:pPr>
        <w:spacing w:line="600" w:lineRule="exact"/>
        <w:ind w:firstLine="643" w:firstLineChars="200"/>
        <w:rPr>
          <w:rFonts w:ascii="仿宋" w:hAnsi="仿宋" w:eastAsia="仿宋" w:cs="仿宋"/>
          <w:sz w:val="32"/>
          <w:szCs w:val="32"/>
        </w:rPr>
      </w:pPr>
      <w:r>
        <w:rPr>
          <w:rFonts w:hint="eastAsia" w:ascii="仿宋" w:hAnsi="仿宋" w:eastAsia="仿宋" w:cs="仿宋"/>
          <w:b/>
          <w:sz w:val="32"/>
          <w:szCs w:val="32"/>
        </w:rPr>
        <w:drawing>
          <wp:anchor distT="0" distB="0" distL="114300" distR="114300" simplePos="0" relativeHeight="251665408" behindDoc="0" locked="0" layoutInCell="1" allowOverlap="1">
            <wp:simplePos x="0" y="0"/>
            <wp:positionH relativeFrom="column">
              <wp:posOffset>280035</wp:posOffset>
            </wp:positionH>
            <wp:positionV relativeFrom="paragraph">
              <wp:posOffset>3898900</wp:posOffset>
            </wp:positionV>
            <wp:extent cx="4638675" cy="3379470"/>
            <wp:effectExtent l="19050" t="0" r="9525" b="0"/>
            <wp:wrapTopAndBottom/>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9"/>
                    <a:stretch>
                      <a:fillRect/>
                    </a:stretch>
                  </pic:blipFill>
                  <pic:spPr>
                    <a:xfrm>
                      <a:off x="0" y="0"/>
                      <a:ext cx="4638675" cy="3379470"/>
                    </a:xfrm>
                    <a:prstGeom prst="rect">
                      <a:avLst/>
                    </a:prstGeom>
                    <a:noFill/>
                    <a:ln>
                      <a:noFill/>
                    </a:ln>
                  </pic:spPr>
                </pic:pic>
              </a:graphicData>
            </a:graphic>
          </wp:anchor>
        </w:drawing>
      </w:r>
      <w:r>
        <w:rPr>
          <w:rFonts w:hint="eastAsia" w:ascii="仿宋" w:hAnsi="仿宋" w:eastAsia="仿宋" w:cs="仿宋"/>
          <w:b/>
          <w:sz w:val="32"/>
          <w:szCs w:val="32"/>
        </w:rPr>
        <w:t>二</w:t>
      </w:r>
      <w:r>
        <w:rPr>
          <w:rFonts w:hint="eastAsia" w:ascii="仿宋" w:hAnsi="仿宋" w:eastAsia="仿宋" w:cs="仿宋"/>
          <w:bCs/>
          <w:sz w:val="32"/>
          <w:szCs w:val="32"/>
        </w:rPr>
        <w:t>是</w:t>
      </w:r>
      <w:r>
        <w:rPr>
          <w:rFonts w:hint="eastAsia" w:ascii="仿宋" w:hAnsi="仿宋" w:eastAsia="仿宋" w:cs="仿宋"/>
          <w:sz w:val="32"/>
          <w:szCs w:val="32"/>
        </w:rPr>
        <w:t>做好区政府网站平台栏目设置，充分发挥其政务公开第一平台作用。新平台在功能上优化网站栏目设置，完善信息检索功能，设立政策文件、双随机一公开监管、重大决策预公开、建议提案办理等专题，不断提高政务公开信息查询的便捷性与公众参与度。加强“政府信息公开”栏目内容保障，更多发布权威准确、通俗易懂、形式多样、易于传播的政策解读产品，不断提高政策知晓度。注重做好政府网站重点领域、政策解读、公众参与、建议提案办理、会议公开等专栏建设，聚焦法定主动公开内容，创新政务公开多元展现模式。</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三是做好《张店区人民政府公报》的编辑发行和“张店区政府公报”数字化平台工作。</w:t>
      </w:r>
      <w:r>
        <w:rPr>
          <w:rFonts w:ascii="仿宋" w:hAnsi="仿宋" w:eastAsia="仿宋" w:cs="仿宋"/>
          <w:sz w:val="32"/>
          <w:szCs w:val="32"/>
        </w:rPr>
        <w:t>20</w:t>
      </w:r>
      <w:r>
        <w:rPr>
          <w:rFonts w:hint="eastAsia" w:ascii="仿宋" w:hAnsi="仿宋" w:eastAsia="仿宋" w:cs="仿宋"/>
          <w:sz w:val="32"/>
          <w:szCs w:val="32"/>
        </w:rPr>
        <w:t>20年按照要求编辑《张店区人民政府公报》</w:t>
      </w:r>
      <w:r>
        <w:rPr>
          <w:rFonts w:ascii="仿宋" w:hAnsi="仿宋" w:eastAsia="仿宋" w:cs="仿宋"/>
          <w:sz w:val="32"/>
          <w:szCs w:val="32"/>
        </w:rPr>
        <w:t>5</w:t>
      </w:r>
      <w:r>
        <w:rPr>
          <w:rFonts w:hint="eastAsia" w:ascii="仿宋" w:hAnsi="仿宋" w:eastAsia="仿宋" w:cs="仿宋"/>
          <w:sz w:val="32"/>
          <w:szCs w:val="32"/>
        </w:rPr>
        <w:t>期，率先在全市兄弟区县中实现《政府公报》数字化的目录导航、内容检索服务的有机整合。《政</w:t>
      </w:r>
      <w:r>
        <w:rPr>
          <w:rFonts w:hint="eastAsia" w:ascii="仿宋" w:hAnsi="仿宋" w:eastAsia="仿宋" w:cs="仿宋"/>
          <w:sz w:val="32"/>
          <w:szCs w:val="32"/>
        </w:rPr>
        <w:drawing>
          <wp:anchor distT="0" distB="0" distL="114300" distR="114300" simplePos="0" relativeHeight="251667456" behindDoc="0" locked="0" layoutInCell="1" allowOverlap="1">
            <wp:simplePos x="0" y="0"/>
            <wp:positionH relativeFrom="column">
              <wp:posOffset>-31115</wp:posOffset>
            </wp:positionH>
            <wp:positionV relativeFrom="paragraph">
              <wp:posOffset>6102350</wp:posOffset>
            </wp:positionV>
            <wp:extent cx="5262245" cy="2794000"/>
            <wp:effectExtent l="19050" t="0" r="0" b="0"/>
            <wp:wrapTopAndBottom/>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0"/>
                    <a:stretch>
                      <a:fillRect/>
                    </a:stretch>
                  </pic:blipFill>
                  <pic:spPr>
                    <a:xfrm>
                      <a:off x="0" y="0"/>
                      <a:ext cx="5262245" cy="2794000"/>
                    </a:xfrm>
                    <a:prstGeom prst="rect">
                      <a:avLst/>
                    </a:prstGeom>
                    <a:noFill/>
                    <a:ln>
                      <a:noFill/>
                    </a:ln>
                  </pic:spPr>
                </pic:pic>
              </a:graphicData>
            </a:graphic>
          </wp:anchor>
        </w:drawing>
      </w:r>
      <w:r>
        <w:rPr>
          <w:rFonts w:hint="eastAsia" w:ascii="仿宋" w:hAnsi="仿宋" w:eastAsia="仿宋" w:cs="仿宋"/>
          <w:sz w:val="32"/>
          <w:szCs w:val="32"/>
        </w:rPr>
        <w:drawing>
          <wp:anchor distT="0" distB="0" distL="114300" distR="114300" simplePos="0" relativeHeight="251668480" behindDoc="0" locked="0" layoutInCell="1" allowOverlap="1">
            <wp:simplePos x="0" y="0"/>
            <wp:positionH relativeFrom="column">
              <wp:posOffset>72390</wp:posOffset>
            </wp:positionH>
            <wp:positionV relativeFrom="paragraph">
              <wp:posOffset>2806065</wp:posOffset>
            </wp:positionV>
            <wp:extent cx="5272405" cy="3123565"/>
            <wp:effectExtent l="19050" t="0" r="4445" b="0"/>
            <wp:wrapTopAndBottom/>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1"/>
                    <a:stretch>
                      <a:fillRect/>
                    </a:stretch>
                  </pic:blipFill>
                  <pic:spPr>
                    <a:xfrm>
                      <a:off x="0" y="0"/>
                      <a:ext cx="5272405" cy="3123565"/>
                    </a:xfrm>
                    <a:prstGeom prst="rect">
                      <a:avLst/>
                    </a:prstGeom>
                    <a:noFill/>
                    <a:ln>
                      <a:noFill/>
                    </a:ln>
                  </pic:spPr>
                </pic:pic>
              </a:graphicData>
            </a:graphic>
          </wp:anchor>
        </w:drawing>
      </w:r>
      <w:r>
        <w:rPr>
          <w:rFonts w:hint="eastAsia" w:ascii="仿宋" w:hAnsi="仿宋" w:eastAsia="仿宋" w:cs="仿宋"/>
          <w:sz w:val="32"/>
          <w:szCs w:val="32"/>
        </w:rPr>
        <w:t>府公报》赠阅至全区各镇（街道）、村（居、社区）委会、部分企业、区图书馆、区档案馆、区政务服务大厅、镇（街道）便民服务中心、婚姻登记处等公共场所，并在各公共场所设有免费取阅点。同时，及时把电子版在张店区政府公报数字化平台公开发布，提供《政府公报》的目录导航、内容检索、下载服务，并实现扫描二维码即可查看手机版《政府公报》等。</w:t>
      </w:r>
    </w:p>
    <w:p>
      <w:pPr>
        <w:pStyle w:val="2"/>
        <w:jc w:val="both"/>
      </w:pPr>
      <w:r>
        <w:rPr>
          <w:rFonts w:hint="eastAsia" w:eastAsia="仿宋"/>
          <w:lang w:eastAsia="zh-CN"/>
        </w:rPr>
        <w:drawing>
          <wp:inline distT="0" distB="0" distL="114300" distR="114300">
            <wp:extent cx="5234940" cy="3926205"/>
            <wp:effectExtent l="0" t="0" r="7620" b="5715"/>
            <wp:docPr id="5" name="图片 5" descr="微信图片_2021022015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220154837"/>
                    <pic:cNvPicPr>
                      <a:picLocks noChangeAspect="1"/>
                    </pic:cNvPicPr>
                  </pic:nvPicPr>
                  <pic:blipFill>
                    <a:blip r:embed="rId12"/>
                    <a:stretch>
                      <a:fillRect/>
                    </a:stretch>
                  </pic:blipFill>
                  <pic:spPr>
                    <a:xfrm>
                      <a:off x="0" y="0"/>
                      <a:ext cx="5234940" cy="3926205"/>
                    </a:xfrm>
                    <a:prstGeom prst="rect">
                      <a:avLst/>
                    </a:prstGeom>
                  </pic:spPr>
                </pic:pic>
              </a:graphicData>
            </a:graphic>
          </wp:inline>
        </w:drawing>
      </w:r>
    </w:p>
    <w:p>
      <w:pPr>
        <w:spacing w:line="600" w:lineRule="exact"/>
        <w:ind w:firstLine="640" w:firstLineChars="200"/>
        <w:rPr>
          <w:rFonts w:ascii="楷体" w:hAnsi="楷体" w:eastAsia="楷体" w:cs="楷体"/>
          <w:sz w:val="32"/>
          <w:szCs w:val="32"/>
        </w:rPr>
      </w:pPr>
      <w:r>
        <w:rPr>
          <w:rFonts w:hint="eastAsia" w:ascii="仿宋" w:hAnsi="仿宋" w:eastAsia="仿宋" w:cs="仿宋"/>
          <w:sz w:val="32"/>
          <w:szCs w:val="32"/>
        </w:rPr>
        <w:t>四是进一步完善新媒体平台的应用工作。充分发挥张店区融媒体中心搭建的“爱张店”APP新媒体客户端的作用，整合政府服务资源，打造张店政务公开线上体验场。“爱张店”APP除推送本地新闻以外，还可以收看电视、报纸、新闻网站内容和张店区各个部门、单位的微博、微信、网站的信息，同时开设“政民互动”、“便民服务”等板块，实现了“媒体+政务+服务”的“一站式”模式，提升了政府工作的透明度，做到信息公开、问政于民，吸引更多群众参与政治决策，真正实现县域社会治理的“多利益攸关方”共同参与，更好地服务群众。</w:t>
      </w:r>
    </w:p>
    <w:p>
      <w:pPr>
        <w:ind w:firstLine="707" w:firstLineChars="221"/>
        <w:rPr>
          <w:rFonts w:ascii="仿宋" w:hAnsi="仿宋" w:eastAsia="仿宋"/>
          <w:sz w:val="32"/>
          <w:szCs w:val="32"/>
        </w:rPr>
      </w:pPr>
      <w:r>
        <w:rPr>
          <w:rFonts w:hint="eastAsia" w:ascii="楷体" w:hAnsi="楷体" w:eastAsia="楷体" w:cs="楷体"/>
          <w:sz w:val="32"/>
          <w:szCs w:val="32"/>
        </w:rPr>
        <w:t>（四）依法依规做好依申请公开工作。</w:t>
      </w:r>
      <w:r>
        <w:rPr>
          <w:rFonts w:hint="eastAsia" w:ascii="仿宋" w:hAnsi="仿宋" w:eastAsia="仿宋" w:cs="仿宋"/>
          <w:sz w:val="32"/>
          <w:szCs w:val="32"/>
        </w:rPr>
        <w:t>在做好主动公开的同时，按照《条例》和国办《关于做好政府信息依申请公</w:t>
      </w:r>
      <w:r>
        <w:drawing>
          <wp:anchor distT="0" distB="0" distL="114300" distR="114300" simplePos="0" relativeHeight="251673600" behindDoc="0" locked="0" layoutInCell="1" allowOverlap="1">
            <wp:simplePos x="0" y="0"/>
            <wp:positionH relativeFrom="column">
              <wp:posOffset>511175</wp:posOffset>
            </wp:positionH>
            <wp:positionV relativeFrom="paragraph">
              <wp:posOffset>2447290</wp:posOffset>
            </wp:positionV>
            <wp:extent cx="4175125" cy="1455420"/>
            <wp:effectExtent l="19050" t="0" r="15875" b="0"/>
            <wp:wrapTopAndBottom/>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hint="eastAsia" w:ascii="仿宋" w:hAnsi="仿宋" w:eastAsia="仿宋" w:cs="仿宋"/>
          <w:sz w:val="32"/>
          <w:szCs w:val="32"/>
        </w:rPr>
        <w:t>开工作的意见》要求，进一步规范做好依申请公开工作，初步建立起全区依申请公开政府信息备案机制。对收到的信息公开申请，严格按照工作程序，认真分析、及时规范给予答</w:t>
      </w:r>
      <w:bookmarkStart w:id="0" w:name="_GoBack"/>
      <w:bookmarkEnd w:id="0"/>
      <w:r>
        <w:rPr>
          <w:rFonts w:hint="eastAsia" w:ascii="仿宋" w:hAnsi="仿宋" w:eastAsia="仿宋" w:cs="仿宋"/>
          <w:sz w:val="32"/>
          <w:szCs w:val="32"/>
        </w:rPr>
        <w:t>复。针对新版《条例》的实施，加大对区政府信息公开成员单位的指导、协调和监督力度，对各镇办、区政府各部门、各有关单位因依申请公开受理量较少而造成的对相关业务不了解、法规不熟悉、答复不规范等问题，有针对性地组织开展专题业务培训，并在实际答复工作中做好“一对一”业务指导，确保依申请事项能够及时、准确、规范办理。截至目前，全区收到依申请公开 131件，其中政府层面22件（有效答复1件，撤回21件），部门层面109件，均在法定时限内给予了规范答复。</w:t>
      </w:r>
      <w:r>
        <w:rPr>
          <w:rFonts w:ascii="仿宋" w:hAnsi="仿宋" w:eastAsia="仿宋"/>
          <w:sz w:val="32"/>
          <w:szCs w:val="32"/>
        </w:rPr>
        <w:t>根据财政部、国家发展改革委联合印发的《关于清理规范一批行政事业性收费有关政策的通知》</w:t>
      </w:r>
      <w:r>
        <w:rPr>
          <w:rFonts w:ascii="仿宋" w:hAnsi="仿宋" w:eastAsia="仿宋"/>
          <w:sz w:val="32"/>
          <w:szCs w:val="32"/>
        </w:rPr>
        <w:drawing>
          <wp:anchor distT="0" distB="0" distL="114300" distR="114300" simplePos="0" relativeHeight="251671552" behindDoc="0" locked="0" layoutInCell="1" allowOverlap="1">
            <wp:simplePos x="0" y="0"/>
            <wp:positionH relativeFrom="column">
              <wp:posOffset>3096895</wp:posOffset>
            </wp:positionH>
            <wp:positionV relativeFrom="paragraph">
              <wp:posOffset>811530</wp:posOffset>
            </wp:positionV>
            <wp:extent cx="2590800" cy="1492250"/>
            <wp:effectExtent l="19050" t="0" r="0" b="0"/>
            <wp:wrapTopAndBottom/>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ascii="仿宋" w:hAnsi="仿宋" w:eastAsia="仿宋"/>
          <w:sz w:val="32"/>
          <w:szCs w:val="32"/>
        </w:rPr>
        <w:drawing>
          <wp:anchor distT="0" distB="0" distL="114300" distR="114300" simplePos="0" relativeHeight="251670528" behindDoc="0" locked="0" layoutInCell="1" allowOverlap="1">
            <wp:simplePos x="0" y="0"/>
            <wp:positionH relativeFrom="column">
              <wp:posOffset>-85725</wp:posOffset>
            </wp:positionH>
            <wp:positionV relativeFrom="paragraph">
              <wp:posOffset>819150</wp:posOffset>
            </wp:positionV>
            <wp:extent cx="2812415" cy="1494155"/>
            <wp:effectExtent l="0" t="0" r="6985" b="45085"/>
            <wp:wrapTopAndBottom/>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ascii="仿宋" w:hAnsi="仿宋" w:eastAsia="仿宋"/>
          <w:sz w:val="32"/>
          <w:szCs w:val="32"/>
        </w:rPr>
        <w:t>规定，本年度依申请公开政府信息未收取任何费用。</w:t>
      </w:r>
    </w:p>
    <w:p>
      <w:pPr>
        <w:pStyle w:val="2"/>
        <w:jc w:val="both"/>
      </w:pPr>
    </w:p>
    <w:p>
      <w:pPr>
        <w:ind w:firstLine="640" w:firstLineChars="200"/>
        <w:rPr>
          <w:rFonts w:ascii="仿宋" w:hAnsi="仿宋" w:eastAsia="仿宋" w:cs="仿宋"/>
          <w:sz w:val="32"/>
          <w:szCs w:val="32"/>
        </w:rPr>
      </w:pPr>
      <w:r>
        <w:rPr>
          <w:rFonts w:hint="eastAsia" w:ascii="楷体" w:hAnsi="楷体" w:eastAsia="楷体" w:cs="楷体"/>
          <w:sz w:val="32"/>
          <w:szCs w:val="32"/>
        </w:rPr>
        <w:t>（五）高效办理人大代表建议、政协委员提案。</w:t>
      </w:r>
      <w:r>
        <w:rPr>
          <w:rFonts w:hint="eastAsia" w:ascii="仿宋" w:hAnsi="仿宋" w:eastAsia="仿宋" w:cs="仿宋"/>
          <w:kern w:val="0"/>
          <w:sz w:val="32"/>
          <w:szCs w:val="32"/>
        </w:rPr>
        <w:t>在区十七届人大四次会议期间，经审查，共收到代表建议、批评和意见148件。因功能区优化调整，移交有关区县28件，实际办理120件。区政府及各承办单位高度重视人大代表建议、批评和意见办理工作，认真组织调研，细化强化措施，力求办出实效。从办理结果看，所提建议已经解决或正在解决的111件，占总数的92.3%；受法律、法规、政策或客观条件限制，暂时不能解决的9件，占总数的7.7%。对因政策或条件限制，暂时不能解决或确实难以解决的，向代表们实事求是地说明了原因，认真细致地作了解释。在区政协十二届四次会议期间，共收到区政协提案183件，因功能区优化调整，移交淄博经开区3件，实际办理180件。</w:t>
      </w:r>
      <w:r>
        <w:rPr>
          <w:rFonts w:hint="eastAsia" w:ascii="仿宋" w:hAnsi="仿宋" w:eastAsia="仿宋" w:cs="仿宋"/>
          <w:color w:val="000000"/>
          <w:sz w:val="32"/>
          <w:szCs w:val="32"/>
        </w:rPr>
        <w:t>通过办理</w:t>
      </w:r>
      <w:r>
        <w:rPr>
          <w:rFonts w:hint="eastAsia" w:ascii="仿宋" w:hAnsi="仿宋" w:eastAsia="仿宋" w:cs="仿宋"/>
          <w:kern w:val="0"/>
          <w:sz w:val="32"/>
          <w:szCs w:val="32"/>
        </w:rPr>
        <w:t>提案</w:t>
      </w:r>
      <w:r>
        <w:rPr>
          <w:rFonts w:hint="eastAsia" w:ascii="仿宋" w:hAnsi="仿宋" w:eastAsia="仿宋" w:cs="仿宋"/>
          <w:color w:val="000000"/>
          <w:sz w:val="32"/>
          <w:szCs w:val="32"/>
        </w:rPr>
        <w:t>，一批人民群众关注的热点、焦点、难点问题得到了有效解决，既增强了政府各项工作的针对性，又密切了政府与人民群众的联系</w:t>
      </w:r>
      <w:r>
        <w:rPr>
          <w:rFonts w:ascii="仿宋" w:hAnsi="仿宋" w:eastAsia="仿宋" w:cs="仿宋"/>
          <w:color w:val="000000"/>
          <w:sz w:val="32"/>
          <w:szCs w:val="32"/>
        </w:rPr>
        <w:t>,</w:t>
      </w:r>
      <w:r>
        <w:rPr>
          <w:rFonts w:hint="eastAsia" w:ascii="仿宋" w:hAnsi="仿宋" w:eastAsia="仿宋" w:cs="仿宋"/>
          <w:color w:val="000000"/>
          <w:sz w:val="32"/>
          <w:szCs w:val="32"/>
        </w:rPr>
        <w:t>推动了全区经济社会事业的健康发展。</w:t>
      </w:r>
      <w:r>
        <w:rPr>
          <w:rFonts w:hint="eastAsia" w:ascii="仿宋" w:hAnsi="仿宋" w:eastAsia="仿宋" w:cs="仿宋"/>
          <w:sz w:val="32"/>
          <w:szCs w:val="32"/>
        </w:rPr>
        <w:t>人大代表建议和政协委员提案办理情况均在张店区人民政府门户网站公开发布。</w:t>
      </w:r>
    </w:p>
    <w:p>
      <w:pPr>
        <w:pStyle w:val="2"/>
      </w:pPr>
      <w:r>
        <w:rPr>
          <w:rFonts w:hint="eastAsia"/>
        </w:rPr>
        <w:drawing>
          <wp:inline distT="0" distB="0" distL="0" distR="0">
            <wp:extent cx="4997450" cy="309562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a:srcRect/>
                    <a:stretch>
                      <a:fillRect/>
                    </a:stretch>
                  </pic:blipFill>
                  <pic:spPr>
                    <a:xfrm>
                      <a:off x="0" y="0"/>
                      <a:ext cx="4997886" cy="3095625"/>
                    </a:xfrm>
                    <a:prstGeom prst="rect">
                      <a:avLst/>
                    </a:prstGeom>
                    <a:noFill/>
                    <a:ln w="9525">
                      <a:noFill/>
                      <a:miter lim="800000"/>
                      <a:headEnd/>
                      <a:tailEnd/>
                    </a:ln>
                  </pic:spPr>
                </pic:pic>
              </a:graphicData>
            </a:graphic>
          </wp:inline>
        </w:drawing>
      </w:r>
    </w:p>
    <w:p>
      <w:pPr>
        <w:pStyle w:val="2"/>
        <w:jc w:val="both"/>
        <w:rPr>
          <w:rFonts w:ascii="仿宋" w:hAnsi="仿宋" w:eastAsia="仿宋"/>
          <w:sz w:val="32"/>
          <w:szCs w:val="32"/>
        </w:rPr>
      </w:pPr>
      <w:r>
        <w:rPr>
          <w:rFonts w:hint="eastAsia"/>
          <w:sz w:val="32"/>
          <w:szCs w:val="32"/>
        </w:rPr>
        <w:t xml:space="preserve">   </w:t>
      </w:r>
      <w:r>
        <w:rPr>
          <w:rFonts w:hint="eastAsia" w:ascii="楷体" w:hAnsi="楷体" w:eastAsia="楷体"/>
          <w:sz w:val="32"/>
          <w:szCs w:val="32"/>
        </w:rPr>
        <w:t>（六）认真做好政务公开宣传稿件报送工作</w:t>
      </w:r>
      <w:r>
        <w:rPr>
          <w:rFonts w:hint="eastAsia" w:ascii="仿宋" w:hAnsi="仿宋" w:eastAsia="仿宋"/>
          <w:sz w:val="32"/>
          <w:szCs w:val="32"/>
        </w:rPr>
        <w:t>。典型经验宣传推广是强化舆论引导、推动工作提升、增强人民群众获得感的重要措施。我区按照省、市政府“要将宣传专栏作为政务公开工作的竞赛擂台、经验做法的展示舞台和能力素质的提升平台”的工作要求，积极动员各政务公开成员单位总结提炼本区域、本单位进展成效和突出亮点，紧紧围绕政务公开工作，准确把握选题角度,形成高质量的稿件向国办、省、市政府报送。2020年所撰写稿件有2篇被中央人民政府网采用，有6篇被山东省政府网采用，列全市各区县之首，同时填补了我区自2016年以来在中央政府网发稿的空白。我区率先推进的卫生健康领域政务公开之院务公开经验做法得到省政府领导的认可，在全省分管政务公开工作区县长培训会上作典型发言。</w:t>
      </w:r>
    </w:p>
    <w:p>
      <w:pPr>
        <w:pStyle w:val="6"/>
        <w:widowControl/>
        <w:shd w:val="clear" w:color="auto" w:fill="FFFFFF"/>
        <w:spacing w:beforeAutospacing="0" w:after="240" w:afterAutospacing="0"/>
        <w:ind w:firstLine="640"/>
        <w:jc w:val="both"/>
        <w:rPr>
          <w:rFonts w:hint="eastAsia" w:ascii="黑体" w:hAnsi="黑体" w:eastAsia="黑体" w:cs="黑体"/>
          <w:sz w:val="32"/>
          <w:szCs w:val="32"/>
          <w:shd w:val="clear" w:color="auto" w:fill="FFFFFF"/>
        </w:rPr>
      </w:pPr>
    </w:p>
    <w:p>
      <w:pPr>
        <w:pStyle w:val="6"/>
        <w:widowControl/>
        <w:shd w:val="clear" w:color="auto" w:fill="FFFFFF"/>
        <w:spacing w:beforeAutospacing="0" w:after="240" w:afterAutospacing="0"/>
        <w:ind w:firstLine="640"/>
        <w:jc w:val="both"/>
        <w:rPr>
          <w:rFonts w:ascii="黑体" w:hAnsi="黑体" w:eastAsia="黑体" w:cs="Times New Roman"/>
          <w:sz w:val="32"/>
          <w:szCs w:val="32"/>
        </w:rPr>
      </w:pPr>
      <w:r>
        <w:rPr>
          <w:rFonts w:hint="eastAsia" w:ascii="黑体" w:hAnsi="黑体" w:eastAsia="黑体" w:cs="黑体"/>
          <w:sz w:val="32"/>
          <w:szCs w:val="32"/>
          <w:shd w:val="clear" w:color="auto" w:fill="FFFFFF"/>
        </w:rPr>
        <w:t>二、主动公开政府信息情况</w:t>
      </w:r>
    </w:p>
    <w:tbl>
      <w:tblPr>
        <w:tblStyle w:val="7"/>
        <w:tblW w:w="8708" w:type="dxa"/>
        <w:jc w:val="center"/>
        <w:tblLayout w:type="fixed"/>
        <w:tblCellMar>
          <w:top w:w="0" w:type="dxa"/>
          <w:left w:w="0" w:type="dxa"/>
          <w:bottom w:w="0" w:type="dxa"/>
          <w:right w:w="0" w:type="dxa"/>
        </w:tblCellMar>
      </w:tblPr>
      <w:tblGrid>
        <w:gridCol w:w="3073"/>
        <w:gridCol w:w="17"/>
        <w:gridCol w:w="2095"/>
        <w:gridCol w:w="1505"/>
        <w:gridCol w:w="2018"/>
      </w:tblGrid>
      <w:tr>
        <w:tblPrEx>
          <w:tblCellMar>
            <w:top w:w="0" w:type="dxa"/>
            <w:left w:w="0" w:type="dxa"/>
            <w:bottom w:w="0" w:type="dxa"/>
            <w:right w:w="0" w:type="dxa"/>
          </w:tblCellMar>
        </w:tblPrEx>
        <w:trPr>
          <w:trHeight w:val="594" w:hRule="atLeast"/>
          <w:jc w:val="center"/>
        </w:trPr>
        <w:tc>
          <w:tcPr>
            <w:tcW w:w="8708" w:type="dxa"/>
            <w:gridSpan w:val="5"/>
            <w:tcBorders>
              <w:top w:val="single" w:color="auto" w:sz="12" w:space="0"/>
              <w:left w:val="single" w:color="auto" w:sz="12" w:space="0"/>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sz w:val="24"/>
                <w:szCs w:val="24"/>
              </w:rPr>
            </w:pPr>
            <w:r>
              <w:rPr>
                <w:rFonts w:hint="eastAsia" w:ascii="宋体" w:hAnsi="宋体" w:cs="宋体"/>
                <w:kern w:val="0"/>
                <w:sz w:val="24"/>
                <w:szCs w:val="24"/>
              </w:rPr>
              <w:t>第二十条第（一）项</w:t>
            </w:r>
          </w:p>
        </w:tc>
      </w:tr>
      <w:tr>
        <w:tblPrEx>
          <w:tblCellMar>
            <w:top w:w="0" w:type="dxa"/>
            <w:left w:w="0" w:type="dxa"/>
            <w:bottom w:w="0" w:type="dxa"/>
            <w:right w:w="0" w:type="dxa"/>
          </w:tblCellMar>
        </w:tblPrEx>
        <w:trPr>
          <w:trHeight w:val="866" w:hRule="atLeast"/>
          <w:jc w:val="center"/>
        </w:trPr>
        <w:tc>
          <w:tcPr>
            <w:tcW w:w="3073" w:type="dxa"/>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rPr>
                <w:rFonts w:ascii="宋体" w:cs="Times New Roman"/>
                <w:kern w:val="0"/>
                <w:sz w:val="24"/>
                <w:szCs w:val="24"/>
              </w:rPr>
            </w:pPr>
            <w:r>
              <w:rPr>
                <w:rFonts w:hint="eastAsia" w:ascii="宋体" w:hAnsi="宋体" w:cs="宋体"/>
                <w:kern w:val="0"/>
                <w:sz w:val="24"/>
                <w:szCs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widowControl/>
              <w:rPr>
                <w:rFonts w:ascii="宋体" w:cs="Times New Roman"/>
                <w:kern w:val="0"/>
                <w:sz w:val="24"/>
                <w:szCs w:val="24"/>
              </w:rPr>
            </w:pPr>
            <w:r>
              <w:rPr>
                <w:rFonts w:hint="eastAsia" w:ascii="宋体" w:hAnsi="宋体" w:cs="宋体"/>
                <w:kern w:val="0"/>
                <w:sz w:val="24"/>
                <w:szCs w:val="24"/>
              </w:rPr>
              <w:t>本年新制作数量</w:t>
            </w:r>
          </w:p>
        </w:tc>
        <w:tc>
          <w:tcPr>
            <w:tcW w:w="1505"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widowControl/>
              <w:rPr>
                <w:rFonts w:ascii="宋体" w:cs="Times New Roman"/>
                <w:kern w:val="0"/>
                <w:sz w:val="24"/>
                <w:szCs w:val="24"/>
              </w:rPr>
            </w:pPr>
            <w:r>
              <w:rPr>
                <w:rFonts w:hint="eastAsia" w:ascii="宋体" w:hAnsi="宋体" w:cs="宋体"/>
                <w:kern w:val="0"/>
                <w:sz w:val="24"/>
                <w:szCs w:val="24"/>
              </w:rPr>
              <w:t>本年新</w:t>
            </w:r>
            <w:r>
              <w:rPr>
                <w:rFonts w:ascii="宋体" w:cs="Times New Roman"/>
                <w:kern w:val="0"/>
                <w:sz w:val="24"/>
                <w:szCs w:val="24"/>
              </w:rPr>
              <w:br w:type="textWrapping"/>
            </w:r>
            <w:r>
              <w:rPr>
                <w:rFonts w:hint="eastAsia" w:ascii="宋体" w:hAnsi="宋体" w:cs="宋体"/>
                <w:kern w:val="0"/>
                <w:sz w:val="24"/>
                <w:szCs w:val="24"/>
              </w:rPr>
              <w:t>公开数量</w:t>
            </w:r>
          </w:p>
        </w:tc>
        <w:tc>
          <w:tcPr>
            <w:tcW w:w="2018" w:type="dxa"/>
            <w:tcBorders>
              <w:top w:val="nil"/>
              <w:left w:val="nil"/>
              <w:bottom w:val="single" w:color="auto" w:sz="8" w:space="0"/>
              <w:right w:val="single" w:color="auto" w:sz="12" w:space="0"/>
            </w:tcBorders>
            <w:shd w:val="clear" w:color="auto" w:fill="FFFFFF"/>
            <w:tcMar>
              <w:left w:w="108" w:type="dxa"/>
              <w:right w:w="108" w:type="dxa"/>
            </w:tcMar>
            <w:vAlign w:val="center"/>
          </w:tcPr>
          <w:p>
            <w:pPr>
              <w:widowControl/>
              <w:rPr>
                <w:rFonts w:ascii="宋体" w:cs="Times New Roman"/>
                <w:kern w:val="0"/>
                <w:sz w:val="24"/>
                <w:szCs w:val="24"/>
              </w:rPr>
            </w:pPr>
            <w:r>
              <w:rPr>
                <w:rFonts w:hint="eastAsia" w:ascii="宋体" w:hAnsi="宋体" w:cs="宋体"/>
                <w:kern w:val="0"/>
                <w:sz w:val="24"/>
                <w:szCs w:val="24"/>
              </w:rPr>
              <w:t>对外公开</w:t>
            </w:r>
          </w:p>
          <w:p>
            <w:pPr>
              <w:widowControl/>
              <w:rPr>
                <w:rFonts w:ascii="宋体" w:cs="Times New Roman"/>
                <w:kern w:val="0"/>
                <w:sz w:val="24"/>
                <w:szCs w:val="24"/>
              </w:rPr>
            </w:pPr>
            <w:r>
              <w:rPr>
                <w:rFonts w:hint="eastAsia" w:ascii="宋体" w:hAnsi="宋体" w:cs="宋体"/>
                <w:kern w:val="0"/>
                <w:sz w:val="24"/>
                <w:szCs w:val="24"/>
              </w:rPr>
              <w:t>总数量</w:t>
            </w:r>
          </w:p>
        </w:tc>
      </w:tr>
      <w:tr>
        <w:tblPrEx>
          <w:tblCellMar>
            <w:top w:w="0" w:type="dxa"/>
            <w:left w:w="0" w:type="dxa"/>
            <w:bottom w:w="0" w:type="dxa"/>
            <w:right w:w="0" w:type="dxa"/>
          </w:tblCellMar>
        </w:tblPrEx>
        <w:trPr>
          <w:trHeight w:val="399" w:hRule="atLeast"/>
          <w:jc w:val="center"/>
        </w:trPr>
        <w:tc>
          <w:tcPr>
            <w:tcW w:w="3073" w:type="dxa"/>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规章</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ascii="宋体" w:cs="宋体"/>
                <w:kern w:val="0"/>
                <w:sz w:val="24"/>
                <w:szCs w:val="24"/>
              </w:rPr>
              <w:t>0</w:t>
            </w:r>
          </w:p>
        </w:tc>
        <w:tc>
          <w:tcPr>
            <w:tcW w:w="1505"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ascii="宋体" w:cs="宋体"/>
                <w:kern w:val="0"/>
                <w:sz w:val="24"/>
                <w:szCs w:val="24"/>
              </w:rPr>
              <w:t>0</w:t>
            </w:r>
          </w:p>
        </w:tc>
        <w:tc>
          <w:tcPr>
            <w:tcW w:w="2018" w:type="dxa"/>
            <w:tcBorders>
              <w:top w:val="nil"/>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ascii="宋体" w:cs="宋体"/>
                <w:kern w:val="0"/>
                <w:sz w:val="24"/>
                <w:szCs w:val="24"/>
              </w:rPr>
              <w:t>0</w:t>
            </w:r>
          </w:p>
        </w:tc>
      </w:tr>
      <w:tr>
        <w:tblPrEx>
          <w:tblCellMar>
            <w:top w:w="0" w:type="dxa"/>
            <w:left w:w="0" w:type="dxa"/>
            <w:bottom w:w="0" w:type="dxa"/>
            <w:right w:w="0" w:type="dxa"/>
          </w:tblCellMar>
        </w:tblPrEx>
        <w:trPr>
          <w:trHeight w:val="404" w:hRule="atLeast"/>
          <w:jc w:val="center"/>
        </w:trPr>
        <w:tc>
          <w:tcPr>
            <w:tcW w:w="3073" w:type="dxa"/>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规范性文件</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hint="default" w:ascii="宋体" w:eastAsia="宋体" w:cs="Times New Roman"/>
                <w:kern w:val="0"/>
                <w:sz w:val="24"/>
                <w:szCs w:val="24"/>
                <w:lang w:val="en-US" w:eastAsia="zh-CN"/>
              </w:rPr>
            </w:pPr>
            <w:r>
              <w:rPr>
                <w:rFonts w:hint="eastAsia" w:ascii="宋体" w:hAnsi="宋体" w:cs="宋体"/>
                <w:kern w:val="0"/>
                <w:sz w:val="24"/>
                <w:szCs w:val="24"/>
                <w:lang w:val="en-US" w:eastAsia="zh-CN"/>
              </w:rPr>
              <w:t>10</w:t>
            </w:r>
          </w:p>
        </w:tc>
        <w:tc>
          <w:tcPr>
            <w:tcW w:w="1505"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hint="default" w:ascii="宋体" w:eastAsia="宋体" w:cs="Times New Roman"/>
                <w:kern w:val="0"/>
                <w:sz w:val="24"/>
                <w:szCs w:val="24"/>
                <w:lang w:val="en-US" w:eastAsia="zh-CN"/>
              </w:rPr>
            </w:pPr>
            <w:r>
              <w:rPr>
                <w:rFonts w:hint="eastAsia" w:ascii="宋体" w:cs="Times New Roman"/>
                <w:kern w:val="0"/>
                <w:sz w:val="24"/>
                <w:szCs w:val="24"/>
                <w:lang w:val="en-US" w:eastAsia="zh-CN"/>
              </w:rPr>
              <w:t>10</w:t>
            </w:r>
          </w:p>
        </w:tc>
        <w:tc>
          <w:tcPr>
            <w:tcW w:w="2018" w:type="dxa"/>
            <w:tcBorders>
              <w:top w:val="nil"/>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hint="default" w:ascii="宋体" w:eastAsia="宋体" w:cs="Times New Roman"/>
                <w:kern w:val="0"/>
                <w:sz w:val="24"/>
                <w:szCs w:val="24"/>
                <w:lang w:val="en-US" w:eastAsia="zh-CN"/>
              </w:rPr>
            </w:pPr>
            <w:r>
              <w:rPr>
                <w:rFonts w:hint="eastAsia" w:ascii="宋体" w:hAnsi="宋体" w:cs="宋体"/>
                <w:kern w:val="0"/>
                <w:sz w:val="24"/>
                <w:szCs w:val="24"/>
                <w:lang w:val="en-US" w:eastAsia="zh-CN"/>
              </w:rPr>
              <w:t>47</w:t>
            </w:r>
          </w:p>
        </w:tc>
      </w:tr>
      <w:tr>
        <w:tblPrEx>
          <w:tblCellMar>
            <w:top w:w="0" w:type="dxa"/>
            <w:left w:w="0" w:type="dxa"/>
            <w:bottom w:w="0" w:type="dxa"/>
            <w:right w:w="0" w:type="dxa"/>
          </w:tblCellMar>
        </w:tblPrEx>
        <w:trPr>
          <w:trHeight w:val="480" w:hRule="atLeast"/>
          <w:jc w:val="center"/>
        </w:trPr>
        <w:tc>
          <w:tcPr>
            <w:tcW w:w="8708" w:type="dxa"/>
            <w:gridSpan w:val="5"/>
            <w:tcBorders>
              <w:top w:val="nil"/>
              <w:left w:val="single" w:color="auto" w:sz="12" w:space="0"/>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第二十条第（五）项</w:t>
            </w:r>
          </w:p>
        </w:tc>
      </w:tr>
      <w:tr>
        <w:tblPrEx>
          <w:tblCellMar>
            <w:top w:w="0" w:type="dxa"/>
            <w:left w:w="0" w:type="dxa"/>
            <w:bottom w:w="0" w:type="dxa"/>
            <w:right w:w="0" w:type="dxa"/>
          </w:tblCellMar>
        </w:tblPrEx>
        <w:trPr>
          <w:trHeight w:val="516" w:hRule="atLeast"/>
          <w:jc w:val="center"/>
        </w:trPr>
        <w:tc>
          <w:tcPr>
            <w:tcW w:w="3073" w:type="dxa"/>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上一年项目数量</w:t>
            </w:r>
          </w:p>
        </w:tc>
        <w:tc>
          <w:tcPr>
            <w:tcW w:w="1505"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本年增</w:t>
            </w:r>
            <w:r>
              <w:rPr>
                <w:rFonts w:ascii="宋体" w:hAnsi="宋体" w:cs="宋体"/>
                <w:kern w:val="0"/>
                <w:sz w:val="24"/>
                <w:szCs w:val="24"/>
              </w:rPr>
              <w:t>/</w:t>
            </w:r>
            <w:r>
              <w:rPr>
                <w:rFonts w:hint="eastAsia" w:ascii="宋体" w:hAnsi="宋体" w:cs="宋体"/>
                <w:kern w:val="0"/>
                <w:sz w:val="24"/>
                <w:szCs w:val="24"/>
              </w:rPr>
              <w:t>减</w:t>
            </w:r>
          </w:p>
        </w:tc>
        <w:tc>
          <w:tcPr>
            <w:tcW w:w="2018" w:type="dxa"/>
            <w:tcBorders>
              <w:top w:val="nil"/>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处理决定数量</w:t>
            </w:r>
          </w:p>
        </w:tc>
      </w:tr>
      <w:tr>
        <w:tblPrEx>
          <w:tblCellMar>
            <w:top w:w="0" w:type="dxa"/>
            <w:left w:w="0" w:type="dxa"/>
            <w:bottom w:w="0" w:type="dxa"/>
            <w:right w:w="0" w:type="dxa"/>
          </w:tblCellMar>
        </w:tblPrEx>
        <w:trPr>
          <w:trHeight w:val="455" w:hRule="atLeast"/>
          <w:jc w:val="center"/>
        </w:trPr>
        <w:tc>
          <w:tcPr>
            <w:tcW w:w="3073" w:type="dxa"/>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行政许可</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633</w:t>
            </w:r>
          </w:p>
        </w:tc>
        <w:tc>
          <w:tcPr>
            <w:tcW w:w="1505"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ascii="宋体" w:hAnsi="宋体" w:cs="宋体"/>
                <w:kern w:val="0"/>
                <w:sz w:val="24"/>
                <w:szCs w:val="24"/>
              </w:rPr>
              <w:t>-</w:t>
            </w:r>
            <w:r>
              <w:rPr>
                <w:rFonts w:hint="eastAsia" w:ascii="宋体" w:hAnsi="宋体" w:cs="宋体"/>
                <w:kern w:val="0"/>
                <w:sz w:val="24"/>
                <w:szCs w:val="24"/>
              </w:rPr>
              <w:t>309</w:t>
            </w:r>
          </w:p>
        </w:tc>
        <w:tc>
          <w:tcPr>
            <w:tcW w:w="2018" w:type="dxa"/>
            <w:tcBorders>
              <w:top w:val="nil"/>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253227</w:t>
            </w:r>
          </w:p>
        </w:tc>
      </w:tr>
      <w:tr>
        <w:tblPrEx>
          <w:tblCellMar>
            <w:top w:w="0" w:type="dxa"/>
            <w:left w:w="0" w:type="dxa"/>
            <w:bottom w:w="0" w:type="dxa"/>
            <w:right w:w="0" w:type="dxa"/>
          </w:tblCellMar>
        </w:tblPrEx>
        <w:trPr>
          <w:trHeight w:val="550" w:hRule="atLeast"/>
          <w:jc w:val="center"/>
        </w:trPr>
        <w:tc>
          <w:tcPr>
            <w:tcW w:w="3073" w:type="dxa"/>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其他对外管理服务事项</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223</w:t>
            </w:r>
          </w:p>
        </w:tc>
        <w:tc>
          <w:tcPr>
            <w:tcW w:w="1505"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-206</w:t>
            </w:r>
          </w:p>
        </w:tc>
        <w:tc>
          <w:tcPr>
            <w:tcW w:w="2018" w:type="dxa"/>
            <w:tcBorders>
              <w:top w:val="nil"/>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861</w:t>
            </w:r>
          </w:p>
        </w:tc>
      </w:tr>
      <w:tr>
        <w:tblPrEx>
          <w:tblCellMar>
            <w:top w:w="0" w:type="dxa"/>
            <w:left w:w="0" w:type="dxa"/>
            <w:bottom w:w="0" w:type="dxa"/>
            <w:right w:w="0" w:type="dxa"/>
          </w:tblCellMar>
        </w:tblPrEx>
        <w:trPr>
          <w:trHeight w:val="497" w:hRule="atLeast"/>
          <w:jc w:val="center"/>
        </w:trPr>
        <w:tc>
          <w:tcPr>
            <w:tcW w:w="8708" w:type="dxa"/>
            <w:gridSpan w:val="5"/>
            <w:tcBorders>
              <w:top w:val="nil"/>
              <w:left w:val="single" w:color="auto" w:sz="12" w:space="0"/>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第二十条第（六）项</w:t>
            </w:r>
          </w:p>
        </w:tc>
      </w:tr>
      <w:tr>
        <w:tblPrEx>
          <w:tblCellMar>
            <w:top w:w="0" w:type="dxa"/>
            <w:left w:w="0" w:type="dxa"/>
            <w:bottom w:w="0" w:type="dxa"/>
            <w:right w:w="0" w:type="dxa"/>
          </w:tblCellMar>
        </w:tblPrEx>
        <w:trPr>
          <w:trHeight w:val="547" w:hRule="atLeast"/>
          <w:jc w:val="center"/>
        </w:trPr>
        <w:tc>
          <w:tcPr>
            <w:tcW w:w="3073" w:type="dxa"/>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上一年项目数量</w:t>
            </w:r>
          </w:p>
        </w:tc>
        <w:tc>
          <w:tcPr>
            <w:tcW w:w="1505"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本年增</w:t>
            </w:r>
            <w:r>
              <w:rPr>
                <w:rFonts w:ascii="宋体" w:hAnsi="宋体" w:cs="宋体"/>
                <w:kern w:val="0"/>
                <w:sz w:val="24"/>
                <w:szCs w:val="24"/>
              </w:rPr>
              <w:t>/</w:t>
            </w:r>
            <w:r>
              <w:rPr>
                <w:rFonts w:hint="eastAsia" w:ascii="宋体" w:hAnsi="宋体" w:cs="宋体"/>
                <w:kern w:val="0"/>
                <w:sz w:val="24"/>
                <w:szCs w:val="24"/>
              </w:rPr>
              <w:t>减</w:t>
            </w:r>
          </w:p>
        </w:tc>
        <w:tc>
          <w:tcPr>
            <w:tcW w:w="2018" w:type="dxa"/>
            <w:tcBorders>
              <w:top w:val="nil"/>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处理决定数量</w:t>
            </w:r>
          </w:p>
        </w:tc>
      </w:tr>
      <w:tr>
        <w:tblPrEx>
          <w:tblCellMar>
            <w:top w:w="0" w:type="dxa"/>
            <w:left w:w="0" w:type="dxa"/>
            <w:bottom w:w="0" w:type="dxa"/>
            <w:right w:w="0" w:type="dxa"/>
          </w:tblCellMar>
        </w:tblPrEx>
        <w:trPr>
          <w:trHeight w:val="430" w:hRule="atLeast"/>
          <w:jc w:val="center"/>
        </w:trPr>
        <w:tc>
          <w:tcPr>
            <w:tcW w:w="3073" w:type="dxa"/>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行政处罚</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4020</w:t>
            </w:r>
          </w:p>
        </w:tc>
        <w:tc>
          <w:tcPr>
            <w:tcW w:w="1505"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-17</w:t>
            </w:r>
          </w:p>
        </w:tc>
        <w:tc>
          <w:tcPr>
            <w:tcW w:w="2018" w:type="dxa"/>
            <w:tcBorders>
              <w:top w:val="nil"/>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71664</w:t>
            </w:r>
          </w:p>
        </w:tc>
      </w:tr>
      <w:tr>
        <w:tblPrEx>
          <w:tblCellMar>
            <w:top w:w="0" w:type="dxa"/>
            <w:left w:w="0" w:type="dxa"/>
            <w:bottom w:w="0" w:type="dxa"/>
            <w:right w:w="0" w:type="dxa"/>
          </w:tblCellMar>
        </w:tblPrEx>
        <w:trPr>
          <w:trHeight w:val="409" w:hRule="atLeast"/>
          <w:jc w:val="center"/>
        </w:trPr>
        <w:tc>
          <w:tcPr>
            <w:tcW w:w="3073" w:type="dxa"/>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行政强制</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139</w:t>
            </w:r>
          </w:p>
        </w:tc>
        <w:tc>
          <w:tcPr>
            <w:tcW w:w="1505"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+1</w:t>
            </w:r>
          </w:p>
        </w:tc>
        <w:tc>
          <w:tcPr>
            <w:tcW w:w="2018" w:type="dxa"/>
            <w:tcBorders>
              <w:top w:val="nil"/>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color w:val="FF0000"/>
                <w:kern w:val="0"/>
                <w:sz w:val="24"/>
                <w:szCs w:val="24"/>
              </w:rPr>
            </w:pPr>
            <w:r>
              <w:rPr>
                <w:rFonts w:hint="eastAsia" w:ascii="宋体" w:hAnsi="宋体" w:cs="宋体"/>
                <w:kern w:val="0"/>
                <w:sz w:val="24"/>
                <w:szCs w:val="24"/>
              </w:rPr>
              <w:t>8288</w:t>
            </w:r>
          </w:p>
        </w:tc>
      </w:tr>
      <w:tr>
        <w:tblPrEx>
          <w:tblCellMar>
            <w:top w:w="0" w:type="dxa"/>
            <w:left w:w="0" w:type="dxa"/>
            <w:bottom w:w="0" w:type="dxa"/>
            <w:right w:w="0" w:type="dxa"/>
          </w:tblCellMar>
        </w:tblPrEx>
        <w:trPr>
          <w:trHeight w:val="474" w:hRule="atLeast"/>
          <w:jc w:val="center"/>
        </w:trPr>
        <w:tc>
          <w:tcPr>
            <w:tcW w:w="8708" w:type="dxa"/>
            <w:gridSpan w:val="5"/>
            <w:tcBorders>
              <w:top w:val="nil"/>
              <w:left w:val="single" w:color="auto" w:sz="12" w:space="0"/>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第二十条第（八）项</w:t>
            </w:r>
          </w:p>
        </w:tc>
      </w:tr>
      <w:tr>
        <w:tblPrEx>
          <w:tblCellMar>
            <w:top w:w="0" w:type="dxa"/>
            <w:left w:w="0" w:type="dxa"/>
            <w:bottom w:w="0" w:type="dxa"/>
            <w:right w:w="0" w:type="dxa"/>
          </w:tblCellMar>
        </w:tblPrEx>
        <w:trPr>
          <w:trHeight w:val="447" w:hRule="atLeast"/>
          <w:jc w:val="center"/>
        </w:trPr>
        <w:tc>
          <w:tcPr>
            <w:tcW w:w="3073" w:type="dxa"/>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信息内容</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上一年项目数量</w:t>
            </w:r>
          </w:p>
        </w:tc>
        <w:tc>
          <w:tcPr>
            <w:tcW w:w="3523" w:type="dxa"/>
            <w:gridSpan w:val="2"/>
            <w:tcBorders>
              <w:top w:val="single" w:color="auto" w:sz="8" w:space="0"/>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本年增</w:t>
            </w:r>
            <w:r>
              <w:rPr>
                <w:rFonts w:ascii="宋体" w:hAnsi="宋体" w:cs="宋体"/>
                <w:kern w:val="0"/>
                <w:sz w:val="24"/>
                <w:szCs w:val="24"/>
              </w:rPr>
              <w:t>/</w:t>
            </w:r>
            <w:r>
              <w:rPr>
                <w:rFonts w:hint="eastAsia" w:ascii="宋体" w:hAnsi="宋体" w:cs="宋体"/>
                <w:kern w:val="0"/>
                <w:sz w:val="24"/>
                <w:szCs w:val="24"/>
              </w:rPr>
              <w:t>减</w:t>
            </w:r>
          </w:p>
        </w:tc>
      </w:tr>
      <w:tr>
        <w:tblPrEx>
          <w:tblCellMar>
            <w:top w:w="0" w:type="dxa"/>
            <w:left w:w="0" w:type="dxa"/>
            <w:bottom w:w="0" w:type="dxa"/>
            <w:right w:w="0" w:type="dxa"/>
          </w:tblCellMar>
        </w:tblPrEx>
        <w:trPr>
          <w:trHeight w:val="440" w:hRule="atLeast"/>
          <w:jc w:val="center"/>
        </w:trPr>
        <w:tc>
          <w:tcPr>
            <w:tcW w:w="3073" w:type="dxa"/>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行政事业性收费</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53</w:t>
            </w:r>
          </w:p>
        </w:tc>
        <w:tc>
          <w:tcPr>
            <w:tcW w:w="3523" w:type="dxa"/>
            <w:gridSpan w:val="2"/>
            <w:tcBorders>
              <w:top w:val="nil"/>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+5</w:t>
            </w:r>
          </w:p>
        </w:tc>
      </w:tr>
      <w:tr>
        <w:tblPrEx>
          <w:tblCellMar>
            <w:top w:w="0" w:type="dxa"/>
            <w:left w:w="0" w:type="dxa"/>
            <w:bottom w:w="0" w:type="dxa"/>
            <w:right w:w="0" w:type="dxa"/>
          </w:tblCellMar>
        </w:tblPrEx>
        <w:trPr>
          <w:trHeight w:val="476" w:hRule="atLeast"/>
          <w:jc w:val="center"/>
        </w:trPr>
        <w:tc>
          <w:tcPr>
            <w:tcW w:w="8708" w:type="dxa"/>
            <w:gridSpan w:val="5"/>
            <w:tcBorders>
              <w:top w:val="nil"/>
              <w:left w:val="single" w:color="auto" w:sz="12" w:space="0"/>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第二十条第（九）项</w:t>
            </w:r>
          </w:p>
        </w:tc>
      </w:tr>
      <w:tr>
        <w:tblPrEx>
          <w:tblCellMar>
            <w:top w:w="0" w:type="dxa"/>
            <w:left w:w="0" w:type="dxa"/>
            <w:bottom w:w="0" w:type="dxa"/>
            <w:right w:w="0" w:type="dxa"/>
          </w:tblCellMar>
        </w:tblPrEx>
        <w:trPr>
          <w:trHeight w:val="427" w:hRule="atLeast"/>
          <w:jc w:val="center"/>
        </w:trPr>
        <w:tc>
          <w:tcPr>
            <w:tcW w:w="3090" w:type="dxa"/>
            <w:gridSpan w:val="2"/>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信息内容</w:t>
            </w:r>
          </w:p>
        </w:tc>
        <w:tc>
          <w:tcPr>
            <w:tcW w:w="2095"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采购项目数量</w:t>
            </w:r>
          </w:p>
        </w:tc>
        <w:tc>
          <w:tcPr>
            <w:tcW w:w="3523" w:type="dxa"/>
            <w:gridSpan w:val="2"/>
            <w:tcBorders>
              <w:top w:val="single" w:color="auto" w:sz="8" w:space="0"/>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采购总金额</w:t>
            </w:r>
          </w:p>
        </w:tc>
      </w:tr>
      <w:tr>
        <w:tblPrEx>
          <w:tblCellMar>
            <w:top w:w="0" w:type="dxa"/>
            <w:left w:w="0" w:type="dxa"/>
            <w:bottom w:w="0" w:type="dxa"/>
            <w:right w:w="0" w:type="dxa"/>
          </w:tblCellMar>
        </w:tblPrEx>
        <w:trPr>
          <w:trHeight w:val="469" w:hRule="atLeast"/>
          <w:jc w:val="center"/>
        </w:trPr>
        <w:tc>
          <w:tcPr>
            <w:tcW w:w="3090" w:type="dxa"/>
            <w:gridSpan w:val="2"/>
            <w:tcBorders>
              <w:top w:val="nil"/>
              <w:left w:val="single" w:color="auto" w:sz="12" w:space="0"/>
              <w:bottom w:val="single" w:color="auto" w:sz="12"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hAnsi="宋体" w:cs="宋体"/>
                <w:kern w:val="0"/>
                <w:sz w:val="24"/>
                <w:szCs w:val="24"/>
              </w:rPr>
              <w:t>政府集中采购</w:t>
            </w:r>
          </w:p>
        </w:tc>
        <w:tc>
          <w:tcPr>
            <w:tcW w:w="2095" w:type="dxa"/>
            <w:tcBorders>
              <w:top w:val="nil"/>
              <w:left w:val="nil"/>
              <w:bottom w:val="single" w:color="auto" w:sz="12" w:space="0"/>
              <w:right w:val="single" w:color="auto" w:sz="8" w:space="0"/>
            </w:tcBorders>
            <w:shd w:val="clear" w:color="auto" w:fill="FFFFFF"/>
            <w:tcMar>
              <w:left w:w="108" w:type="dxa"/>
              <w:right w:w="108" w:type="dxa"/>
            </w:tcMar>
            <w:vAlign w:val="center"/>
          </w:tcPr>
          <w:p>
            <w:pPr>
              <w:widowControl/>
              <w:jc w:val="center"/>
              <w:rPr>
                <w:rFonts w:ascii="宋体" w:cs="Times New Roman"/>
                <w:kern w:val="0"/>
                <w:sz w:val="24"/>
                <w:szCs w:val="24"/>
              </w:rPr>
            </w:pPr>
            <w:r>
              <w:rPr>
                <w:rFonts w:hint="eastAsia" w:ascii="宋体" w:cs="宋体"/>
                <w:kern w:val="0"/>
                <w:sz w:val="24"/>
                <w:szCs w:val="24"/>
              </w:rPr>
              <w:t>182个</w:t>
            </w:r>
          </w:p>
        </w:tc>
        <w:tc>
          <w:tcPr>
            <w:tcW w:w="3523" w:type="dxa"/>
            <w:gridSpan w:val="2"/>
            <w:tcBorders>
              <w:top w:val="nil"/>
              <w:left w:val="nil"/>
              <w:bottom w:val="single" w:color="auto" w:sz="12" w:space="0"/>
              <w:right w:val="single" w:color="auto" w:sz="12" w:space="0"/>
            </w:tcBorders>
            <w:shd w:val="clear" w:color="auto" w:fill="FFFFFF"/>
            <w:tcMar>
              <w:left w:w="108" w:type="dxa"/>
              <w:right w:w="108" w:type="dxa"/>
            </w:tcMar>
            <w:vAlign w:val="center"/>
          </w:tcPr>
          <w:p>
            <w:pPr>
              <w:jc w:val="center"/>
              <w:rPr>
                <w:rFonts w:ascii="宋体" w:cs="Times New Roman"/>
                <w:kern w:val="0"/>
                <w:sz w:val="24"/>
                <w:szCs w:val="24"/>
              </w:rPr>
            </w:pPr>
            <w:r>
              <w:rPr>
                <w:rFonts w:hint="eastAsia" w:ascii="宋体" w:cs="宋体"/>
                <w:kern w:val="0"/>
                <w:sz w:val="24"/>
                <w:szCs w:val="24"/>
              </w:rPr>
              <w:t>60516万元</w:t>
            </w:r>
          </w:p>
        </w:tc>
      </w:tr>
    </w:tbl>
    <w:p>
      <w:pPr>
        <w:pStyle w:val="6"/>
        <w:widowControl/>
        <w:shd w:val="clear" w:color="auto" w:fill="FFFFFF"/>
        <w:spacing w:beforeAutospacing="0" w:after="240" w:afterAutospacing="0"/>
        <w:ind w:left="-199" w:leftChars="-95" w:firstLine="620"/>
        <w:jc w:val="center"/>
        <w:rPr>
          <w:rFonts w:ascii="黑体" w:hAnsi="黑体" w:eastAsia="黑体" w:cs="黑体"/>
          <w:b/>
          <w:bCs/>
          <w:sz w:val="32"/>
          <w:szCs w:val="32"/>
          <w:shd w:val="clear" w:color="auto" w:fill="FFFFFF"/>
        </w:rPr>
      </w:pPr>
    </w:p>
    <w:p>
      <w:pPr>
        <w:pStyle w:val="6"/>
        <w:widowControl/>
        <w:shd w:val="clear" w:color="auto" w:fill="FFFFFF"/>
        <w:spacing w:beforeAutospacing="0" w:after="240" w:afterAutospacing="0"/>
        <w:ind w:left="-199" w:leftChars="-95" w:firstLine="620"/>
        <w:jc w:val="both"/>
        <w:rPr>
          <w:rFonts w:hint="eastAsia" w:ascii="黑体" w:hAnsi="黑体" w:eastAsia="黑体" w:cs="黑体"/>
          <w:b/>
          <w:bCs/>
          <w:sz w:val="32"/>
          <w:szCs w:val="32"/>
          <w:shd w:val="clear" w:color="auto" w:fill="FFFFFF"/>
        </w:rPr>
      </w:pPr>
    </w:p>
    <w:p>
      <w:pPr>
        <w:pStyle w:val="6"/>
        <w:widowControl/>
        <w:shd w:val="clear" w:color="auto" w:fill="FFFFFF"/>
        <w:spacing w:beforeAutospacing="0" w:after="240" w:afterAutospacing="0"/>
        <w:ind w:left="-199" w:leftChars="-95" w:firstLine="620"/>
        <w:jc w:val="both"/>
        <w:rPr>
          <w:rFonts w:hint="eastAsia" w:ascii="黑体" w:hAnsi="黑体" w:eastAsia="黑体" w:cs="黑体"/>
          <w:b/>
          <w:bCs/>
          <w:sz w:val="32"/>
          <w:szCs w:val="32"/>
          <w:shd w:val="clear" w:color="auto" w:fill="FFFFFF"/>
        </w:rPr>
      </w:pPr>
    </w:p>
    <w:p>
      <w:pPr>
        <w:pStyle w:val="6"/>
        <w:widowControl/>
        <w:shd w:val="clear" w:color="auto" w:fill="FFFFFF"/>
        <w:spacing w:beforeAutospacing="0" w:after="240" w:afterAutospacing="0"/>
        <w:jc w:val="both"/>
        <w:rPr>
          <w:rFonts w:hint="eastAsia" w:ascii="黑体" w:hAnsi="黑体" w:eastAsia="黑体" w:cs="黑体"/>
          <w:b/>
          <w:bCs/>
          <w:sz w:val="32"/>
          <w:szCs w:val="32"/>
          <w:shd w:val="clear" w:color="auto" w:fill="FFFFFF"/>
        </w:rPr>
      </w:pPr>
    </w:p>
    <w:p>
      <w:pPr>
        <w:pStyle w:val="6"/>
        <w:widowControl/>
        <w:shd w:val="clear" w:color="auto" w:fill="FFFFFF"/>
        <w:spacing w:beforeAutospacing="0" w:after="240" w:afterAutospacing="0"/>
        <w:ind w:left="-199" w:leftChars="-95" w:firstLine="620"/>
        <w:jc w:val="both"/>
        <w:rPr>
          <w:rFonts w:ascii="黑体" w:hAnsi="黑体" w:eastAsia="黑体" w:cs="Times New Roman"/>
          <w:sz w:val="32"/>
          <w:szCs w:val="32"/>
        </w:rPr>
      </w:pPr>
      <w:r>
        <w:rPr>
          <w:rFonts w:hint="eastAsia" w:ascii="黑体" w:hAnsi="黑体" w:eastAsia="黑体" w:cs="黑体"/>
          <w:b/>
          <w:bCs/>
          <w:sz w:val="32"/>
          <w:szCs w:val="32"/>
          <w:shd w:val="clear" w:color="auto" w:fill="FFFFFF"/>
        </w:rPr>
        <w:t>三、收到和处理政府信息公开申请情况</w:t>
      </w:r>
    </w:p>
    <w:tbl>
      <w:tblPr>
        <w:tblStyle w:val="7"/>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525"/>
        <w:gridCol w:w="1418"/>
        <w:gridCol w:w="2835"/>
        <w:gridCol w:w="850"/>
        <w:gridCol w:w="567"/>
        <w:gridCol w:w="567"/>
        <w:gridCol w:w="567"/>
        <w:gridCol w:w="567"/>
        <w:gridCol w:w="540"/>
        <w:gridCol w:w="63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13" w:hRule="atLeast"/>
          <w:jc w:val="center"/>
        </w:trPr>
        <w:tc>
          <w:tcPr>
            <w:tcW w:w="4778" w:type="dxa"/>
            <w:gridSpan w:val="3"/>
            <w:vMerge w:val="restart"/>
            <w:tcBorders>
              <w:top w:val="single" w:color="auto" w:sz="12" w:space="0"/>
              <w:left w:val="single" w:color="auto" w:sz="12" w:space="0"/>
              <w:bottom w:val="single" w:color="auto" w:sz="8" w:space="0"/>
              <w:right w:val="single" w:color="auto" w:sz="8" w:space="0"/>
            </w:tcBorders>
            <w:tcMar>
              <w:left w:w="108" w:type="dxa"/>
              <w:right w:w="108" w:type="dxa"/>
            </w:tcMar>
            <w:vAlign w:val="center"/>
          </w:tcPr>
          <w:p>
            <w:pPr>
              <w:widowControl/>
              <w:rPr>
                <w:rFonts w:ascii="宋体" w:cs="Times New Roman"/>
                <w:kern w:val="0"/>
                <w:sz w:val="20"/>
                <w:szCs w:val="20"/>
              </w:rPr>
            </w:pPr>
            <w:r>
              <w:rPr>
                <w:rFonts w:hint="eastAsia" w:ascii="宋体" w:hAnsi="宋体" w:cs="宋体"/>
                <w:kern w:val="0"/>
                <w:sz w:val="20"/>
                <w:szCs w:val="20"/>
              </w:rPr>
              <w:t>（本列数据的勾稽关系为：第一项加第二项之和，</w:t>
            </w:r>
          </w:p>
          <w:p>
            <w:pPr>
              <w:widowControl/>
              <w:rPr>
                <w:rFonts w:cs="Times New Roman"/>
              </w:rPr>
            </w:pPr>
            <w:r>
              <w:rPr>
                <w:rFonts w:hint="eastAsia" w:ascii="宋体" w:hAnsi="宋体" w:cs="宋体"/>
                <w:kern w:val="0"/>
                <w:sz w:val="20"/>
                <w:szCs w:val="20"/>
              </w:rPr>
              <w:t>等于第三项加第四项之和）</w:t>
            </w:r>
          </w:p>
        </w:tc>
        <w:tc>
          <w:tcPr>
            <w:tcW w:w="4293" w:type="dxa"/>
            <w:gridSpan w:val="7"/>
            <w:tcBorders>
              <w:top w:val="single" w:color="auto" w:sz="12" w:space="0"/>
              <w:left w:val="nil"/>
              <w:bottom w:val="single" w:color="auto" w:sz="8" w:space="0"/>
              <w:right w:val="single" w:color="auto" w:sz="12" w:space="0"/>
            </w:tcBorders>
            <w:tcMar>
              <w:left w:w="108" w:type="dxa"/>
              <w:right w:w="108" w:type="dxa"/>
            </w:tcMar>
            <w:vAlign w:val="center"/>
          </w:tcPr>
          <w:p>
            <w:pPr>
              <w:widowControl/>
              <w:spacing w:line="320" w:lineRule="exact"/>
              <w:jc w:val="center"/>
              <w:rPr>
                <w:rFonts w:cs="Times New Roman"/>
              </w:rPr>
            </w:pPr>
            <w:r>
              <w:rPr>
                <w:rFonts w:hint="eastAsia" w:ascii="宋体" w:hAnsi="宋体" w:cs="宋体"/>
                <w:kern w:val="0"/>
                <w:sz w:val="20"/>
                <w:szCs w:val="20"/>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atLeast"/>
          <w:jc w:val="center"/>
        </w:trPr>
        <w:tc>
          <w:tcPr>
            <w:tcW w:w="4778" w:type="dxa"/>
            <w:gridSpan w:val="3"/>
            <w:vMerge w:val="continue"/>
            <w:tcBorders>
              <w:top w:val="single" w:color="auto" w:sz="8" w:space="0"/>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850" w:type="dxa"/>
            <w:vMerge w:val="restart"/>
            <w:tcBorders>
              <w:top w:val="nil"/>
              <w:left w:val="nil"/>
              <w:bottom w:val="single" w:color="auto" w:sz="8" w:space="0"/>
              <w:right w:val="single" w:color="auto" w:sz="8" w:space="0"/>
            </w:tcBorders>
            <w:tcMar>
              <w:left w:w="108" w:type="dxa"/>
              <w:right w:w="108" w:type="dxa"/>
            </w:tcMar>
            <w:vAlign w:val="center"/>
          </w:tcPr>
          <w:p>
            <w:pPr>
              <w:widowControl/>
              <w:rPr>
                <w:rFonts w:cs="Times New Roman"/>
              </w:rPr>
            </w:pPr>
            <w:r>
              <w:rPr>
                <w:rFonts w:hint="eastAsia" w:ascii="宋体" w:hAnsi="宋体" w:cs="宋体"/>
                <w:kern w:val="0"/>
                <w:sz w:val="20"/>
                <w:szCs w:val="20"/>
              </w:rPr>
              <w:t>自然人</w:t>
            </w:r>
          </w:p>
        </w:tc>
        <w:tc>
          <w:tcPr>
            <w:tcW w:w="2808" w:type="dxa"/>
            <w:gridSpan w:val="5"/>
            <w:tcBorders>
              <w:top w:val="single" w:color="auto" w:sz="8" w:space="0"/>
              <w:left w:val="nil"/>
              <w:bottom w:val="single" w:color="auto" w:sz="8" w:space="0"/>
              <w:right w:val="single" w:color="auto" w:sz="8" w:space="0"/>
            </w:tcBorders>
            <w:tcMar>
              <w:left w:w="108" w:type="dxa"/>
              <w:right w:w="108" w:type="dxa"/>
            </w:tcMar>
            <w:vAlign w:val="center"/>
          </w:tcPr>
          <w:p>
            <w:pPr>
              <w:widowControl/>
              <w:spacing w:line="320" w:lineRule="exact"/>
              <w:rPr>
                <w:rFonts w:cs="Times New Roman"/>
              </w:rPr>
            </w:pPr>
            <w:r>
              <w:rPr>
                <w:rFonts w:hint="eastAsia" w:ascii="宋体" w:hAnsi="宋体" w:cs="宋体"/>
                <w:kern w:val="0"/>
                <w:sz w:val="20"/>
                <w:szCs w:val="20"/>
              </w:rPr>
              <w:t>法人或其他组织</w:t>
            </w:r>
          </w:p>
        </w:tc>
        <w:tc>
          <w:tcPr>
            <w:tcW w:w="635" w:type="dxa"/>
            <w:vMerge w:val="restart"/>
            <w:tcBorders>
              <w:top w:val="single" w:color="auto" w:sz="8" w:space="0"/>
              <w:left w:val="nil"/>
              <w:bottom w:val="single" w:color="auto" w:sz="8" w:space="0"/>
              <w:right w:val="single" w:color="auto" w:sz="12" w:space="0"/>
            </w:tcBorders>
            <w:tcMar>
              <w:left w:w="108" w:type="dxa"/>
              <w:right w:w="108" w:type="dxa"/>
            </w:tcMar>
            <w:vAlign w:val="center"/>
          </w:tcPr>
          <w:p>
            <w:pPr>
              <w:widowControl/>
              <w:rPr>
                <w:rFonts w:cs="Times New Roman"/>
              </w:rPr>
            </w:pPr>
            <w:r>
              <w:rPr>
                <w:rFonts w:hint="eastAsia" w:ascii="宋体" w:hAnsi="宋体" w:cs="宋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127" w:hRule="atLeast"/>
          <w:jc w:val="center"/>
        </w:trPr>
        <w:tc>
          <w:tcPr>
            <w:tcW w:w="4778" w:type="dxa"/>
            <w:gridSpan w:val="3"/>
            <w:vMerge w:val="continue"/>
            <w:tcBorders>
              <w:top w:val="single" w:color="auto" w:sz="8" w:space="0"/>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850" w:type="dxa"/>
            <w:vMerge w:val="continue"/>
            <w:tcBorders>
              <w:top w:val="nil"/>
              <w:left w:val="nil"/>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line="320" w:lineRule="exact"/>
              <w:ind w:left="-106" w:leftChars="-51" w:right="-107" w:rightChars="-51" w:hanging="1"/>
              <w:rPr>
                <w:rFonts w:cs="Times New Roman"/>
              </w:rPr>
            </w:pPr>
            <w:r>
              <w:rPr>
                <w:rFonts w:hint="eastAsia" w:ascii="宋体" w:hAnsi="宋体" w:cs="宋体"/>
                <w:kern w:val="0"/>
                <w:sz w:val="20"/>
                <w:szCs w:val="20"/>
              </w:rPr>
              <w:t>商业企业</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line="320" w:lineRule="exact"/>
              <w:ind w:left="-107" w:leftChars="-51" w:right="-107" w:rightChars="-51"/>
              <w:rPr>
                <w:rFonts w:cs="Times New Roman"/>
              </w:rPr>
            </w:pPr>
            <w:r>
              <w:rPr>
                <w:rFonts w:hint="eastAsia" w:ascii="宋体" w:hAnsi="宋体" w:cs="宋体"/>
                <w:kern w:val="0"/>
                <w:sz w:val="20"/>
                <w:szCs w:val="20"/>
              </w:rPr>
              <w:t>科研机构</w:t>
            </w:r>
          </w:p>
        </w:tc>
        <w:tc>
          <w:tcPr>
            <w:tcW w:w="567"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line="320" w:lineRule="exact"/>
              <w:ind w:left="-107" w:leftChars="-51" w:right="-107" w:rightChars="-51"/>
              <w:rPr>
                <w:rFonts w:cs="Times New Roman"/>
              </w:rPr>
            </w:pPr>
            <w:r>
              <w:rPr>
                <w:rFonts w:hint="eastAsia" w:ascii="宋体" w:hAnsi="宋体" w:cs="宋体"/>
                <w:kern w:val="0"/>
                <w:sz w:val="20"/>
                <w:szCs w:val="20"/>
              </w:rPr>
              <w:t>社会公益组织</w:t>
            </w:r>
          </w:p>
        </w:tc>
        <w:tc>
          <w:tcPr>
            <w:tcW w:w="567"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line="320" w:lineRule="exact"/>
              <w:ind w:left="-106" w:leftChars="-51" w:right="-107" w:rightChars="-51" w:hanging="1"/>
              <w:rPr>
                <w:rFonts w:cs="Times New Roman"/>
              </w:rPr>
            </w:pPr>
            <w:r>
              <w:rPr>
                <w:rFonts w:hint="eastAsia" w:ascii="宋体" w:hAnsi="宋体" w:cs="宋体"/>
                <w:kern w:val="0"/>
                <w:sz w:val="20"/>
                <w:szCs w:val="20"/>
              </w:rPr>
              <w:t>法律服务机构</w:t>
            </w:r>
          </w:p>
        </w:tc>
        <w:tc>
          <w:tcPr>
            <w:tcW w:w="540"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line="360" w:lineRule="exact"/>
              <w:ind w:left="-63" w:leftChars="-30" w:right="-134" w:rightChars="-64"/>
              <w:rPr>
                <w:rFonts w:cs="Times New Roman"/>
              </w:rPr>
            </w:pPr>
            <w:r>
              <w:rPr>
                <w:rFonts w:hint="eastAsia" w:ascii="宋体" w:hAnsi="宋体" w:cs="宋体"/>
                <w:kern w:val="0"/>
                <w:sz w:val="20"/>
                <w:szCs w:val="20"/>
              </w:rPr>
              <w:t>其他</w:t>
            </w:r>
          </w:p>
        </w:tc>
        <w:tc>
          <w:tcPr>
            <w:tcW w:w="635" w:type="dxa"/>
            <w:vMerge w:val="continue"/>
            <w:tcBorders>
              <w:top w:val="single" w:color="auto" w:sz="8" w:space="0"/>
              <w:left w:val="nil"/>
              <w:bottom w:val="single" w:color="auto" w:sz="8" w:space="0"/>
              <w:right w:val="single" w:color="auto" w:sz="12" w:space="0"/>
            </w:tcBorders>
            <w:tcMar>
              <w:left w:w="108" w:type="dxa"/>
              <w:right w:w="108" w:type="dxa"/>
            </w:tcMar>
            <w:vAlign w:val="center"/>
          </w:tcPr>
          <w:p>
            <w:pPr>
              <w:rPr>
                <w:rFonts w:ascii="宋体" w:cs="Times New Roman"/>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12" w:space="0"/>
              <w:bottom w:val="single" w:color="auto" w:sz="8" w:space="0"/>
              <w:right w:val="single" w:color="auto" w:sz="8" w:space="0"/>
            </w:tcBorders>
            <w:tcMar>
              <w:left w:w="108" w:type="dxa"/>
              <w:right w:w="108" w:type="dxa"/>
            </w:tcMar>
            <w:vAlign w:val="center"/>
          </w:tcPr>
          <w:p>
            <w:pPr>
              <w:widowControl/>
              <w:rPr>
                <w:rFonts w:cs="Times New Roman"/>
              </w:rPr>
            </w:pPr>
            <w:r>
              <w:rPr>
                <w:rFonts w:hint="eastAsia" w:ascii="宋体" w:hAnsi="宋体" w:cs="宋体"/>
                <w:kern w:val="0"/>
                <w:sz w:val="20"/>
                <w:szCs w:val="20"/>
              </w:rPr>
              <w:t>一、本年新收政府信息公开申请数量</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r>
              <w:rPr>
                <w:rFonts w:hint="eastAsia"/>
              </w:rPr>
              <w:t>108</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r>
              <w:rPr>
                <w:rFonts w:hint="eastAsia" w:cs="Times New Roman"/>
              </w:rPr>
              <w:t>15</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r>
              <w:t>8</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r>
              <w:rPr>
                <w:rFonts w:hint="eastAsia"/>
              </w:rPr>
              <w:t>131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12" w:space="0"/>
              <w:bottom w:val="single" w:color="auto" w:sz="8" w:space="0"/>
              <w:right w:val="single" w:color="auto" w:sz="8" w:space="0"/>
            </w:tcBorders>
            <w:tcMar>
              <w:left w:w="108" w:type="dxa"/>
              <w:right w:w="108" w:type="dxa"/>
            </w:tcMar>
            <w:vAlign w:val="center"/>
          </w:tcPr>
          <w:p>
            <w:pPr>
              <w:widowControl/>
              <w:rPr>
                <w:rFonts w:cs="Times New Roman"/>
              </w:rPr>
            </w:pPr>
            <w:r>
              <w:rPr>
                <w:rFonts w:hint="eastAsia" w:ascii="宋体" w:hAnsi="宋体" w:cs="宋体"/>
                <w:kern w:val="0"/>
                <w:sz w:val="20"/>
                <w:szCs w:val="20"/>
              </w:rPr>
              <w:t>二、上年结转政府信息公开申请数量</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restart"/>
            <w:tcBorders>
              <w:top w:val="nil"/>
              <w:left w:val="single" w:color="auto" w:sz="12" w:space="0"/>
              <w:bottom w:val="single" w:color="auto" w:sz="8" w:space="0"/>
              <w:right w:val="single" w:color="auto" w:sz="8" w:space="0"/>
            </w:tcBorders>
            <w:tcMar>
              <w:left w:w="108" w:type="dxa"/>
              <w:right w:w="108" w:type="dxa"/>
            </w:tcMar>
            <w:vAlign w:val="center"/>
          </w:tcPr>
          <w:p>
            <w:pPr>
              <w:widowControl/>
              <w:spacing w:after="180"/>
              <w:rPr>
                <w:rFonts w:cs="Times New Roman"/>
              </w:rPr>
            </w:pPr>
            <w:r>
              <w:rPr>
                <w:rFonts w:hint="eastAsia" w:ascii="宋体" w:hAnsi="宋体" w:cs="宋体"/>
                <w:kern w:val="0"/>
                <w:sz w:val="20"/>
                <w:szCs w:val="20"/>
              </w:rPr>
              <w:t>三、本年度办理结果</w:t>
            </w:r>
          </w:p>
        </w:tc>
        <w:tc>
          <w:tcPr>
            <w:tcW w:w="4253" w:type="dxa"/>
            <w:gridSpan w:val="2"/>
            <w:tcBorders>
              <w:top w:val="nil"/>
              <w:left w:val="nil"/>
              <w:bottom w:val="single" w:color="auto" w:sz="8" w:space="0"/>
              <w:right w:val="single" w:color="auto" w:sz="8" w:space="0"/>
            </w:tcBorders>
            <w:tcMar>
              <w:left w:w="108" w:type="dxa"/>
              <w:right w:w="108" w:type="dxa"/>
            </w:tcMar>
            <w:vAlign w:val="center"/>
          </w:tcPr>
          <w:p>
            <w:pPr>
              <w:widowControl/>
              <w:rPr>
                <w:rFonts w:cs="Times New Roman"/>
              </w:rPr>
            </w:pPr>
            <w:r>
              <w:rPr>
                <w:rFonts w:hint="eastAsia" w:ascii="楷体" w:hAnsi="楷体" w:eastAsia="楷体" w:cs="楷体"/>
                <w:kern w:val="0"/>
                <w:sz w:val="20"/>
                <w:szCs w:val="20"/>
              </w:rPr>
              <w:t>（一）予以公开</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r>
              <w:rPr>
                <w:rFonts w:hint="eastAsia"/>
              </w:rPr>
              <w:t>34</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r>
              <w:rPr>
                <w:rFonts w:hint="eastAsia" w:cs="Times New Roman"/>
              </w:rPr>
              <w:t>15</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r>
              <w:rPr>
                <w:rFonts w:hint="eastAsia"/>
              </w:rPr>
              <w:t>8</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single" w:color="auto" w:sz="8" w:space="0"/>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r>
              <w:rPr>
                <w:rFonts w:hint="eastAsia" w:cs="Times New Roman"/>
              </w:rPr>
              <w:t>57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4253" w:type="dxa"/>
            <w:gridSpan w:val="2"/>
            <w:tcBorders>
              <w:top w:val="nil"/>
              <w:left w:val="nil"/>
              <w:bottom w:val="single" w:color="auto" w:sz="8" w:space="0"/>
              <w:right w:val="single" w:color="auto" w:sz="8" w:space="0"/>
            </w:tcBorders>
            <w:tcMar>
              <w:left w:w="108" w:type="dxa"/>
              <w:right w:w="108" w:type="dxa"/>
            </w:tcMar>
            <w:vAlign w:val="center"/>
          </w:tcPr>
          <w:p>
            <w:pPr>
              <w:widowControl/>
              <w:rPr>
                <w:rFonts w:cs="Times New Roman"/>
              </w:rPr>
            </w:pPr>
            <w:r>
              <w:rPr>
                <w:rFonts w:hint="eastAsia" w:ascii="楷体" w:hAnsi="楷体" w:eastAsia="楷体" w:cs="楷体"/>
                <w:kern w:val="0"/>
                <w:sz w:val="20"/>
                <w:szCs w:val="20"/>
              </w:rPr>
              <w:t>（二）部分公开（区分处理的，只计这一情形，不计其他情形）</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restart"/>
            <w:tcBorders>
              <w:top w:val="nil"/>
              <w:left w:val="nil"/>
              <w:bottom w:val="single" w:color="auto" w:sz="8" w:space="0"/>
              <w:right w:val="single" w:color="auto" w:sz="8" w:space="0"/>
            </w:tcBorders>
            <w:tcMar>
              <w:left w:w="108" w:type="dxa"/>
              <w:right w:w="108" w:type="dxa"/>
            </w:tcMar>
            <w:vAlign w:val="center"/>
          </w:tcPr>
          <w:p>
            <w:pPr>
              <w:widowControl/>
              <w:spacing w:line="200" w:lineRule="exact"/>
              <w:ind w:left="-107" w:leftChars="-51"/>
              <w:rPr>
                <w:rFonts w:cs="Times New Roman"/>
              </w:rPr>
            </w:pPr>
            <w:r>
              <w:rPr>
                <w:rFonts w:hint="eastAsia" w:ascii="楷体" w:hAnsi="楷体" w:eastAsia="楷体" w:cs="楷体"/>
                <w:kern w:val="0"/>
                <w:sz w:val="20"/>
                <w:szCs w:val="20"/>
              </w:rPr>
              <w:t>（三）不予公开</w:t>
            </w: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1.</w:t>
            </w:r>
            <w:r>
              <w:rPr>
                <w:rFonts w:hint="eastAsia" w:ascii="楷体" w:hAnsi="楷体" w:eastAsia="楷体" w:cs="楷体"/>
                <w:kern w:val="0"/>
                <w:sz w:val="20"/>
                <w:szCs w:val="20"/>
              </w:rPr>
              <w:t>属于国家秘密</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single" w:color="auto" w:sz="8" w:space="0"/>
              <w:left w:val="nil"/>
              <w:bottom w:val="single" w:color="auto" w:sz="8" w:space="0"/>
              <w:right w:val="single" w:color="auto" w:sz="12"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2.</w:t>
            </w:r>
            <w:r>
              <w:rPr>
                <w:rFonts w:hint="eastAsia" w:ascii="楷体" w:hAnsi="楷体" w:eastAsia="楷体" w:cs="楷体"/>
                <w:kern w:val="0"/>
                <w:sz w:val="20"/>
                <w:szCs w:val="20"/>
              </w:rPr>
              <w:t>其他法律行政法规禁止公开</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3.</w:t>
            </w:r>
            <w:r>
              <w:rPr>
                <w:rFonts w:hint="eastAsia" w:ascii="楷体" w:hAnsi="楷体" w:eastAsia="楷体" w:cs="楷体"/>
                <w:kern w:val="0"/>
                <w:sz w:val="20"/>
                <w:szCs w:val="20"/>
              </w:rPr>
              <w:t>危及“三安全一稳定”</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4.</w:t>
            </w:r>
            <w:r>
              <w:rPr>
                <w:rFonts w:hint="eastAsia" w:ascii="楷体" w:hAnsi="楷体" w:eastAsia="楷体" w:cs="楷体"/>
                <w:kern w:val="0"/>
                <w:sz w:val="20"/>
                <w:szCs w:val="20"/>
              </w:rPr>
              <w:t>保护第三方合法权益</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5.</w:t>
            </w:r>
            <w:r>
              <w:rPr>
                <w:rFonts w:hint="eastAsia" w:ascii="楷体" w:hAnsi="楷体" w:eastAsia="楷体" w:cs="楷体"/>
                <w:kern w:val="0"/>
                <w:sz w:val="20"/>
                <w:szCs w:val="20"/>
              </w:rPr>
              <w:t>属于三类内部事务信息</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r>
              <w:rPr>
                <w:rFonts w:hint="eastAsia"/>
              </w:rPr>
              <w:t>13</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r>
              <w:rPr>
                <w:rFonts w:hint="eastAsia"/>
              </w:rPr>
              <w:t>13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6.</w:t>
            </w:r>
            <w:r>
              <w:rPr>
                <w:rFonts w:hint="eastAsia" w:ascii="楷体" w:hAnsi="楷体" w:eastAsia="楷体" w:cs="楷体"/>
                <w:kern w:val="0"/>
                <w:sz w:val="20"/>
                <w:szCs w:val="20"/>
              </w:rPr>
              <w:t>属于四类过程性信息</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r>
              <w:rPr>
                <w:rFonts w:hint="eastAsia" w:cs="Times New Roman"/>
              </w:rPr>
              <w:t>10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r>
              <w:rPr>
                <w:rFonts w:hint="eastAsia" w:cs="Times New Roman"/>
              </w:rPr>
              <w:t>10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7.</w:t>
            </w:r>
            <w:r>
              <w:rPr>
                <w:rFonts w:hint="eastAsia" w:ascii="楷体" w:hAnsi="楷体" w:eastAsia="楷体" w:cs="楷体"/>
                <w:kern w:val="0"/>
                <w:sz w:val="20"/>
                <w:szCs w:val="20"/>
              </w:rPr>
              <w:t>属于行政执法案卷</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8.</w:t>
            </w:r>
            <w:r>
              <w:rPr>
                <w:rFonts w:hint="eastAsia" w:ascii="楷体" w:hAnsi="楷体" w:eastAsia="楷体" w:cs="楷体"/>
                <w:kern w:val="0"/>
                <w:sz w:val="20"/>
                <w:szCs w:val="20"/>
              </w:rPr>
              <w:t>属于行政查询事项</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restart"/>
            <w:tcBorders>
              <w:top w:val="nil"/>
              <w:left w:val="nil"/>
              <w:bottom w:val="single" w:color="auto" w:sz="8" w:space="0"/>
              <w:right w:val="single" w:color="auto" w:sz="8" w:space="0"/>
            </w:tcBorders>
            <w:tcMar>
              <w:left w:w="108" w:type="dxa"/>
              <w:right w:w="108" w:type="dxa"/>
            </w:tcMar>
            <w:vAlign w:val="center"/>
          </w:tcPr>
          <w:p>
            <w:pPr>
              <w:widowControl/>
              <w:spacing w:line="200" w:lineRule="exact"/>
              <w:ind w:left="-107" w:leftChars="-51"/>
              <w:rPr>
                <w:rFonts w:cs="Times New Roman"/>
              </w:rPr>
            </w:pPr>
            <w:r>
              <w:rPr>
                <w:rFonts w:hint="eastAsia" w:ascii="楷体" w:hAnsi="楷体" w:eastAsia="楷体" w:cs="楷体"/>
                <w:kern w:val="0"/>
                <w:sz w:val="20"/>
                <w:szCs w:val="20"/>
              </w:rPr>
              <w:t>（四）无法提供</w:t>
            </w: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1.</w:t>
            </w:r>
            <w:r>
              <w:rPr>
                <w:rFonts w:hint="eastAsia" w:ascii="楷体" w:hAnsi="楷体" w:eastAsia="楷体" w:cs="楷体"/>
                <w:kern w:val="0"/>
                <w:sz w:val="20"/>
                <w:szCs w:val="20"/>
              </w:rPr>
              <w:t>本机关不掌握相关政府信息</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r>
              <w:rPr>
                <w:rFonts w:hint="eastAsia"/>
              </w:rPr>
              <w:t>3</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r>
              <w:rPr>
                <w:rFonts w:hint="eastAsia"/>
              </w:rPr>
              <w:t>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ind w:left="-107" w:leftChars="-51"/>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2.</w:t>
            </w:r>
            <w:r>
              <w:rPr>
                <w:rFonts w:hint="eastAsia" w:ascii="楷体" w:hAnsi="楷体" w:eastAsia="楷体" w:cs="楷体"/>
                <w:kern w:val="0"/>
                <w:sz w:val="20"/>
                <w:szCs w:val="20"/>
              </w:rPr>
              <w:t>没有现成信息需要另行制作</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r>
              <w:rPr>
                <w:rFonts w:hint="eastAsia"/>
              </w:rPr>
              <w:t>5</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r>
              <w:rPr>
                <w:rFonts w:hint="eastAsia"/>
              </w:rPr>
              <w:t>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ind w:left="-107" w:leftChars="-51"/>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3.</w:t>
            </w:r>
            <w:r>
              <w:rPr>
                <w:rFonts w:hint="eastAsia" w:ascii="楷体" w:hAnsi="楷体" w:eastAsia="楷体" w:cs="楷体"/>
                <w:kern w:val="0"/>
                <w:sz w:val="20"/>
                <w:szCs w:val="20"/>
              </w:rPr>
              <w:t>补正后申请内容仍不明确</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restart"/>
            <w:tcBorders>
              <w:top w:val="nil"/>
              <w:left w:val="nil"/>
              <w:bottom w:val="single" w:color="auto" w:sz="8" w:space="0"/>
              <w:right w:val="single" w:color="auto" w:sz="8" w:space="0"/>
            </w:tcBorders>
            <w:tcMar>
              <w:left w:w="108" w:type="dxa"/>
              <w:right w:w="108" w:type="dxa"/>
            </w:tcMar>
            <w:vAlign w:val="center"/>
          </w:tcPr>
          <w:p>
            <w:pPr>
              <w:widowControl/>
              <w:spacing w:line="200" w:lineRule="exact"/>
              <w:ind w:left="-107" w:leftChars="-51"/>
              <w:rPr>
                <w:rFonts w:cs="Times New Roman"/>
              </w:rPr>
            </w:pPr>
            <w:r>
              <w:rPr>
                <w:rFonts w:hint="eastAsia" w:ascii="楷体" w:hAnsi="楷体" w:eastAsia="楷体" w:cs="楷体"/>
                <w:kern w:val="0"/>
                <w:sz w:val="20"/>
                <w:szCs w:val="20"/>
              </w:rPr>
              <w:t>（五）不予处理</w:t>
            </w: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1.</w:t>
            </w:r>
            <w:r>
              <w:rPr>
                <w:rFonts w:hint="eastAsia" w:ascii="楷体" w:hAnsi="楷体" w:eastAsia="楷体" w:cs="楷体"/>
                <w:kern w:val="0"/>
                <w:sz w:val="20"/>
                <w:szCs w:val="20"/>
              </w:rPr>
              <w:t>信访举报投诉类申请</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2.</w:t>
            </w:r>
            <w:r>
              <w:rPr>
                <w:rFonts w:hint="eastAsia" w:ascii="楷体" w:hAnsi="楷体" w:eastAsia="楷体" w:cs="楷体"/>
                <w:kern w:val="0"/>
                <w:sz w:val="20"/>
                <w:szCs w:val="20"/>
              </w:rPr>
              <w:t>重复申请</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cs="Times New Roman"/>
              </w:rPr>
            </w:pPr>
            <w:r>
              <w:rPr>
                <w:rFonts w:ascii="楷体" w:hAnsi="楷体" w:eastAsia="楷体" w:cs="楷体"/>
                <w:kern w:val="0"/>
                <w:sz w:val="20"/>
                <w:szCs w:val="20"/>
              </w:rPr>
              <w:t>3.</w:t>
            </w:r>
            <w:r>
              <w:rPr>
                <w:rFonts w:hint="eastAsia" w:ascii="楷体" w:hAnsi="楷体" w:eastAsia="楷体" w:cs="楷体"/>
                <w:kern w:val="0"/>
                <w:sz w:val="20"/>
                <w:szCs w:val="20"/>
              </w:rPr>
              <w:t>要求提供公开出版物</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cs="Times New Roman"/>
              </w:rPr>
            </w:pPr>
            <w:r>
              <w:rPr>
                <w:rFonts w:ascii="楷体" w:hAnsi="楷体" w:eastAsia="楷体" w:cs="楷体"/>
                <w:kern w:val="0"/>
                <w:sz w:val="20"/>
                <w:szCs w:val="20"/>
              </w:rPr>
              <w:t>4.</w:t>
            </w:r>
            <w:r>
              <w:rPr>
                <w:rFonts w:hint="eastAsia" w:ascii="楷体" w:hAnsi="楷体" w:eastAsia="楷体" w:cs="楷体"/>
                <w:kern w:val="0"/>
                <w:sz w:val="20"/>
                <w:szCs w:val="20"/>
              </w:rPr>
              <w:t>无正当理由大量反复申请</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300" w:lineRule="exact"/>
              <w:rPr>
                <w:rFonts w:ascii="楷体" w:hAnsi="楷体" w:eastAsia="楷体" w:cs="Times New Roman"/>
                <w:kern w:val="0"/>
                <w:sz w:val="20"/>
                <w:szCs w:val="20"/>
              </w:rPr>
            </w:pPr>
            <w:r>
              <w:rPr>
                <w:rFonts w:ascii="楷体" w:hAnsi="楷体" w:eastAsia="楷体" w:cs="楷体"/>
                <w:kern w:val="0"/>
                <w:sz w:val="20"/>
                <w:szCs w:val="20"/>
              </w:rPr>
              <w:t>5.</w:t>
            </w:r>
            <w:r>
              <w:rPr>
                <w:rFonts w:hint="eastAsia" w:ascii="楷体" w:hAnsi="楷体" w:eastAsia="楷体" w:cs="楷体"/>
                <w:kern w:val="0"/>
                <w:sz w:val="20"/>
                <w:szCs w:val="20"/>
              </w:rPr>
              <w:t>要求行政机关确认或重新</w:t>
            </w:r>
          </w:p>
          <w:p>
            <w:pPr>
              <w:widowControl/>
              <w:spacing w:line="300" w:lineRule="exact"/>
              <w:ind w:firstLine="200" w:firstLineChars="100"/>
              <w:rPr>
                <w:rFonts w:cs="Times New Roman"/>
              </w:rPr>
            </w:pPr>
            <w:r>
              <w:rPr>
                <w:rFonts w:hint="eastAsia" w:ascii="楷体" w:hAnsi="楷体" w:eastAsia="楷体" w:cs="楷体"/>
                <w:kern w:val="0"/>
                <w:sz w:val="20"/>
                <w:szCs w:val="20"/>
              </w:rPr>
              <w:t>出具已获取信息</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4253" w:type="dxa"/>
            <w:gridSpan w:val="2"/>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cs="Times New Roman"/>
              </w:rPr>
            </w:pPr>
            <w:r>
              <w:rPr>
                <w:rFonts w:hint="eastAsia" w:ascii="楷体" w:hAnsi="楷体" w:eastAsia="楷体" w:cs="楷体"/>
                <w:kern w:val="0"/>
                <w:sz w:val="20"/>
                <w:szCs w:val="20"/>
              </w:rPr>
              <w:t>（六）其他处理</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r>
              <w:rPr>
                <w:rFonts w:hint="eastAsia" w:cs="Times New Roman"/>
              </w:rPr>
              <w:t>43</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r>
              <w:rPr>
                <w:rFonts w:hint="eastAsia"/>
              </w:rPr>
              <w:t>43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4253" w:type="dxa"/>
            <w:gridSpan w:val="2"/>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cs="Times New Roman"/>
              </w:rPr>
            </w:pPr>
            <w:r>
              <w:rPr>
                <w:rFonts w:hint="eastAsia" w:ascii="楷体" w:hAnsi="楷体" w:eastAsia="楷体" w:cs="楷体"/>
                <w:kern w:val="0"/>
                <w:sz w:val="20"/>
                <w:szCs w:val="20"/>
              </w:rPr>
              <w:t>（七）总计</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default" w:eastAsia="宋体" w:cs="Times New Roman"/>
                <w:lang w:val="en-US" w:eastAsia="zh-CN"/>
              </w:rPr>
            </w:pPr>
            <w:r>
              <w:rPr>
                <w:rFonts w:hint="eastAsia" w:cs="Times New Roman"/>
                <w:lang w:val="en-US" w:eastAsia="zh-CN"/>
              </w:rPr>
              <w:t>108</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hint="default" w:eastAsia="宋体" w:cs="Times New Roman"/>
                <w:lang w:val="en-US" w:eastAsia="zh-CN"/>
              </w:rPr>
            </w:pPr>
            <w:r>
              <w:rPr>
                <w:rFonts w:hint="eastAsia" w:cs="Times New Roman"/>
                <w:lang w:val="en-US" w:eastAsia="zh-CN"/>
              </w:rPr>
              <w:t>15</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8</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hint="default" w:eastAsia="宋体" w:cs="Times New Roman"/>
                <w:lang w:val="en-US" w:eastAsia="zh-CN"/>
              </w:rPr>
            </w:pPr>
            <w:r>
              <w:rPr>
                <w:rFonts w:hint="eastAsia" w:cs="Times New Roman"/>
                <w:lang w:val="en-US" w:eastAsia="zh-CN"/>
              </w:rPr>
              <w:t>131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12" w:space="0"/>
              <w:bottom w:val="single" w:color="auto" w:sz="12" w:space="0"/>
              <w:right w:val="single" w:color="auto" w:sz="8" w:space="0"/>
            </w:tcBorders>
            <w:tcMar>
              <w:left w:w="108" w:type="dxa"/>
              <w:right w:w="108" w:type="dxa"/>
            </w:tcMar>
            <w:vAlign w:val="center"/>
          </w:tcPr>
          <w:p>
            <w:pPr>
              <w:widowControl/>
              <w:rPr>
                <w:rFonts w:cs="Times New Roman"/>
              </w:rPr>
            </w:pPr>
            <w:r>
              <w:rPr>
                <w:rFonts w:hint="eastAsia" w:ascii="宋体" w:hAnsi="宋体" w:cs="宋体"/>
                <w:kern w:val="0"/>
                <w:sz w:val="20"/>
                <w:szCs w:val="20"/>
              </w:rPr>
              <w:t>四、结转下年度继续办理</w:t>
            </w:r>
          </w:p>
        </w:tc>
        <w:tc>
          <w:tcPr>
            <w:tcW w:w="850"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67"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540"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0</w:t>
            </w:r>
          </w:p>
        </w:tc>
        <w:tc>
          <w:tcPr>
            <w:tcW w:w="635" w:type="dxa"/>
            <w:tcBorders>
              <w:top w:val="nil"/>
              <w:left w:val="nil"/>
              <w:bottom w:val="single" w:color="auto" w:sz="12" w:space="0"/>
              <w:right w:val="single" w:color="auto" w:sz="12" w:space="0"/>
            </w:tcBorders>
            <w:tcMar>
              <w:left w:w="108" w:type="dxa"/>
              <w:right w:w="108" w:type="dxa"/>
            </w:tcMar>
            <w:vAlign w:val="center"/>
          </w:tcPr>
          <w:p>
            <w:pPr>
              <w:jc w:val="center"/>
              <w:rPr>
                <w:rFonts w:hint="eastAsia" w:ascii="宋体" w:eastAsia="宋体" w:cs="Times New Roman"/>
                <w:sz w:val="24"/>
                <w:szCs w:val="24"/>
                <w:lang w:val="en-US" w:eastAsia="zh-CN"/>
              </w:rPr>
            </w:pPr>
            <w:r>
              <w:rPr>
                <w:rFonts w:hint="eastAsia" w:ascii="宋体" w:cs="Times New Roman"/>
                <w:sz w:val="24"/>
                <w:szCs w:val="24"/>
                <w:lang w:val="en-US" w:eastAsia="zh-CN"/>
              </w:rPr>
              <w:t>0</w:t>
            </w:r>
          </w:p>
        </w:tc>
      </w:tr>
    </w:tbl>
    <w:p>
      <w:pPr>
        <w:pStyle w:val="6"/>
        <w:widowControl/>
        <w:shd w:val="clear" w:color="auto" w:fill="FFFFFF"/>
        <w:spacing w:beforeAutospacing="0" w:afterAutospacing="0"/>
        <w:ind w:firstLine="640" w:firstLineChars="200"/>
        <w:jc w:val="both"/>
        <w:rPr>
          <w:rFonts w:ascii="黑体" w:hAnsi="黑体" w:eastAsia="黑体" w:cs="Times New Roman"/>
          <w:sz w:val="32"/>
          <w:szCs w:val="32"/>
        </w:rPr>
      </w:pPr>
      <w:r>
        <w:rPr>
          <w:rFonts w:hint="eastAsia" w:ascii="黑体" w:hAnsi="黑体" w:eastAsia="黑体" w:cs="黑体"/>
          <w:sz w:val="32"/>
          <w:szCs w:val="32"/>
          <w:shd w:val="clear" w:color="auto" w:fill="FFFFFF"/>
        </w:rPr>
        <w:t>四、政府信息公开行政复议、行政诉讼情况</w:t>
      </w:r>
    </w:p>
    <w:p>
      <w:pPr>
        <w:pStyle w:val="6"/>
        <w:widowControl/>
        <w:shd w:val="clear" w:color="auto" w:fill="FFFFFF"/>
        <w:spacing w:beforeAutospacing="0" w:afterAutospacing="0"/>
        <w:ind w:firstLine="420"/>
        <w:jc w:val="both"/>
        <w:rPr>
          <w:rFonts w:ascii="宋体" w:cs="Times New Roman"/>
        </w:rPr>
      </w:pPr>
    </w:p>
    <w:tbl>
      <w:tblPr>
        <w:tblStyle w:val="7"/>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12" w:space="0"/>
              <w:left w:val="single" w:color="auto" w:sz="12" w:space="0"/>
              <w:bottom w:val="single" w:color="auto" w:sz="8" w:space="0"/>
              <w:right w:val="single" w:color="auto" w:sz="8" w:space="0"/>
            </w:tcBorders>
            <w:tcMar>
              <w:left w:w="108" w:type="dxa"/>
              <w:right w:w="108" w:type="dxa"/>
            </w:tcMar>
            <w:vAlign w:val="center"/>
          </w:tcPr>
          <w:p>
            <w:pPr>
              <w:widowControl/>
              <w:jc w:val="center"/>
              <w:rPr>
                <w:rFonts w:cs="Times New Roman"/>
              </w:rPr>
            </w:pPr>
            <w:r>
              <w:rPr>
                <w:rFonts w:hint="eastAsia" w:ascii="宋体" w:hAnsi="宋体" w:cs="宋体"/>
                <w:kern w:val="0"/>
                <w:sz w:val="20"/>
                <w:szCs w:val="20"/>
              </w:rPr>
              <w:t>行政复议</w:t>
            </w:r>
          </w:p>
        </w:tc>
        <w:tc>
          <w:tcPr>
            <w:tcW w:w="5997" w:type="dxa"/>
            <w:gridSpan w:val="10"/>
            <w:tcBorders>
              <w:top w:val="single" w:color="auto" w:sz="12" w:space="0"/>
              <w:left w:val="nil"/>
              <w:bottom w:val="single" w:color="auto" w:sz="8" w:space="0"/>
              <w:right w:val="single" w:color="auto" w:sz="12" w:space="0"/>
            </w:tcBorders>
            <w:tcMar>
              <w:left w:w="108" w:type="dxa"/>
              <w:right w:w="108" w:type="dxa"/>
            </w:tcMar>
            <w:vAlign w:val="center"/>
          </w:tcPr>
          <w:p>
            <w:pPr>
              <w:widowControl/>
              <w:jc w:val="center"/>
              <w:rPr>
                <w:rFonts w:cs="Times New Roman"/>
              </w:rPr>
            </w:pPr>
            <w:r>
              <w:rPr>
                <w:rFonts w:hint="eastAsia" w:ascii="宋体" w:hAnsi="宋体" w:cs="宋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12" w:space="0"/>
              <w:bottom w:val="single" w:color="auto" w:sz="8" w:space="0"/>
              <w:right w:val="single" w:color="auto" w:sz="8" w:space="0"/>
            </w:tcBorders>
            <w:tcMar>
              <w:left w:w="108" w:type="dxa"/>
              <w:right w:w="108" w:type="dxa"/>
            </w:tcMar>
            <w:vAlign w:val="center"/>
          </w:tcPr>
          <w:p>
            <w:pPr>
              <w:widowControl/>
              <w:ind w:left="-149" w:leftChars="-71" w:right="-170" w:rightChars="-81"/>
              <w:jc w:val="center"/>
              <w:rPr>
                <w:rFonts w:ascii="宋体" w:cs="Times New Roman"/>
                <w:kern w:val="0"/>
                <w:sz w:val="20"/>
                <w:szCs w:val="20"/>
              </w:rPr>
            </w:pPr>
            <w:r>
              <w:rPr>
                <w:rFonts w:hint="eastAsia" w:ascii="宋体" w:hAnsi="宋体" w:cs="宋体"/>
                <w:kern w:val="0"/>
                <w:sz w:val="20"/>
                <w:szCs w:val="20"/>
              </w:rPr>
              <w:t>结果</w:t>
            </w:r>
          </w:p>
          <w:p>
            <w:pPr>
              <w:widowControl/>
              <w:ind w:left="-149" w:leftChars="-71" w:right="-170" w:rightChars="-81"/>
              <w:jc w:val="center"/>
              <w:rPr>
                <w:rFonts w:cs="Times New Roman"/>
              </w:rPr>
            </w:pPr>
            <w:r>
              <w:rPr>
                <w:rFonts w:hint="eastAsia" w:ascii="宋体" w:hAnsi="宋体" w:cs="宋体"/>
                <w:kern w:val="0"/>
                <w:sz w:val="20"/>
                <w:szCs w:val="20"/>
              </w:rPr>
              <w:t>维持</w:t>
            </w:r>
          </w:p>
        </w:tc>
        <w:tc>
          <w:tcPr>
            <w:tcW w:w="604" w:type="dxa"/>
            <w:vMerge w:val="restart"/>
            <w:tcBorders>
              <w:top w:val="nil"/>
              <w:left w:val="nil"/>
              <w:bottom w:val="single" w:color="auto" w:sz="8" w:space="0"/>
              <w:right w:val="single" w:color="auto" w:sz="8" w:space="0"/>
            </w:tcBorders>
            <w:tcMar>
              <w:left w:w="108" w:type="dxa"/>
              <w:right w:w="108" w:type="dxa"/>
            </w:tcMar>
            <w:vAlign w:val="center"/>
          </w:tcPr>
          <w:p>
            <w:pPr>
              <w:widowControl/>
              <w:ind w:left="-43" w:leftChars="-21" w:right="-132" w:rightChars="-63" w:hanging="1"/>
              <w:jc w:val="center"/>
              <w:rPr>
                <w:rFonts w:cs="Times New Roman"/>
              </w:rPr>
            </w:pPr>
            <w:r>
              <w:rPr>
                <w:rFonts w:hint="eastAsia" w:ascii="宋体" w:hAnsi="宋体" w:cs="宋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tcMar>
              <w:left w:w="108" w:type="dxa"/>
              <w:right w:w="108" w:type="dxa"/>
            </w:tcMar>
            <w:vAlign w:val="center"/>
          </w:tcPr>
          <w:p>
            <w:pPr>
              <w:widowControl/>
              <w:ind w:left="-82" w:leftChars="-39" w:right="-97" w:rightChars="-46"/>
              <w:jc w:val="center"/>
              <w:rPr>
                <w:rFonts w:cs="Times New Roman"/>
              </w:rPr>
            </w:pPr>
            <w:r>
              <w:rPr>
                <w:rFonts w:hint="eastAsia" w:ascii="宋体" w:hAnsi="宋体" w:cs="宋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tcMar>
              <w:left w:w="108" w:type="dxa"/>
              <w:right w:w="108" w:type="dxa"/>
            </w:tcMar>
            <w:vAlign w:val="center"/>
          </w:tcPr>
          <w:p>
            <w:pPr>
              <w:widowControl/>
              <w:ind w:left="-118" w:leftChars="-56" w:right="-118" w:rightChars="-56"/>
              <w:jc w:val="center"/>
              <w:rPr>
                <w:rFonts w:ascii="宋体" w:cs="Times New Roman"/>
                <w:kern w:val="0"/>
                <w:sz w:val="20"/>
                <w:szCs w:val="20"/>
              </w:rPr>
            </w:pPr>
            <w:r>
              <w:rPr>
                <w:rFonts w:hint="eastAsia" w:ascii="宋体" w:hAnsi="宋体" w:cs="宋体"/>
                <w:kern w:val="0"/>
                <w:sz w:val="20"/>
                <w:szCs w:val="20"/>
              </w:rPr>
              <w:t>尚未</w:t>
            </w:r>
          </w:p>
          <w:p>
            <w:pPr>
              <w:widowControl/>
              <w:ind w:left="-118" w:leftChars="-56" w:right="-118" w:rightChars="-56"/>
              <w:jc w:val="center"/>
              <w:rPr>
                <w:rFonts w:cs="Times New Roman"/>
              </w:rPr>
            </w:pPr>
            <w:r>
              <w:rPr>
                <w:rFonts w:hint="eastAsia" w:ascii="宋体" w:hAnsi="宋体" w:cs="宋体"/>
                <w:kern w:val="0"/>
                <w:sz w:val="20"/>
                <w:szCs w:val="20"/>
              </w:rPr>
              <w:t>审结</w:t>
            </w:r>
          </w:p>
        </w:tc>
        <w:tc>
          <w:tcPr>
            <w:tcW w:w="658" w:type="dxa"/>
            <w:vMerge w:val="restart"/>
            <w:tcBorders>
              <w:top w:val="single" w:color="auto" w:sz="8" w:space="0"/>
              <w:left w:val="nil"/>
              <w:bottom w:val="single" w:color="auto" w:sz="8" w:space="0"/>
              <w:right w:val="single" w:color="auto" w:sz="8" w:space="0"/>
            </w:tcBorders>
            <w:tcMar>
              <w:left w:w="108" w:type="dxa"/>
              <w:right w:w="108" w:type="dxa"/>
            </w:tcMar>
            <w:vAlign w:val="center"/>
          </w:tcPr>
          <w:p>
            <w:pPr>
              <w:widowControl/>
              <w:spacing w:line="320" w:lineRule="exact"/>
              <w:jc w:val="center"/>
              <w:rPr>
                <w:rFonts w:ascii="宋体" w:cs="Times New Roman"/>
                <w:kern w:val="0"/>
                <w:sz w:val="20"/>
                <w:szCs w:val="20"/>
              </w:rPr>
            </w:pPr>
            <w:r>
              <w:rPr>
                <w:rFonts w:hint="eastAsia" w:ascii="宋体" w:hAnsi="宋体" w:cs="宋体"/>
                <w:kern w:val="0"/>
                <w:sz w:val="20"/>
                <w:szCs w:val="20"/>
              </w:rPr>
              <w:t>总</w:t>
            </w:r>
          </w:p>
          <w:p>
            <w:pPr>
              <w:widowControl/>
              <w:spacing w:line="320" w:lineRule="exact"/>
              <w:jc w:val="center"/>
              <w:rPr>
                <w:rFonts w:cs="Times New Roman"/>
              </w:rPr>
            </w:pPr>
            <w:r>
              <w:rPr>
                <w:rFonts w:hint="eastAsia" w:ascii="宋体" w:hAnsi="宋体" w:cs="宋体"/>
                <w:kern w:val="0"/>
                <w:sz w:val="20"/>
                <w:szCs w:val="20"/>
              </w:rPr>
              <w:t>计</w:t>
            </w:r>
          </w:p>
        </w:tc>
        <w:tc>
          <w:tcPr>
            <w:tcW w:w="2970" w:type="dxa"/>
            <w:gridSpan w:val="5"/>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rFonts w:cs="Times New Roman"/>
              </w:rPr>
            </w:pPr>
            <w:r>
              <w:rPr>
                <w:rFonts w:hint="eastAsia" w:ascii="宋体" w:hAnsi="宋体" w:cs="宋体"/>
                <w:kern w:val="0"/>
                <w:sz w:val="20"/>
                <w:szCs w:val="20"/>
              </w:rPr>
              <w:t>未经复议直接起诉</w:t>
            </w:r>
          </w:p>
        </w:tc>
        <w:tc>
          <w:tcPr>
            <w:tcW w:w="3027" w:type="dxa"/>
            <w:gridSpan w:val="5"/>
            <w:tcBorders>
              <w:top w:val="single" w:color="auto" w:sz="8" w:space="0"/>
              <w:left w:val="nil"/>
              <w:bottom w:val="single" w:color="auto" w:sz="8" w:space="0"/>
              <w:right w:val="single" w:color="auto" w:sz="12" w:space="0"/>
            </w:tcBorders>
            <w:tcMar>
              <w:left w:w="108" w:type="dxa"/>
              <w:right w:w="108" w:type="dxa"/>
            </w:tcMar>
            <w:vAlign w:val="center"/>
          </w:tcPr>
          <w:p>
            <w:pPr>
              <w:widowControl/>
              <w:jc w:val="center"/>
              <w:rPr>
                <w:rFonts w:cs="Times New Roman"/>
              </w:rPr>
            </w:pPr>
            <w:r>
              <w:rPr>
                <w:rFonts w:hint="eastAsia" w:ascii="宋体" w:hAnsi="宋体" w:cs="宋体"/>
                <w:kern w:val="0"/>
                <w:sz w:val="20"/>
                <w:szCs w:val="20"/>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jc w:val="center"/>
              <w:rPr>
                <w:rFonts w:ascii="宋体" w:cs="Times New Roman"/>
                <w:sz w:val="24"/>
                <w:szCs w:val="24"/>
              </w:rPr>
            </w:pPr>
          </w:p>
        </w:tc>
        <w:tc>
          <w:tcPr>
            <w:tcW w:w="604" w:type="dxa"/>
            <w:vMerge w:val="continue"/>
            <w:tcBorders>
              <w:top w:val="nil"/>
              <w:left w:val="nil"/>
              <w:bottom w:val="single" w:color="auto" w:sz="8" w:space="0"/>
              <w:right w:val="single" w:color="auto" w:sz="8" w:space="0"/>
            </w:tcBorders>
            <w:tcMar>
              <w:left w:w="108" w:type="dxa"/>
              <w:right w:w="108" w:type="dxa"/>
            </w:tcMar>
            <w:vAlign w:val="center"/>
          </w:tcPr>
          <w:p>
            <w:pPr>
              <w:jc w:val="center"/>
              <w:rPr>
                <w:rFonts w:ascii="宋体" w:cs="Times New Roman"/>
                <w:sz w:val="24"/>
                <w:szCs w:val="24"/>
              </w:rPr>
            </w:pPr>
          </w:p>
        </w:tc>
        <w:tc>
          <w:tcPr>
            <w:tcW w:w="604" w:type="dxa"/>
            <w:vMerge w:val="continue"/>
            <w:tcBorders>
              <w:top w:val="single" w:color="auto" w:sz="8" w:space="0"/>
              <w:left w:val="nil"/>
              <w:bottom w:val="single" w:color="auto" w:sz="8" w:space="0"/>
              <w:right w:val="single" w:color="auto" w:sz="8" w:space="0"/>
            </w:tcBorders>
            <w:tcMar>
              <w:left w:w="108" w:type="dxa"/>
              <w:right w:w="108" w:type="dxa"/>
            </w:tcMar>
            <w:vAlign w:val="center"/>
          </w:tcPr>
          <w:p>
            <w:pPr>
              <w:jc w:val="center"/>
              <w:rPr>
                <w:rFonts w:ascii="宋体" w:cs="Times New Roman"/>
                <w:sz w:val="24"/>
                <w:szCs w:val="24"/>
              </w:rPr>
            </w:pPr>
          </w:p>
        </w:tc>
        <w:tc>
          <w:tcPr>
            <w:tcW w:w="604" w:type="dxa"/>
            <w:vMerge w:val="continue"/>
            <w:tcBorders>
              <w:top w:val="single" w:color="auto" w:sz="8" w:space="0"/>
              <w:left w:val="nil"/>
              <w:bottom w:val="single" w:color="auto" w:sz="8" w:space="0"/>
              <w:right w:val="single" w:color="auto" w:sz="8" w:space="0"/>
            </w:tcBorders>
            <w:tcMar>
              <w:left w:w="108" w:type="dxa"/>
              <w:right w:w="108" w:type="dxa"/>
            </w:tcMar>
            <w:vAlign w:val="center"/>
          </w:tcPr>
          <w:p>
            <w:pPr>
              <w:jc w:val="center"/>
              <w:rPr>
                <w:rFonts w:ascii="宋体" w:cs="Times New Roman"/>
                <w:sz w:val="24"/>
                <w:szCs w:val="24"/>
              </w:rPr>
            </w:pPr>
          </w:p>
        </w:tc>
        <w:tc>
          <w:tcPr>
            <w:tcW w:w="658" w:type="dxa"/>
            <w:vMerge w:val="continue"/>
            <w:tcBorders>
              <w:top w:val="single" w:color="auto" w:sz="8" w:space="0"/>
              <w:left w:val="nil"/>
              <w:bottom w:val="single" w:color="auto" w:sz="8" w:space="0"/>
              <w:right w:val="single" w:color="auto" w:sz="8" w:space="0"/>
            </w:tcBorders>
            <w:tcMar>
              <w:left w:w="108" w:type="dxa"/>
              <w:right w:w="108" w:type="dxa"/>
            </w:tcMar>
            <w:vAlign w:val="center"/>
          </w:tcPr>
          <w:p>
            <w:pPr>
              <w:jc w:val="center"/>
              <w:rPr>
                <w:rFonts w:ascii="宋体" w:cs="Times New Roman"/>
                <w:sz w:val="24"/>
                <w:szCs w:val="24"/>
              </w:rPr>
            </w:pPr>
          </w:p>
        </w:tc>
        <w:tc>
          <w:tcPr>
            <w:tcW w:w="550" w:type="dxa"/>
            <w:tcBorders>
              <w:top w:val="nil"/>
              <w:left w:val="nil"/>
              <w:bottom w:val="single" w:color="auto" w:sz="8" w:space="0"/>
              <w:right w:val="single" w:color="auto" w:sz="8" w:space="0"/>
            </w:tcBorders>
            <w:tcMar>
              <w:left w:w="108" w:type="dxa"/>
              <w:right w:w="108" w:type="dxa"/>
            </w:tcMar>
            <w:vAlign w:val="center"/>
          </w:tcPr>
          <w:p>
            <w:pPr>
              <w:widowControl/>
              <w:ind w:left="-105" w:leftChars="-50" w:right="-126" w:rightChars="-60"/>
              <w:jc w:val="center"/>
              <w:rPr>
                <w:rFonts w:cs="Times New Roman"/>
              </w:rPr>
            </w:pPr>
            <w:r>
              <w:rPr>
                <w:rFonts w:hint="eastAsia" w:ascii="宋体" w:hAnsi="宋体" w:cs="宋体"/>
                <w:kern w:val="0"/>
                <w:sz w:val="20"/>
                <w:szCs w:val="20"/>
              </w:rPr>
              <w:t>结果维持</w:t>
            </w:r>
          </w:p>
        </w:tc>
        <w:tc>
          <w:tcPr>
            <w:tcW w:w="605" w:type="dxa"/>
            <w:tcBorders>
              <w:top w:val="nil"/>
              <w:left w:val="nil"/>
              <w:bottom w:val="single" w:color="auto" w:sz="8" w:space="0"/>
              <w:right w:val="single" w:color="auto" w:sz="8" w:space="0"/>
            </w:tcBorders>
            <w:tcMar>
              <w:left w:w="108" w:type="dxa"/>
              <w:right w:w="108" w:type="dxa"/>
            </w:tcMar>
            <w:vAlign w:val="center"/>
          </w:tcPr>
          <w:p>
            <w:pPr>
              <w:widowControl/>
              <w:ind w:left="-86" w:leftChars="-41" w:right="-88" w:rightChars="-42"/>
              <w:jc w:val="center"/>
              <w:rPr>
                <w:rFonts w:cs="Times New Roman"/>
              </w:rPr>
            </w:pPr>
            <w:r>
              <w:rPr>
                <w:rFonts w:hint="eastAsia" w:ascii="宋体" w:hAnsi="宋体" w:cs="宋体"/>
                <w:kern w:val="0"/>
                <w:sz w:val="20"/>
                <w:szCs w:val="20"/>
              </w:rPr>
              <w:t>结果纠正</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126" w:leftChars="-60" w:right="-136" w:rightChars="-65"/>
              <w:jc w:val="center"/>
              <w:rPr>
                <w:rFonts w:ascii="宋体" w:cs="Times New Roman"/>
                <w:kern w:val="0"/>
                <w:sz w:val="20"/>
                <w:szCs w:val="20"/>
              </w:rPr>
            </w:pPr>
            <w:r>
              <w:rPr>
                <w:rFonts w:hint="eastAsia" w:ascii="宋体" w:hAnsi="宋体" w:cs="宋体"/>
                <w:kern w:val="0"/>
                <w:sz w:val="20"/>
                <w:szCs w:val="20"/>
              </w:rPr>
              <w:t>其他</w:t>
            </w:r>
          </w:p>
          <w:p>
            <w:pPr>
              <w:widowControl/>
              <w:ind w:left="-126" w:leftChars="-60" w:right="-136" w:rightChars="-65"/>
              <w:jc w:val="center"/>
              <w:rPr>
                <w:rFonts w:cs="Times New Roman"/>
              </w:rPr>
            </w:pPr>
            <w:r>
              <w:rPr>
                <w:rFonts w:hint="eastAsia" w:ascii="宋体" w:hAnsi="宋体" w:cs="宋体"/>
                <w:kern w:val="0"/>
                <w:sz w:val="20"/>
                <w:szCs w:val="20"/>
              </w:rPr>
              <w:t>结果</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164" w:leftChars="-78" w:right="-153" w:rightChars="-73"/>
              <w:jc w:val="center"/>
              <w:rPr>
                <w:rFonts w:ascii="宋体" w:cs="Times New Roman"/>
                <w:kern w:val="0"/>
                <w:sz w:val="20"/>
                <w:szCs w:val="20"/>
              </w:rPr>
            </w:pPr>
            <w:r>
              <w:rPr>
                <w:rFonts w:hint="eastAsia" w:ascii="宋体" w:hAnsi="宋体" w:cs="宋体"/>
                <w:kern w:val="0"/>
                <w:sz w:val="20"/>
                <w:szCs w:val="20"/>
              </w:rPr>
              <w:t>尚未</w:t>
            </w:r>
          </w:p>
          <w:p>
            <w:pPr>
              <w:widowControl/>
              <w:ind w:left="-164" w:leftChars="-78" w:right="-153" w:rightChars="-73"/>
              <w:jc w:val="center"/>
              <w:rPr>
                <w:rFonts w:cs="Times New Roman"/>
              </w:rPr>
            </w:pPr>
            <w:r>
              <w:rPr>
                <w:rFonts w:hint="eastAsia" w:ascii="宋体" w:hAnsi="宋体" w:cs="宋体"/>
                <w:kern w:val="0"/>
                <w:sz w:val="20"/>
                <w:szCs w:val="20"/>
              </w:rPr>
              <w:t>审结</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rFonts w:cs="Times New Roman"/>
              </w:rPr>
            </w:pPr>
            <w:r>
              <w:rPr>
                <w:rFonts w:hint="eastAsia" w:ascii="宋体" w:hAnsi="宋体" w:cs="宋体"/>
                <w:kern w:val="0"/>
                <w:sz w:val="20"/>
                <w:szCs w:val="20"/>
              </w:rPr>
              <w:t>总计</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99" w:leftChars="-47" w:right="-78" w:rightChars="-37"/>
              <w:jc w:val="center"/>
              <w:rPr>
                <w:rFonts w:cs="Times New Roman"/>
              </w:rPr>
            </w:pPr>
            <w:r>
              <w:rPr>
                <w:rFonts w:hint="eastAsia" w:ascii="宋体" w:hAnsi="宋体" w:cs="宋体"/>
                <w:kern w:val="0"/>
                <w:sz w:val="20"/>
                <w:szCs w:val="20"/>
              </w:rPr>
              <w:t>结果维持</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136" w:leftChars="-65" w:right="-124" w:rightChars="-59"/>
              <w:jc w:val="center"/>
              <w:rPr>
                <w:rFonts w:ascii="宋体" w:cs="Times New Roman"/>
                <w:kern w:val="0"/>
                <w:sz w:val="20"/>
                <w:szCs w:val="20"/>
              </w:rPr>
            </w:pPr>
            <w:r>
              <w:rPr>
                <w:rFonts w:hint="eastAsia" w:ascii="宋体" w:hAnsi="宋体" w:cs="宋体"/>
                <w:kern w:val="0"/>
                <w:sz w:val="20"/>
                <w:szCs w:val="20"/>
              </w:rPr>
              <w:t>结果</w:t>
            </w:r>
          </w:p>
          <w:p>
            <w:pPr>
              <w:widowControl/>
              <w:ind w:left="-136" w:leftChars="-65" w:right="-124" w:rightChars="-59"/>
              <w:jc w:val="center"/>
              <w:rPr>
                <w:rFonts w:cs="Times New Roman"/>
              </w:rPr>
            </w:pPr>
            <w:r>
              <w:rPr>
                <w:rFonts w:hint="eastAsia" w:ascii="宋体" w:hAnsi="宋体" w:cs="宋体"/>
                <w:kern w:val="0"/>
                <w:sz w:val="20"/>
                <w:szCs w:val="20"/>
              </w:rPr>
              <w:t>纠正</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173" w:leftChars="-83" w:right="-134" w:rightChars="-64" w:hanging="1"/>
              <w:jc w:val="center"/>
              <w:rPr>
                <w:rFonts w:ascii="宋体" w:cs="Times New Roman"/>
                <w:kern w:val="0"/>
                <w:sz w:val="20"/>
                <w:szCs w:val="20"/>
              </w:rPr>
            </w:pPr>
            <w:r>
              <w:rPr>
                <w:rFonts w:hint="eastAsia" w:ascii="宋体" w:hAnsi="宋体" w:cs="宋体"/>
                <w:kern w:val="0"/>
                <w:sz w:val="20"/>
                <w:szCs w:val="20"/>
              </w:rPr>
              <w:t>其他</w:t>
            </w:r>
          </w:p>
          <w:p>
            <w:pPr>
              <w:widowControl/>
              <w:ind w:left="-173" w:leftChars="-83" w:right="-134" w:rightChars="-64" w:hanging="1"/>
              <w:jc w:val="center"/>
              <w:rPr>
                <w:rFonts w:cs="Times New Roman"/>
              </w:rPr>
            </w:pPr>
            <w:r>
              <w:rPr>
                <w:rFonts w:hint="eastAsia" w:ascii="宋体" w:hAnsi="宋体" w:cs="宋体"/>
                <w:kern w:val="0"/>
                <w:sz w:val="20"/>
                <w:szCs w:val="20"/>
              </w:rPr>
              <w:t>结果</w:t>
            </w:r>
          </w:p>
        </w:tc>
        <w:tc>
          <w:tcPr>
            <w:tcW w:w="606"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67" w:leftChars="-33" w:right="-105" w:rightChars="-50" w:hanging="2" w:hangingChars="1"/>
              <w:jc w:val="center"/>
              <w:rPr>
                <w:rFonts w:cs="Times New Roman"/>
              </w:rPr>
            </w:pPr>
            <w:r>
              <w:rPr>
                <w:rFonts w:hint="eastAsia" w:ascii="宋体" w:hAnsi="宋体" w:cs="宋体"/>
                <w:kern w:val="0"/>
                <w:sz w:val="20"/>
                <w:szCs w:val="20"/>
              </w:rPr>
              <w:t>尚未审结</w:t>
            </w:r>
          </w:p>
        </w:tc>
        <w:tc>
          <w:tcPr>
            <w:tcW w:w="606" w:type="dxa"/>
            <w:tcBorders>
              <w:top w:val="single" w:color="auto" w:sz="8" w:space="0"/>
              <w:left w:val="nil"/>
              <w:bottom w:val="single" w:color="auto" w:sz="8" w:space="0"/>
              <w:right w:val="single" w:color="auto" w:sz="12" w:space="0"/>
            </w:tcBorders>
            <w:tcMar>
              <w:left w:w="108" w:type="dxa"/>
              <w:right w:w="108" w:type="dxa"/>
            </w:tcMar>
            <w:vAlign w:val="center"/>
          </w:tcPr>
          <w:p>
            <w:pPr>
              <w:widowControl/>
              <w:jc w:val="center"/>
              <w:rPr>
                <w:rFonts w:cs="Times New Roman"/>
              </w:rPr>
            </w:pPr>
            <w:r>
              <w:rPr>
                <w:rFonts w:hint="eastAsia" w:ascii="宋体" w:hAnsi="宋体" w:cs="宋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12" w:space="0"/>
              <w:bottom w:val="single" w:color="auto" w:sz="12" w:space="0"/>
              <w:right w:val="single" w:color="auto" w:sz="8" w:space="0"/>
            </w:tcBorders>
            <w:tcMar>
              <w:left w:w="108" w:type="dxa"/>
              <w:right w:w="108" w:type="dxa"/>
            </w:tcMar>
            <w:vAlign w:val="center"/>
          </w:tcPr>
          <w:p>
            <w:pPr>
              <w:widowControl/>
              <w:spacing w:after="180"/>
              <w:jc w:val="center"/>
              <w:rPr>
                <w:rFonts w:hint="default" w:eastAsia="宋体" w:cs="Times New Roman"/>
                <w:lang w:val="en-US" w:eastAsia="zh-CN"/>
              </w:rPr>
            </w:pPr>
            <w:r>
              <w:rPr>
                <w:rFonts w:hint="eastAsia" w:cs="Times New Roman"/>
                <w:lang w:val="en-US" w:eastAsia="zh-CN"/>
              </w:rPr>
              <w:t>14</w:t>
            </w:r>
          </w:p>
        </w:tc>
        <w:tc>
          <w:tcPr>
            <w:tcW w:w="604"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rFonts w:hint="eastAsia" w:cs="Times New Roman"/>
                <w:kern w:val="0"/>
                <w:sz w:val="20"/>
                <w:szCs w:val="20"/>
                <w:lang w:val="en-US" w:eastAsia="zh-CN"/>
              </w:rPr>
              <w:t>4</w:t>
            </w:r>
          </w:p>
        </w:tc>
        <w:tc>
          <w:tcPr>
            <w:tcW w:w="604"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rFonts w:hint="eastAsia"/>
                <w:kern w:val="0"/>
                <w:sz w:val="20"/>
                <w:szCs w:val="20"/>
              </w:rPr>
              <w:t>0</w:t>
            </w:r>
          </w:p>
        </w:tc>
        <w:tc>
          <w:tcPr>
            <w:tcW w:w="604"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kern w:val="0"/>
                <w:sz w:val="20"/>
                <w:szCs w:val="20"/>
                <w:lang w:val="en-US" w:eastAsia="zh-CN"/>
              </w:rPr>
              <w:t>0</w:t>
            </w:r>
          </w:p>
        </w:tc>
        <w:tc>
          <w:tcPr>
            <w:tcW w:w="658"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rFonts w:hint="eastAsia"/>
                <w:kern w:val="0"/>
                <w:sz w:val="20"/>
                <w:szCs w:val="20"/>
              </w:rPr>
              <w:t>9</w:t>
            </w:r>
          </w:p>
        </w:tc>
        <w:tc>
          <w:tcPr>
            <w:tcW w:w="550"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2</w:t>
            </w:r>
          </w:p>
        </w:tc>
        <w:tc>
          <w:tcPr>
            <w:tcW w:w="605"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rFonts w:hint="eastAsia" w:ascii="宋体" w:cs="宋体"/>
                <w:kern w:val="0"/>
                <w:sz w:val="20"/>
                <w:szCs w:val="20"/>
              </w:rPr>
              <w:t>0</w:t>
            </w:r>
          </w:p>
        </w:tc>
        <w:tc>
          <w:tcPr>
            <w:tcW w:w="605"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rFonts w:ascii="宋体" w:cs="宋体"/>
                <w:kern w:val="0"/>
                <w:sz w:val="20"/>
                <w:szCs w:val="20"/>
              </w:rPr>
              <w:t>0</w:t>
            </w:r>
          </w:p>
        </w:tc>
        <w:tc>
          <w:tcPr>
            <w:tcW w:w="605"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rFonts w:ascii="宋体" w:cs="宋体"/>
                <w:kern w:val="0"/>
                <w:sz w:val="20"/>
                <w:szCs w:val="20"/>
              </w:rPr>
              <w:t>0</w:t>
            </w:r>
          </w:p>
        </w:tc>
        <w:tc>
          <w:tcPr>
            <w:tcW w:w="605"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hint="eastAsia" w:eastAsia="宋体" w:cs="Times New Roman"/>
                <w:lang w:val="en-US" w:eastAsia="zh-CN"/>
              </w:rPr>
            </w:pPr>
            <w:r>
              <w:rPr>
                <w:rFonts w:hint="eastAsia" w:cs="Times New Roman"/>
                <w:lang w:val="en-US" w:eastAsia="zh-CN"/>
              </w:rPr>
              <w:t>2</w:t>
            </w:r>
          </w:p>
        </w:tc>
        <w:tc>
          <w:tcPr>
            <w:tcW w:w="605"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rFonts w:hint="eastAsia" w:ascii="宋体" w:cs="宋体"/>
                <w:kern w:val="0"/>
                <w:sz w:val="20"/>
                <w:szCs w:val="20"/>
              </w:rPr>
              <w:t>0</w:t>
            </w:r>
          </w:p>
        </w:tc>
        <w:tc>
          <w:tcPr>
            <w:tcW w:w="605"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rFonts w:ascii="宋体" w:cs="宋体"/>
                <w:kern w:val="0"/>
                <w:sz w:val="20"/>
                <w:szCs w:val="20"/>
              </w:rPr>
              <w:t>0</w:t>
            </w:r>
          </w:p>
        </w:tc>
        <w:tc>
          <w:tcPr>
            <w:tcW w:w="605"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rFonts w:ascii="宋体" w:cs="宋体"/>
                <w:kern w:val="0"/>
                <w:sz w:val="20"/>
                <w:szCs w:val="20"/>
              </w:rPr>
              <w:t>0</w:t>
            </w:r>
          </w:p>
        </w:tc>
        <w:tc>
          <w:tcPr>
            <w:tcW w:w="606"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rFonts w:ascii="宋体" w:cs="宋体"/>
                <w:kern w:val="0"/>
                <w:sz w:val="20"/>
                <w:szCs w:val="20"/>
              </w:rPr>
              <w:t>0</w:t>
            </w:r>
          </w:p>
        </w:tc>
        <w:tc>
          <w:tcPr>
            <w:tcW w:w="606" w:type="dxa"/>
            <w:tcBorders>
              <w:top w:val="nil"/>
              <w:left w:val="nil"/>
              <w:bottom w:val="single" w:color="auto" w:sz="12" w:space="0"/>
              <w:right w:val="single" w:color="auto" w:sz="12" w:space="0"/>
            </w:tcBorders>
            <w:tcMar>
              <w:left w:w="108" w:type="dxa"/>
              <w:right w:w="108" w:type="dxa"/>
            </w:tcMar>
            <w:vAlign w:val="center"/>
          </w:tcPr>
          <w:p>
            <w:pPr>
              <w:jc w:val="center"/>
              <w:rPr>
                <w:rFonts w:ascii="宋体" w:cs="Times New Roman"/>
                <w:sz w:val="24"/>
                <w:szCs w:val="24"/>
              </w:rPr>
            </w:pPr>
            <w:r>
              <w:rPr>
                <w:rFonts w:ascii="宋体" w:cs="宋体"/>
                <w:kern w:val="0"/>
                <w:sz w:val="20"/>
                <w:szCs w:val="20"/>
              </w:rPr>
              <w:t>0</w:t>
            </w:r>
          </w:p>
        </w:tc>
      </w:tr>
    </w:tbl>
    <w:p>
      <w:pPr>
        <w:widowControl/>
        <w:shd w:val="clear" w:color="auto" w:fill="FFFFFF"/>
        <w:rPr>
          <w:rFonts w:ascii="宋体" w:cs="Times New Roman"/>
          <w:sz w:val="24"/>
          <w:szCs w:val="24"/>
        </w:rPr>
      </w:pPr>
    </w:p>
    <w:p>
      <w:pPr>
        <w:pStyle w:val="6"/>
        <w:widowControl/>
        <w:shd w:val="clear" w:color="auto" w:fill="FFFFFF"/>
        <w:spacing w:beforeAutospacing="0" w:afterAutospacing="0"/>
        <w:ind w:firstLine="420"/>
        <w:jc w:val="both"/>
        <w:rPr>
          <w:rFonts w:ascii="黑体" w:hAnsi="黑体" w:eastAsia="黑体" w:cs="Times New Roman"/>
          <w:sz w:val="32"/>
          <w:szCs w:val="32"/>
        </w:rPr>
      </w:pPr>
      <w:r>
        <w:rPr>
          <w:rFonts w:hint="eastAsia" w:ascii="黑体" w:hAnsi="黑体" w:eastAsia="黑体" w:cs="黑体"/>
          <w:sz w:val="32"/>
          <w:szCs w:val="32"/>
          <w:shd w:val="clear" w:color="auto" w:fill="FFFFFF"/>
        </w:rPr>
        <w:t>五、存在的主要问题及改进情况</w:t>
      </w:r>
    </w:p>
    <w:p>
      <w:pPr>
        <w:pStyle w:val="6"/>
        <w:shd w:val="clear" w:color="auto" w:fill="FFFFFF"/>
        <w:spacing w:beforeAutospacing="0" w:afterAutospacing="0" w:line="360" w:lineRule="atLeast"/>
        <w:ind w:firstLine="640"/>
        <w:jc w:val="both"/>
        <w:rPr>
          <w:rFonts w:ascii="仿宋" w:hAnsi="仿宋" w:eastAsia="仿宋" w:cs="宋体"/>
          <w:sz w:val="32"/>
          <w:szCs w:val="32"/>
        </w:rPr>
      </w:pPr>
      <w:r>
        <w:rPr>
          <w:rFonts w:hint="eastAsia" w:ascii="仿宋" w:hAnsi="仿宋" w:eastAsia="仿宋" w:cs="宋体"/>
          <w:sz w:val="32"/>
          <w:szCs w:val="32"/>
        </w:rPr>
        <w:t>2020年政府信息公开工作虽然取得了一定的成效，但同时也存在部分单位和人员对政府信息公开工作重视不够，信息公开更新内容不及时、不全面，依申请公开办理、政策解读、舆情应对等工作能力偏低等，与广大群众的要求还有一定差距。针对工作中存在的问题和不足，我们将主要采取以下措施进行改进：</w:t>
      </w:r>
    </w:p>
    <w:p>
      <w:pPr>
        <w:pStyle w:val="6"/>
        <w:shd w:val="clear" w:color="auto" w:fill="FFFFFF"/>
        <w:spacing w:beforeAutospacing="0" w:afterAutospacing="0" w:line="360" w:lineRule="atLeast"/>
        <w:ind w:firstLine="640"/>
        <w:jc w:val="both"/>
        <w:rPr>
          <w:rFonts w:ascii="仿宋" w:hAnsi="仿宋" w:eastAsia="仿宋" w:cs="宋体"/>
          <w:sz w:val="32"/>
          <w:szCs w:val="32"/>
        </w:rPr>
      </w:pPr>
      <w:r>
        <w:rPr>
          <w:rFonts w:hint="eastAsia" w:ascii="仿宋" w:hAnsi="仿宋" w:eastAsia="仿宋" w:cs="宋体"/>
          <w:sz w:val="32"/>
          <w:szCs w:val="32"/>
        </w:rPr>
        <w:t>一是加强政府信息公开业务学习和培训。通过开展培训会和交流会，提高工作人员的素质，打造工作作风实、业务能力强的政务公开人才队伍。二是要进一步加强政务公开平台建设。在配合市政府进一步完善全市“融公开”政府信息公开平台建设的基础上，创新公开载体，以“政府信息公开”平台和融媒体中心“爱张店”平台为依托，充分利用传统媒体和新媒体的优势，提高信息公开的时效性和准确性，使广大群众更加便利地获得所需信息。三是要强化监督检查。要进一步完善监督检查制度，严格按照考核标准，采取不定期抽查和定期检查相结合的方式，加强对各镇办、各部门政务公开工作的督促检查，并将检查结果及时进行通报，确保政务公开工作落到实处。</w:t>
      </w:r>
    </w:p>
    <w:p>
      <w:pPr>
        <w:pStyle w:val="2"/>
        <w:ind w:firstLine="640" w:firstLineChars="200"/>
        <w:jc w:val="both"/>
        <w:rPr>
          <w:rFonts w:eastAsia="黑体"/>
        </w:rPr>
      </w:pPr>
      <w:r>
        <w:rPr>
          <w:rFonts w:hint="eastAsia" w:ascii="黑体" w:hAnsi="黑体" w:eastAsia="黑体" w:cs="黑体"/>
          <w:color w:val="333333"/>
          <w:sz w:val="32"/>
          <w:szCs w:val="32"/>
          <w:shd w:val="clear" w:color="auto" w:fill="FFFFFF"/>
        </w:rPr>
        <w:t>六、其他需要报告的事项</w:t>
      </w:r>
    </w:p>
    <w:p>
      <w:pPr>
        <w:rPr>
          <w:rFonts w:ascii="仿宋" w:hAnsi="仿宋" w:eastAsia="仿宋" w:cs="Times New Roman"/>
          <w:sz w:val="32"/>
          <w:szCs w:val="32"/>
        </w:rPr>
      </w:pPr>
      <w:r>
        <w:rPr>
          <w:rFonts w:hint="eastAsia" w:ascii="仿宋" w:hAnsi="仿宋" w:eastAsia="仿宋" w:cs="Times New Roman"/>
          <w:sz w:val="32"/>
          <w:szCs w:val="32"/>
        </w:rPr>
        <w:t xml:space="preserve">    无。</w:t>
      </w:r>
    </w:p>
    <w:p>
      <w:pPr>
        <w:pStyle w:val="2"/>
        <w:jc w:val="both"/>
      </w:pPr>
    </w:p>
    <w:p>
      <w:pPr>
        <w:autoSpaceDN w:val="0"/>
        <w:spacing w:line="560" w:lineRule="exact"/>
        <w:ind w:firstLine="640" w:firstLineChars="200"/>
        <w:jc w:val="right"/>
        <w:rPr>
          <w:rFonts w:ascii="仿宋" w:hAnsi="仿宋" w:eastAsia="仿宋" w:cs="仿宋_GB2312"/>
          <w:color w:val="000000"/>
          <w:sz w:val="32"/>
          <w:szCs w:val="32"/>
        </w:rPr>
      </w:pPr>
      <w:r>
        <w:rPr>
          <w:rFonts w:hint="eastAsia" w:ascii="仿宋" w:hAnsi="仿宋" w:eastAsia="仿宋" w:cs="仿宋_GB2312"/>
          <w:color w:val="000000"/>
          <w:sz w:val="32"/>
          <w:szCs w:val="32"/>
        </w:rPr>
        <w:t>张店区人民政府</w:t>
      </w:r>
    </w:p>
    <w:p>
      <w:pPr>
        <w:rPr>
          <w:rFonts w:ascii="仿宋" w:hAnsi="仿宋" w:eastAsia="仿宋" w:cs="Times New Roman"/>
          <w:sz w:val="32"/>
          <w:szCs w:val="32"/>
        </w:rPr>
      </w:pPr>
      <w:r>
        <w:rPr>
          <w:rFonts w:hint="eastAsia" w:ascii="仿宋" w:hAnsi="仿宋" w:eastAsia="仿宋" w:cs="仿宋"/>
          <w:sz w:val="32"/>
          <w:szCs w:val="32"/>
        </w:rPr>
        <w:t xml:space="preserve">                                         </w:t>
      </w:r>
      <w:r>
        <w:rPr>
          <w:rFonts w:ascii="仿宋" w:hAnsi="仿宋" w:eastAsia="仿宋" w:cs="仿宋"/>
          <w:sz w:val="32"/>
          <w:szCs w:val="32"/>
        </w:rPr>
        <w:t>202</w:t>
      </w:r>
      <w:r>
        <w:rPr>
          <w:rFonts w:hint="eastAsia" w:ascii="仿宋" w:hAnsi="仿宋" w:eastAsia="仿宋" w:cs="仿宋"/>
          <w:sz w:val="32"/>
          <w:szCs w:val="32"/>
        </w:rPr>
        <w:t>1年2月</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10"/>
        <w:rFonts w:ascii="仿宋" w:hAnsi="仿宋" w:eastAsia="仿宋" w:cs="Times New Roman"/>
        <w:sz w:val="24"/>
        <w:szCs w:val="24"/>
      </w:rPr>
    </w:pPr>
    <w:r>
      <w:rPr>
        <w:rStyle w:val="10"/>
        <w:rFonts w:ascii="仿宋" w:hAnsi="仿宋" w:eastAsia="仿宋" w:cs="仿宋"/>
        <w:sz w:val="24"/>
        <w:szCs w:val="24"/>
      </w:rPr>
      <w:fldChar w:fldCharType="begin"/>
    </w:r>
    <w:r>
      <w:rPr>
        <w:rStyle w:val="10"/>
        <w:rFonts w:ascii="仿宋" w:hAnsi="仿宋" w:eastAsia="仿宋" w:cs="仿宋"/>
        <w:sz w:val="24"/>
        <w:szCs w:val="24"/>
      </w:rPr>
      <w:instrText xml:space="preserve">PAGE  </w:instrText>
    </w:r>
    <w:r>
      <w:rPr>
        <w:rStyle w:val="10"/>
        <w:rFonts w:ascii="仿宋" w:hAnsi="仿宋" w:eastAsia="仿宋" w:cs="仿宋"/>
        <w:sz w:val="24"/>
        <w:szCs w:val="24"/>
      </w:rPr>
      <w:fldChar w:fldCharType="separate"/>
    </w:r>
    <w:r>
      <w:rPr>
        <w:rStyle w:val="10"/>
        <w:rFonts w:ascii="仿宋" w:hAnsi="仿宋" w:eastAsia="仿宋" w:cs="仿宋"/>
        <w:sz w:val="24"/>
        <w:szCs w:val="24"/>
      </w:rPr>
      <w:t>- 3 -</w:t>
    </w:r>
    <w:r>
      <w:rPr>
        <w:rStyle w:val="10"/>
        <w:rFonts w:ascii="仿宋" w:hAnsi="仿宋" w:eastAsia="仿宋" w:cs="仿宋"/>
        <w:sz w:val="24"/>
        <w:szCs w:val="24"/>
      </w:rPr>
      <w:fldChar w:fldCharType="end"/>
    </w:r>
  </w:p>
  <w:p>
    <w:pPr>
      <w:pStyle w:val="4"/>
      <w:ind w:right="360" w:firstLine="360"/>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oNotHyphenateCaps/>
  <w:drawingGridHorizontalSpacing w:val="210"/>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7B4105D4"/>
    <w:rsid w:val="00023FBC"/>
    <w:rsid w:val="00053E89"/>
    <w:rsid w:val="00066D8C"/>
    <w:rsid w:val="00081FDB"/>
    <w:rsid w:val="00085472"/>
    <w:rsid w:val="00094022"/>
    <w:rsid w:val="000D1159"/>
    <w:rsid w:val="000D725C"/>
    <w:rsid w:val="000E5CA8"/>
    <w:rsid w:val="000F0357"/>
    <w:rsid w:val="00113F73"/>
    <w:rsid w:val="001B53D2"/>
    <w:rsid w:val="001B7788"/>
    <w:rsid w:val="001C3A00"/>
    <w:rsid w:val="001D3B0A"/>
    <w:rsid w:val="001D468D"/>
    <w:rsid w:val="001D4CAB"/>
    <w:rsid w:val="002142DD"/>
    <w:rsid w:val="00264373"/>
    <w:rsid w:val="00274AD2"/>
    <w:rsid w:val="002C4224"/>
    <w:rsid w:val="002C5B52"/>
    <w:rsid w:val="002D7AE3"/>
    <w:rsid w:val="002E3A10"/>
    <w:rsid w:val="00361D6A"/>
    <w:rsid w:val="003718C1"/>
    <w:rsid w:val="00377A0D"/>
    <w:rsid w:val="0038562A"/>
    <w:rsid w:val="003A3316"/>
    <w:rsid w:val="003B3F3B"/>
    <w:rsid w:val="003B50F5"/>
    <w:rsid w:val="003B7AAA"/>
    <w:rsid w:val="003C77A6"/>
    <w:rsid w:val="003D299C"/>
    <w:rsid w:val="003F1AD2"/>
    <w:rsid w:val="003F475E"/>
    <w:rsid w:val="00427BB4"/>
    <w:rsid w:val="00435BC1"/>
    <w:rsid w:val="004652DE"/>
    <w:rsid w:val="00474EF5"/>
    <w:rsid w:val="00476ACF"/>
    <w:rsid w:val="00495DE6"/>
    <w:rsid w:val="00496CFE"/>
    <w:rsid w:val="004A47BA"/>
    <w:rsid w:val="004B00F4"/>
    <w:rsid w:val="004C779F"/>
    <w:rsid w:val="004D36E1"/>
    <w:rsid w:val="004D7A1B"/>
    <w:rsid w:val="004F335E"/>
    <w:rsid w:val="005058C8"/>
    <w:rsid w:val="00507227"/>
    <w:rsid w:val="0051374C"/>
    <w:rsid w:val="005169C2"/>
    <w:rsid w:val="00557B50"/>
    <w:rsid w:val="00582FFD"/>
    <w:rsid w:val="005A5701"/>
    <w:rsid w:val="005B6538"/>
    <w:rsid w:val="005C0618"/>
    <w:rsid w:val="005D4505"/>
    <w:rsid w:val="005F6092"/>
    <w:rsid w:val="00600634"/>
    <w:rsid w:val="0064079C"/>
    <w:rsid w:val="00644B25"/>
    <w:rsid w:val="00655E5A"/>
    <w:rsid w:val="006762C3"/>
    <w:rsid w:val="00683415"/>
    <w:rsid w:val="00690DB5"/>
    <w:rsid w:val="0069549A"/>
    <w:rsid w:val="006B771D"/>
    <w:rsid w:val="006D6CD2"/>
    <w:rsid w:val="006E7287"/>
    <w:rsid w:val="006F3F06"/>
    <w:rsid w:val="006F738D"/>
    <w:rsid w:val="006F7645"/>
    <w:rsid w:val="00714629"/>
    <w:rsid w:val="00721763"/>
    <w:rsid w:val="00725B97"/>
    <w:rsid w:val="007337CB"/>
    <w:rsid w:val="007449AB"/>
    <w:rsid w:val="0076053D"/>
    <w:rsid w:val="007E70B2"/>
    <w:rsid w:val="007F721A"/>
    <w:rsid w:val="00814CD3"/>
    <w:rsid w:val="00837BE0"/>
    <w:rsid w:val="00893FD8"/>
    <w:rsid w:val="00896080"/>
    <w:rsid w:val="008E72DE"/>
    <w:rsid w:val="008F5E04"/>
    <w:rsid w:val="00901FD7"/>
    <w:rsid w:val="00905E2C"/>
    <w:rsid w:val="00916B73"/>
    <w:rsid w:val="00926744"/>
    <w:rsid w:val="009543CB"/>
    <w:rsid w:val="00957748"/>
    <w:rsid w:val="009637EC"/>
    <w:rsid w:val="00981FAA"/>
    <w:rsid w:val="00983738"/>
    <w:rsid w:val="009844C0"/>
    <w:rsid w:val="00997377"/>
    <w:rsid w:val="009A3EEC"/>
    <w:rsid w:val="009B0015"/>
    <w:rsid w:val="009E0C58"/>
    <w:rsid w:val="009E2B0C"/>
    <w:rsid w:val="009E54DD"/>
    <w:rsid w:val="009E6DBC"/>
    <w:rsid w:val="00A121FC"/>
    <w:rsid w:val="00A245F1"/>
    <w:rsid w:val="00A32304"/>
    <w:rsid w:val="00A551CB"/>
    <w:rsid w:val="00A66142"/>
    <w:rsid w:val="00AB62CB"/>
    <w:rsid w:val="00AC1D77"/>
    <w:rsid w:val="00AC2C22"/>
    <w:rsid w:val="00AD140F"/>
    <w:rsid w:val="00AD2A8A"/>
    <w:rsid w:val="00AD3CA8"/>
    <w:rsid w:val="00AD59BF"/>
    <w:rsid w:val="00B056D0"/>
    <w:rsid w:val="00B109FA"/>
    <w:rsid w:val="00B121CD"/>
    <w:rsid w:val="00B70969"/>
    <w:rsid w:val="00B9634A"/>
    <w:rsid w:val="00BB0E5D"/>
    <w:rsid w:val="00BC358A"/>
    <w:rsid w:val="00BD0768"/>
    <w:rsid w:val="00BD531F"/>
    <w:rsid w:val="00BE785D"/>
    <w:rsid w:val="00BF2654"/>
    <w:rsid w:val="00C01C92"/>
    <w:rsid w:val="00C24E51"/>
    <w:rsid w:val="00C26EFC"/>
    <w:rsid w:val="00C345AC"/>
    <w:rsid w:val="00C50734"/>
    <w:rsid w:val="00C52CE7"/>
    <w:rsid w:val="00C822EB"/>
    <w:rsid w:val="00C86E39"/>
    <w:rsid w:val="00CD6743"/>
    <w:rsid w:val="00CF5AC8"/>
    <w:rsid w:val="00D126E7"/>
    <w:rsid w:val="00D23A8A"/>
    <w:rsid w:val="00D404BD"/>
    <w:rsid w:val="00D770A9"/>
    <w:rsid w:val="00DB38CD"/>
    <w:rsid w:val="00DC32FC"/>
    <w:rsid w:val="00DE0F70"/>
    <w:rsid w:val="00E12A62"/>
    <w:rsid w:val="00E34E21"/>
    <w:rsid w:val="00E43610"/>
    <w:rsid w:val="00E9795A"/>
    <w:rsid w:val="00EA4EA5"/>
    <w:rsid w:val="00EC7249"/>
    <w:rsid w:val="00F02546"/>
    <w:rsid w:val="00F240A7"/>
    <w:rsid w:val="00F32850"/>
    <w:rsid w:val="00F334A0"/>
    <w:rsid w:val="00F37A76"/>
    <w:rsid w:val="00F626D0"/>
    <w:rsid w:val="00F919A8"/>
    <w:rsid w:val="00F92144"/>
    <w:rsid w:val="00F948C5"/>
    <w:rsid w:val="00FA3CBE"/>
    <w:rsid w:val="00FE2E62"/>
    <w:rsid w:val="00FE4532"/>
    <w:rsid w:val="00FF2DD1"/>
    <w:rsid w:val="01C00401"/>
    <w:rsid w:val="0298198C"/>
    <w:rsid w:val="06233E4C"/>
    <w:rsid w:val="0F58324F"/>
    <w:rsid w:val="10546529"/>
    <w:rsid w:val="105D5FB9"/>
    <w:rsid w:val="10AD0635"/>
    <w:rsid w:val="11354665"/>
    <w:rsid w:val="11BA6906"/>
    <w:rsid w:val="12633520"/>
    <w:rsid w:val="13776E31"/>
    <w:rsid w:val="149159E6"/>
    <w:rsid w:val="155B05EC"/>
    <w:rsid w:val="15B02768"/>
    <w:rsid w:val="18506A9F"/>
    <w:rsid w:val="1BDE5017"/>
    <w:rsid w:val="1D3514CB"/>
    <w:rsid w:val="1E193503"/>
    <w:rsid w:val="1FA22DF1"/>
    <w:rsid w:val="23075217"/>
    <w:rsid w:val="24FA0043"/>
    <w:rsid w:val="25A15EEA"/>
    <w:rsid w:val="263877C6"/>
    <w:rsid w:val="26826749"/>
    <w:rsid w:val="2E223195"/>
    <w:rsid w:val="2E6F5917"/>
    <w:rsid w:val="30BA71DE"/>
    <w:rsid w:val="31311581"/>
    <w:rsid w:val="31DA663E"/>
    <w:rsid w:val="31FD472F"/>
    <w:rsid w:val="32B407DE"/>
    <w:rsid w:val="34976FF3"/>
    <w:rsid w:val="349B1E02"/>
    <w:rsid w:val="36884E94"/>
    <w:rsid w:val="37464714"/>
    <w:rsid w:val="39167A3B"/>
    <w:rsid w:val="3A585B83"/>
    <w:rsid w:val="3CED1D94"/>
    <w:rsid w:val="3D68597F"/>
    <w:rsid w:val="40066E40"/>
    <w:rsid w:val="40727D00"/>
    <w:rsid w:val="40BD413D"/>
    <w:rsid w:val="42821886"/>
    <w:rsid w:val="45D4267D"/>
    <w:rsid w:val="461A2613"/>
    <w:rsid w:val="4B24395B"/>
    <w:rsid w:val="4B82538C"/>
    <w:rsid w:val="4BE166AA"/>
    <w:rsid w:val="4E0453F8"/>
    <w:rsid w:val="4FAB3CE8"/>
    <w:rsid w:val="5167513F"/>
    <w:rsid w:val="51B41F08"/>
    <w:rsid w:val="52926310"/>
    <w:rsid w:val="54484A2E"/>
    <w:rsid w:val="553B17A8"/>
    <w:rsid w:val="56015F00"/>
    <w:rsid w:val="575D7C98"/>
    <w:rsid w:val="58D22671"/>
    <w:rsid w:val="5E10049D"/>
    <w:rsid w:val="5FB14851"/>
    <w:rsid w:val="602E2D70"/>
    <w:rsid w:val="63802BF1"/>
    <w:rsid w:val="63C34371"/>
    <w:rsid w:val="642E01C9"/>
    <w:rsid w:val="65182B04"/>
    <w:rsid w:val="67C62AAF"/>
    <w:rsid w:val="67E52D01"/>
    <w:rsid w:val="684528AF"/>
    <w:rsid w:val="698F2030"/>
    <w:rsid w:val="69D22DFB"/>
    <w:rsid w:val="69EA5467"/>
    <w:rsid w:val="69EA7ECF"/>
    <w:rsid w:val="6A421511"/>
    <w:rsid w:val="6A6E6055"/>
    <w:rsid w:val="6F074402"/>
    <w:rsid w:val="70D571E2"/>
    <w:rsid w:val="714E7A99"/>
    <w:rsid w:val="73F70B06"/>
    <w:rsid w:val="74960001"/>
    <w:rsid w:val="757C0626"/>
    <w:rsid w:val="76420448"/>
    <w:rsid w:val="77B4141E"/>
    <w:rsid w:val="79A030FF"/>
    <w:rsid w:val="7B1449D6"/>
    <w:rsid w:val="7B4105D4"/>
    <w:rsid w:val="7C1F2DC7"/>
    <w:rsid w:val="7CCF078E"/>
    <w:rsid w:val="7D7F0EE9"/>
    <w:rsid w:val="7DC608F7"/>
    <w:rsid w:val="7DF533C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0" w:semiHidden="0"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iPriority="99" w:name="Hyperlink" w:locked="1"/>
    <w:lsdException w:uiPriority="99" w:name="FollowedHyperlink" w:locked="1"/>
    <w:lsdException w:qFormat="1" w:unhideWhenUsed="0" w:uiPriority="22"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ocked="1"/>
    <w:lsdException w:uiPriority="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locked/>
    <w:uiPriority w:val="0"/>
    <w:pPr>
      <w:jc w:val="center"/>
    </w:pPr>
    <w:rPr>
      <w:rFonts w:ascii="宋体"/>
      <w:sz w:val="44"/>
    </w:rPr>
  </w:style>
  <w:style w:type="paragraph" w:styleId="3">
    <w:name w:val="Balloon Text"/>
    <w:basedOn w:val="1"/>
    <w:link w:val="15"/>
    <w:semiHidden/>
    <w:qFormat/>
    <w:locked/>
    <w:uiPriority w:val="99"/>
    <w:rPr>
      <w:sz w:val="18"/>
      <w:szCs w:val="18"/>
    </w:r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3"/>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paragraph" w:styleId="6">
    <w:name w:val="Normal (Web)"/>
    <w:basedOn w:val="1"/>
    <w:qFormat/>
    <w:uiPriority w:val="99"/>
    <w:pPr>
      <w:spacing w:beforeAutospacing="1" w:afterAutospacing="1"/>
      <w:jc w:val="left"/>
    </w:pPr>
    <w:rPr>
      <w:kern w:val="0"/>
      <w:sz w:val="24"/>
      <w:szCs w:val="24"/>
    </w:rPr>
  </w:style>
  <w:style w:type="character" w:styleId="9">
    <w:name w:val="Strong"/>
    <w:basedOn w:val="8"/>
    <w:qFormat/>
    <w:uiPriority w:val="22"/>
    <w:rPr>
      <w:b/>
    </w:rPr>
  </w:style>
  <w:style w:type="character" w:styleId="10">
    <w:name w:val="page number"/>
    <w:basedOn w:val="8"/>
    <w:qFormat/>
    <w:locked/>
    <w:uiPriority w:val="99"/>
  </w:style>
  <w:style w:type="character" w:styleId="11">
    <w:name w:val="Hyperlink"/>
    <w:basedOn w:val="8"/>
    <w:semiHidden/>
    <w:unhideWhenUsed/>
    <w:qFormat/>
    <w:locked/>
    <w:uiPriority w:val="99"/>
    <w:rPr>
      <w:color w:val="0000FF"/>
      <w:u w:val="single"/>
    </w:rPr>
  </w:style>
  <w:style w:type="character" w:customStyle="1" w:styleId="12">
    <w:name w:val="页脚 Char"/>
    <w:link w:val="4"/>
    <w:semiHidden/>
    <w:qFormat/>
    <w:locked/>
    <w:uiPriority w:val="99"/>
    <w:rPr>
      <w:sz w:val="18"/>
      <w:szCs w:val="18"/>
    </w:rPr>
  </w:style>
  <w:style w:type="character" w:customStyle="1" w:styleId="13">
    <w:name w:val="页眉 Char"/>
    <w:link w:val="5"/>
    <w:semiHidden/>
    <w:qFormat/>
    <w:locked/>
    <w:uiPriority w:val="99"/>
    <w:rPr>
      <w:sz w:val="18"/>
      <w:szCs w:val="18"/>
    </w:rPr>
  </w:style>
  <w:style w:type="paragraph" w:customStyle="1" w:styleId="14">
    <w:name w:val="Char Char Char Char1 Char Char Char Char Char Char Char Char Char Char Char Char Char Char Char Char Char"/>
    <w:basedOn w:val="1"/>
    <w:qFormat/>
    <w:uiPriority w:val="99"/>
    <w:pPr>
      <w:widowControl/>
      <w:spacing w:after="160" w:line="240" w:lineRule="exact"/>
      <w:ind w:firstLine="980" w:firstLineChars="350"/>
      <w:jc w:val="left"/>
    </w:pPr>
    <w:rPr>
      <w:rFonts w:ascii="Times New Roman" w:hAnsi="Times New Roman" w:cs="Times New Roman"/>
    </w:rPr>
  </w:style>
  <w:style w:type="character" w:customStyle="1" w:styleId="15">
    <w:name w:val="批注框文本 Char"/>
    <w:link w:val="3"/>
    <w:semiHidden/>
    <w:qFormat/>
    <w:locked/>
    <w:uiPriority w:val="99"/>
    <w:rPr>
      <w:sz w:val="2"/>
      <w:szCs w:val="2"/>
    </w:rPr>
  </w:style>
  <w:style w:type="character" w:customStyle="1" w:styleId="16">
    <w:name w:val="hb2"/>
    <w:basedOn w:val="8"/>
    <w:qFormat/>
    <w:uiPriority w:val="0"/>
    <w:rPr>
      <w:color w:val="C80F0F"/>
    </w:rPr>
  </w:style>
  <w:style w:type="character" w:customStyle="1" w:styleId="17">
    <w:name w:val="on"/>
    <w:basedOn w:val="8"/>
    <w:uiPriority w:val="0"/>
    <w:rPr>
      <w:color w:val="FFFFFF"/>
      <w:sz w:val="22"/>
      <w:szCs w:val="22"/>
      <w:shd w:val="clear" w:color="auto" w:fill="2F69C8"/>
    </w:rPr>
  </w:style>
  <w:style w:type="character" w:customStyle="1" w:styleId="18">
    <w:name w:val="on1"/>
    <w:basedOn w:val="8"/>
    <w:qFormat/>
    <w:uiPriority w:val="0"/>
    <w:rPr>
      <w:shd w:val="clear" w:color="auto" w:fill="B0271F"/>
    </w:rPr>
  </w:style>
  <w:style w:type="character" w:customStyle="1" w:styleId="19">
    <w:name w:val="first-child4"/>
    <w:basedOn w:val="8"/>
    <w:qFormat/>
    <w:uiPriority w:val="0"/>
    <w:rPr>
      <w:b/>
      <w:color w:val="C5302C"/>
      <w:sz w:val="30"/>
      <w:szCs w:val="30"/>
    </w:rPr>
  </w:style>
  <w:style w:type="character" w:customStyle="1" w:styleId="20">
    <w:name w:val="xxjs"/>
    <w:basedOn w:val="8"/>
    <w:qFormat/>
    <w:uiPriority w:val="0"/>
  </w:style>
  <w:style w:type="character" w:customStyle="1" w:styleId="21">
    <w:name w:val="hb1"/>
    <w:basedOn w:val="8"/>
    <w:uiPriority w:val="0"/>
    <w:rPr>
      <w:color w:val="12A02C"/>
    </w:rPr>
  </w:style>
  <w:style w:type="character" w:customStyle="1" w:styleId="22">
    <w:name w:val="last-child4"/>
    <w:basedOn w:val="8"/>
    <w:qFormat/>
    <w:uiPriority w:val="0"/>
    <w:rPr>
      <w:color w:val="858585"/>
      <w:sz w:val="21"/>
      <w:szCs w:val="21"/>
    </w:rPr>
  </w:style>
  <w:style w:type="character" w:customStyle="1" w:styleId="23">
    <w:name w:val="ok"/>
    <w:basedOn w:val="8"/>
    <w:qFormat/>
    <w:uiPriority w:val="0"/>
    <w:rPr>
      <w:color w:val="FFFFFF"/>
      <w:shd w:val="clear" w:color="auto" w:fill="387EBF"/>
    </w:rPr>
  </w:style>
  <w:style w:type="character" w:customStyle="1" w:styleId="24">
    <w:name w:val="back"/>
    <w:basedOn w:val="8"/>
    <w:qFormat/>
    <w:uiPriority w:val="0"/>
    <w:rPr>
      <w:color w:val="333333"/>
      <w:shd w:val="clear" w:color="auto" w:fill="EEEEEE"/>
    </w:rPr>
  </w:style>
  <w:style w:type="character" w:customStyle="1" w:styleId="25">
    <w:name w:val="last-child"/>
    <w:basedOn w:val="8"/>
    <w:uiPriority w:val="0"/>
  </w:style>
  <w:style w:type="paragraph" w:styleId="26">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themeOverride" Target="../theme/themeOverrid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1"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受理渠道</a:t>
            </a:r>
          </a:p>
        </c:rich>
      </c:tx>
      <c:layout/>
      <c:overlay val="0"/>
      <c:spPr>
        <a:noFill/>
        <a:ln>
          <a:noFill/>
        </a:ln>
        <a:effectLst/>
      </c:spPr>
    </c:title>
    <c:autoTitleDeleted val="0"/>
    <c:plotArea>
      <c:layout>
        <c:manualLayout>
          <c:layoutTarget val="inner"/>
          <c:xMode val="edge"/>
          <c:yMode val="edge"/>
          <c:x val="0.101510089536282"/>
          <c:y val="0.195288282703038"/>
          <c:w val="0.738393692369373"/>
          <c:h val="0.659929737549082"/>
        </c:manualLayout>
      </c:layout>
      <c:barChart>
        <c:barDir val="col"/>
        <c:grouping val="clustered"/>
        <c:varyColors val="0"/>
        <c:ser>
          <c:idx val="1"/>
          <c:order val="0"/>
          <c:tx>
            <c:strRef>
              <c:f>Sheet1!$B$1</c:f>
              <c:strCache>
                <c:ptCount val="1"/>
                <c:pt idx="0">
                  <c:v>受理渠道</c:v>
                </c:pt>
              </c:strCache>
            </c:strRef>
          </c:tx>
          <c:spPr>
            <a:solidFill>
              <a:srgbClr val="4F586D"/>
            </a:solidFill>
            <a:ln>
              <a:noFill/>
            </a:ln>
            <a:effectLst/>
          </c:spPr>
          <c:invertIfNegative val="0"/>
          <c:dLbls>
            <c:delete val="1"/>
          </c:dLbls>
          <c:cat>
            <c:strRef>
              <c:f>Sheet1!$A$2:$A$5</c:f>
              <c:strCache>
                <c:ptCount val="4"/>
                <c:pt idx="0">
                  <c:v>网络平台19%</c:v>
                </c:pt>
                <c:pt idx="1">
                  <c:v>信函51%</c:v>
                </c:pt>
                <c:pt idx="2">
                  <c:v>当面16%</c:v>
                </c:pt>
                <c:pt idx="3">
                  <c:v>电子邮件14%</c:v>
                </c:pt>
              </c:strCache>
            </c:strRef>
          </c:cat>
          <c:val>
            <c:numRef>
              <c:f>Sheet1!$B$2:$B$5</c:f>
              <c:numCache>
                <c:formatCode>0%</c:formatCode>
                <c:ptCount val="4"/>
                <c:pt idx="0">
                  <c:v>0.19</c:v>
                </c:pt>
                <c:pt idx="1" c:formatCode="0.0%">
                  <c:v>0.51</c:v>
                </c:pt>
                <c:pt idx="2" c:formatCode="0.0%">
                  <c:v>0.16</c:v>
                </c:pt>
                <c:pt idx="3" c:formatCode="0.0%">
                  <c:v>0.14</c:v>
                </c:pt>
              </c:numCache>
            </c:numRef>
          </c:val>
        </c:ser>
        <c:dLbls>
          <c:showLegendKey val="0"/>
          <c:showVal val="0"/>
          <c:showCatName val="0"/>
          <c:showSerName val="0"/>
          <c:showPercent val="0"/>
          <c:showBubbleSize val="0"/>
        </c:dLbls>
        <c:gapWidth val="219"/>
        <c:overlap val="-27"/>
        <c:axId val="146070912"/>
        <c:axId val="114320512"/>
      </c:barChart>
      <c:catAx>
        <c:axId val="146070912"/>
        <c:scaling>
          <c:orientation val="minMax"/>
        </c:scaling>
        <c:delete val="0"/>
        <c:axPos val="b"/>
        <c:majorGridlines>
          <c:spPr>
            <a:ln w="9525" cap="flat" cmpd="sng" algn="ctr">
              <a:solidFill>
                <a:schemeClr val="bg1">
                  <a:lumMod val="85000"/>
                  <a:alpha val="70000"/>
                </a:schemeClr>
              </a:solidFill>
              <a:prstDash val="solid"/>
              <a:round/>
            </a:ln>
            <a:effectLst/>
          </c:spPr>
        </c:majorGridlines>
        <c:minorGridlines>
          <c:spPr>
            <a:ln w="9525" cap="flat" cmpd="sng" algn="ctr">
              <a:solidFill>
                <a:schemeClr val="bg1">
                  <a:lumMod val="85000"/>
                  <a:alpha val="70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114320512"/>
        <c:crosses val="autoZero"/>
        <c:auto val="1"/>
        <c:lblAlgn val="ctr"/>
        <c:lblOffset val="100"/>
        <c:noMultiLvlLbl val="0"/>
      </c:catAx>
      <c:valAx>
        <c:axId val="114320512"/>
        <c:scaling>
          <c:orientation val="minMax"/>
        </c:scaling>
        <c:delete val="0"/>
        <c:axPos val="l"/>
        <c:majorGridlines>
          <c:spPr>
            <a:ln w="9525" cap="flat" cmpd="sng" algn="ctr">
              <a:solidFill>
                <a:schemeClr val="tx1">
                  <a:lumMod val="15000"/>
                  <a:lumOff val="85000"/>
                  <a:alpha val="70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146070912"/>
        <c:crosses val="autoZero"/>
        <c:crossBetween val="between"/>
      </c:valAx>
      <c:spPr>
        <a:noFill/>
        <a:ln>
          <a:solidFill>
            <a:srgbClr val="BFBFBF"/>
          </a:solidFill>
          <a:prstDash val="solid"/>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solidFill>
      <a:srgbClr val="F9F7FA"/>
    </a:solidFill>
    <a:ln w="9525" cap="flat" cmpd="sng" algn="ctr">
      <a:solidFill>
        <a:schemeClr val="tx1">
          <a:lumMod val="15000"/>
          <a:lumOff val="85000"/>
        </a:schemeClr>
      </a:solidFill>
      <a:prstDash val="solid"/>
      <a:round/>
    </a:ln>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6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办理结果情况</a:t>
            </a:r>
          </a:p>
        </c:rich>
      </c:tx>
      <c:layout>
        <c:manualLayout>
          <c:xMode val="edge"/>
          <c:yMode val="edge"/>
          <c:x val="0.494289551921853"/>
          <c:y val="0.0127659574468085"/>
        </c:manualLayout>
      </c:layout>
      <c:overlay val="0"/>
      <c:spPr>
        <a:noFill/>
        <a:ln>
          <a:noFill/>
        </a:ln>
        <a:effectLst/>
      </c:spPr>
    </c:title>
    <c:autoTitleDeleted val="0"/>
    <c:plotArea>
      <c:layout>
        <c:manualLayout>
          <c:layoutTarget val="inner"/>
          <c:xMode val="edge"/>
          <c:yMode val="edge"/>
          <c:x val="0.174987815884477"/>
          <c:y val="0.280180954321913"/>
          <c:w val="0.29425"/>
          <c:h val="0.392333333333333"/>
        </c:manualLayout>
      </c:layout>
      <c:pieChart>
        <c:varyColors val="1"/>
        <c:ser>
          <c:idx val="0"/>
          <c:order val="0"/>
          <c:tx>
            <c:strRef>
              <c:f>Sheet1!$B$1</c:f>
              <c:strCache>
                <c:ptCount val="1"/>
                <c:pt idx="0">
                  <c:v>系列 1</c:v>
                </c:pt>
              </c:strCache>
            </c:strRef>
          </c:tx>
          <c:spPr>
            <a:solidFill>
              <a:srgbClr val="1E2223"/>
            </a:solidFill>
            <a:ln w="19050" cap="rnd" cmpd="sng">
              <a:solidFill>
                <a:schemeClr val="tx1">
                  <a:lumMod val="65000"/>
                  <a:lumOff val="35000"/>
                </a:schemeClr>
              </a:solidFill>
              <a:prstDash val="solid"/>
              <a:round/>
            </a:ln>
            <a:effectLst/>
          </c:spPr>
          <c:explosion val="0"/>
          <c:dPt>
            <c:idx val="0"/>
            <c:bubble3D val="0"/>
            <c:spPr>
              <a:solidFill>
                <a:srgbClr val="5B9BD5">
                  <a:lumMod val="20000"/>
                  <a:lumOff val="80000"/>
                </a:srgbClr>
              </a:solidFill>
              <a:ln w="19050" cap="rnd" cmpd="sng">
                <a:solidFill>
                  <a:schemeClr val="tx1">
                    <a:lumMod val="65000"/>
                    <a:lumOff val="35000"/>
                  </a:schemeClr>
                </a:solidFill>
                <a:prstDash val="solid"/>
                <a:round/>
              </a:ln>
              <a:effectLst/>
            </c:spPr>
          </c:dPt>
          <c:dPt>
            <c:idx val="1"/>
            <c:bubble3D val="0"/>
            <c:spPr>
              <a:solidFill>
                <a:srgbClr val="70AD47"/>
              </a:solidFill>
              <a:ln w="19050" cap="rnd" cmpd="sng">
                <a:solidFill>
                  <a:schemeClr val="tx1">
                    <a:lumMod val="65000"/>
                    <a:lumOff val="35000"/>
                  </a:schemeClr>
                </a:solidFill>
                <a:prstDash val="solid"/>
                <a:round/>
              </a:ln>
              <a:effectLst/>
            </c:spPr>
          </c:dPt>
          <c:dPt>
            <c:idx val="2"/>
            <c:bubble3D val="0"/>
            <c:spPr>
              <a:solidFill>
                <a:srgbClr val="FFFF00"/>
              </a:solidFill>
              <a:ln w="19050" cap="rnd" cmpd="sng">
                <a:solidFill>
                  <a:schemeClr val="tx1">
                    <a:lumMod val="65000"/>
                    <a:lumOff val="35000"/>
                  </a:schemeClr>
                </a:solidFill>
                <a:prstDash val="solid"/>
                <a:round/>
              </a:ln>
              <a:effectLst/>
            </c:spPr>
          </c:dPt>
          <c:dPt>
            <c:idx val="3"/>
            <c:bubble3D val="0"/>
            <c:spPr>
              <a:solidFill>
                <a:srgbClr val="ED7D31">
                  <a:lumMod val="75000"/>
                </a:srgbClr>
              </a:solidFill>
              <a:ln w="19050" cap="rnd" cmpd="sng">
                <a:solidFill>
                  <a:schemeClr val="tx1">
                    <a:lumMod val="65000"/>
                    <a:lumOff val="35000"/>
                  </a:schemeClr>
                </a:solidFill>
                <a:prstDash val="solid"/>
                <a:round/>
              </a:ln>
              <a:effectLst/>
            </c:spPr>
          </c:dPt>
          <c:dLbls>
            <c:dLbl>
              <c:idx val="0"/>
              <c:layout>
                <c:manualLayout>
                  <c:x val="-0.00548555956678698"/>
                  <c:y val="-0.0923728813559322"/>
                </c:manualLayout>
              </c:layout>
              <c:tx>
                <c:rich>
                  <a:bodyPr rot="0" spcFirstLastPara="0" vertOverflow="ellipsis" vert="horz" wrap="square" lIns="38100" tIns="19050" rIns="38100" bIns="19050" anchor="ctr" anchorCtr="1" forceAA="0"/>
                  <a:lstStyle/>
                  <a:p>
                    <a:pPr defTabSz="914400">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altLang="en-US"/>
                      <a:t>予以公开</a:t>
                    </a:r>
                    <a:endParaRPr lang="en-US" altLang="zh-CN"/>
                  </a:p>
                  <a:p>
                    <a:pPr defTabSz="914400">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43.5</a:t>
                    </a:r>
                    <a:r>
                      <a:t>%</a:t>
                    </a:r>
                  </a:p>
                </c:rich>
              </c:tx>
              <c:numFmt formatCode="General" sourceLinked="1"/>
              <c:spPr>
                <a:solidFill>
                  <a:srgbClr val="F3BF61"/>
                </a:solidFill>
                <a:ln>
                  <a:solidFill>
                    <a:schemeClr val="tx1">
                      <a:lumMod val="65000"/>
                      <a:lumOff val="35000"/>
                    </a:schemeClr>
                  </a:solid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507939710274698"/>
                  <c:y val="0.0308100880670251"/>
                </c:manualLayout>
              </c:layout>
              <c:tx>
                <c:rich>
                  <a:bodyPr rot="0" spcFirstLastPara="0" vertOverflow="ellipsis" vert="horz" wrap="square" lIns="38100" tIns="19050" rIns="38100" bIns="19050" anchor="ctr" anchorCtr="1" forceAA="0"/>
                  <a:lstStyle/>
                  <a:p>
                    <a:pPr defTabSz="914400">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不予公开</a:t>
                    </a:r>
                    <a:r>
                      <a:rPr lang="en-US" altLang="zh-CN"/>
                      <a:t>17.6</a:t>
                    </a:r>
                    <a:r>
                      <a:t>%</a:t>
                    </a:r>
                  </a:p>
                </c:rich>
              </c:tx>
              <c:numFmt formatCode="General" sourceLinked="1"/>
              <c:spPr>
                <a:solidFill>
                  <a:srgbClr val="00CCD5"/>
                </a:solidFill>
                <a:ln>
                  <a:solidFill>
                    <a:schemeClr val="tx1">
                      <a:lumMod val="65000"/>
                      <a:lumOff val="35000"/>
                    </a:schemeClr>
                  </a:solid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568567771666319"/>
                  <c:y val="0.000295477970877172"/>
                </c:manualLayout>
              </c:layout>
              <c:tx>
                <c:rich>
                  <a:bodyPr rot="0" spcFirstLastPara="0" vertOverflow="ellipsis" vert="horz" wrap="square" lIns="38100" tIns="19050" rIns="38100" bIns="19050" anchor="ctr" anchorCtr="1" forceAA="0"/>
                  <a:lstStyle/>
                  <a:p>
                    <a:pPr defTabSz="914400">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无法提供</a:t>
                    </a:r>
                  </a:p>
                  <a:p>
                    <a:pPr defTabSz="914400">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6.1</a:t>
                    </a:r>
                    <a:r>
                      <a:t>%</a:t>
                    </a:r>
                  </a:p>
                </c:rich>
              </c:tx>
              <c:numFmt formatCode="General" sourceLinked="1"/>
              <c:spPr>
                <a:solidFill>
                  <a:srgbClr val="B1A4FF"/>
                </a:solidFill>
                <a:ln>
                  <a:solidFill>
                    <a:schemeClr val="tx1">
                      <a:lumMod val="65000"/>
                      <a:lumOff val="35000"/>
                    </a:schemeClr>
                  </a:solid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216606498194946"/>
                  <c:y val="-0.0367231638418079"/>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其他处理</a:t>
                    </a:r>
                  </a:p>
                  <a:p>
                    <a:pPr defTabSz="914400">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32.8</a:t>
                    </a:r>
                    <a:r>
                      <a:t>%</a:t>
                    </a:r>
                  </a:p>
                </c:rich>
              </c:tx>
              <c:numFmt formatCode="General" sourceLinked="1"/>
              <c:spPr>
                <a:solidFill>
                  <a:srgbClr val="FFD588"/>
                </a:solidFill>
                <a:ln>
                  <a:solidFill>
                    <a:schemeClr val="tx1">
                      <a:lumMod val="65000"/>
                      <a:lumOff val="35000"/>
                    </a:schemeClr>
                  </a:solid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spPr>
              <a:solidFill>
                <a:srgbClr val="FFD588"/>
              </a:solidFill>
              <a:ln>
                <a:solidFill>
                  <a:schemeClr val="tx1">
                    <a:lumMod val="65000"/>
                    <a:lumOff val="35000"/>
                  </a:schemeClr>
                </a:solid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0"/>
            <c:showCatName val="0"/>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予以公开</c:v>
                </c:pt>
                <c:pt idx="1">
                  <c:v>不予公开</c:v>
                </c:pt>
                <c:pt idx="2">
                  <c:v>无法提供</c:v>
                </c:pt>
                <c:pt idx="3">
                  <c:v>其他处理</c:v>
                </c:pt>
              </c:strCache>
            </c:strRef>
          </c:cat>
          <c:val>
            <c:numRef>
              <c:f>Sheet1!$B$2:$B$5</c:f>
              <c:numCache>
                <c:formatCode>General</c:formatCode>
                <c:ptCount val="4"/>
                <c:pt idx="0">
                  <c:v>43.5</c:v>
                </c:pt>
                <c:pt idx="1">
                  <c:v>17.6</c:v>
                </c:pt>
                <c:pt idx="2">
                  <c:v>6.1</c:v>
                </c:pt>
                <c:pt idx="3">
                  <c:v>32.8</c:v>
                </c:pt>
              </c:numCache>
            </c:numRef>
          </c:val>
        </c:ser>
        <c:ser>
          <c:idx val="1"/>
          <c:order val="1"/>
          <c:tx>
            <c:strRef>
              <c:f>Sheet1!$C$1</c:f>
              <c:strCache>
                <c:ptCount val="1"/>
                <c:pt idx="0">
                  <c:v>系列 2</c:v>
                </c:pt>
              </c:strCache>
            </c:strRef>
          </c:tx>
          <c:spPr>
            <a:solidFill>
              <a:srgbClr val="1E2223"/>
            </a:solidFill>
            <a:ln w="19050" cap="rnd" cmpd="sng">
              <a:solidFill>
                <a:schemeClr val="tx1">
                  <a:lumMod val="65000"/>
                  <a:lumOff val="35000"/>
                </a:schemeClr>
              </a:solidFill>
              <a:prstDash val="solid"/>
              <a:round/>
            </a:ln>
            <a:effectLst/>
          </c:spPr>
          <c:explosion val="0"/>
          <c:dPt>
            <c:idx val="0"/>
            <c:bubble3D val="0"/>
            <c:spPr>
              <a:solidFill>
                <a:srgbClr val="FFD588"/>
              </a:solidFill>
              <a:ln w="19050" cap="rnd" cmpd="sng">
                <a:solidFill>
                  <a:schemeClr val="tx1">
                    <a:lumMod val="65000"/>
                    <a:lumOff val="35000"/>
                  </a:schemeClr>
                </a:solidFill>
                <a:prstDash val="solid"/>
                <a:round/>
              </a:ln>
              <a:effectLst/>
            </c:spPr>
          </c:dPt>
          <c:dPt>
            <c:idx val="1"/>
            <c:bubble3D val="0"/>
            <c:spPr>
              <a:solidFill>
                <a:srgbClr val="00CCD5"/>
              </a:solidFill>
              <a:ln w="19050" cap="rnd" cmpd="sng">
                <a:solidFill>
                  <a:schemeClr val="tx1">
                    <a:lumMod val="65000"/>
                    <a:lumOff val="35000"/>
                  </a:schemeClr>
                </a:solidFill>
                <a:prstDash val="solid"/>
                <a:round/>
              </a:ln>
              <a:effectLst/>
            </c:spPr>
          </c:dPt>
          <c:dPt>
            <c:idx val="2"/>
            <c:bubble3D val="0"/>
            <c:spPr>
              <a:pattFill prst="wdUpDiag">
                <a:fgClr>
                  <a:srgbClr val="B1A4FF"/>
                </a:fgClr>
                <a:bgClr>
                  <a:schemeClr val="bg1"/>
                </a:bgClr>
              </a:pattFill>
              <a:ln w="19050" cap="rnd" cmpd="sng">
                <a:solidFill>
                  <a:schemeClr val="tx1">
                    <a:lumMod val="65000"/>
                    <a:lumOff val="35000"/>
                  </a:schemeClr>
                </a:solidFill>
                <a:prstDash val="solid"/>
                <a:round/>
              </a:ln>
              <a:effectLst/>
            </c:spPr>
          </c:dPt>
          <c:dPt>
            <c:idx val="3"/>
            <c:bubble3D val="0"/>
            <c:spPr>
              <a:solidFill>
                <a:srgbClr val="1E2223"/>
              </a:solidFill>
              <a:ln w="19050" cap="rnd" cmpd="sng">
                <a:solidFill>
                  <a:schemeClr val="tx1">
                    <a:lumMod val="65000"/>
                    <a:lumOff val="35000"/>
                  </a:schemeClr>
                </a:solidFill>
                <a:prstDash val="solid"/>
                <a:round/>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0"/>
            <c:showCatName val="0"/>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予以公开</c:v>
                </c:pt>
                <c:pt idx="1">
                  <c:v>不予公开</c:v>
                </c:pt>
                <c:pt idx="2">
                  <c:v>无法提供</c:v>
                </c:pt>
                <c:pt idx="3">
                  <c:v>其他处理</c:v>
                </c:pt>
              </c:strCache>
            </c:strRef>
          </c:cat>
          <c:val>
            <c:numRef>
              <c:f>Sheet1!$C$2:$C$5</c:f>
              <c:numCache>
                <c:formatCode>General</c:formatCode>
                <c:ptCount val="4"/>
                <c:pt idx="0">
                  <c:v>2.4</c:v>
                </c:pt>
                <c:pt idx="1">
                  <c:v>4.4</c:v>
                </c:pt>
                <c:pt idx="3">
                  <c:v>1.8</c:v>
                </c:pt>
              </c:numCache>
            </c:numRef>
          </c:val>
        </c:ser>
        <c:ser>
          <c:idx val="2"/>
          <c:order val="2"/>
          <c:tx>
            <c:strRef>
              <c:f>Sheet1!$D$1</c:f>
              <c:strCache>
                <c:ptCount val="1"/>
                <c:pt idx="0">
                  <c:v>系列 3</c:v>
                </c:pt>
              </c:strCache>
            </c:strRef>
          </c:tx>
          <c:spPr>
            <a:solidFill>
              <a:srgbClr val="1E2223"/>
            </a:solidFill>
            <a:ln w="19050" cap="rnd" cmpd="sng">
              <a:solidFill>
                <a:schemeClr val="tx1">
                  <a:lumMod val="65000"/>
                  <a:lumOff val="35000"/>
                </a:schemeClr>
              </a:solidFill>
              <a:prstDash val="solid"/>
              <a:round/>
            </a:ln>
            <a:effectLst/>
          </c:spPr>
          <c:explosion val="0"/>
          <c:dPt>
            <c:idx val="0"/>
            <c:bubble3D val="0"/>
            <c:spPr>
              <a:solidFill>
                <a:srgbClr val="FFD588"/>
              </a:solidFill>
              <a:ln w="19050" cap="rnd" cmpd="sng">
                <a:solidFill>
                  <a:schemeClr val="tx1">
                    <a:lumMod val="65000"/>
                    <a:lumOff val="35000"/>
                  </a:schemeClr>
                </a:solidFill>
                <a:prstDash val="solid"/>
                <a:round/>
              </a:ln>
              <a:effectLst/>
            </c:spPr>
          </c:dPt>
          <c:dPt>
            <c:idx val="1"/>
            <c:bubble3D val="0"/>
            <c:spPr>
              <a:solidFill>
                <a:srgbClr val="00CCD5"/>
              </a:solidFill>
              <a:ln w="19050" cap="rnd" cmpd="sng">
                <a:solidFill>
                  <a:schemeClr val="tx1">
                    <a:lumMod val="65000"/>
                    <a:lumOff val="35000"/>
                  </a:schemeClr>
                </a:solidFill>
                <a:prstDash val="solid"/>
                <a:round/>
              </a:ln>
              <a:effectLst/>
            </c:spPr>
          </c:dPt>
          <c:dPt>
            <c:idx val="2"/>
            <c:bubble3D val="0"/>
            <c:spPr>
              <a:pattFill prst="wdUpDiag">
                <a:fgClr>
                  <a:srgbClr val="B1A4FF"/>
                </a:fgClr>
                <a:bgClr>
                  <a:schemeClr val="bg1"/>
                </a:bgClr>
              </a:pattFill>
              <a:ln w="19050" cap="rnd" cmpd="sng">
                <a:solidFill>
                  <a:schemeClr val="tx1">
                    <a:lumMod val="65000"/>
                    <a:lumOff val="35000"/>
                  </a:schemeClr>
                </a:solidFill>
                <a:prstDash val="solid"/>
                <a:round/>
              </a:ln>
              <a:effectLst/>
            </c:spPr>
          </c:dPt>
          <c:dPt>
            <c:idx val="3"/>
            <c:bubble3D val="0"/>
            <c:spPr>
              <a:solidFill>
                <a:srgbClr val="1E2223"/>
              </a:solidFill>
              <a:ln w="19050" cap="rnd" cmpd="sng">
                <a:solidFill>
                  <a:schemeClr val="tx1">
                    <a:lumMod val="65000"/>
                    <a:lumOff val="35000"/>
                  </a:schemeClr>
                </a:solidFill>
                <a:prstDash val="solid"/>
                <a:round/>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0"/>
            <c:showCatName val="0"/>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予以公开</c:v>
                </c:pt>
                <c:pt idx="1">
                  <c:v>不予公开</c:v>
                </c:pt>
                <c:pt idx="2">
                  <c:v>无法提供</c:v>
                </c:pt>
                <c:pt idx="3">
                  <c:v>其他处理</c:v>
                </c:pt>
              </c:strCache>
            </c:strRef>
          </c:cat>
          <c:val>
            <c:numRef>
              <c:f>Sheet1!$D$2:$D$5</c:f>
              <c:numCache>
                <c:formatCode>General</c:formatCode>
                <c:ptCount val="4"/>
                <c:pt idx="0">
                  <c:v>2</c:v>
                </c:pt>
                <c:pt idx="1">
                  <c:v>2</c:v>
                </c:pt>
                <c:pt idx="3">
                  <c:v>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50490196078432"/>
          <c:y val="0.296595744680851"/>
          <c:w val="0.226470588235294"/>
          <c:h val="0.60936170212766"/>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zero"/>
    <c:showDLblsOverMax val="0"/>
  </c:chart>
  <c:spPr>
    <a:blipFill rotWithShape="1">
      <a:blip xmlns:r="http://schemas.openxmlformats.org/officeDocument/2006/relationships" r:embed="rId3"/>
      <a:stretch>
        <a:fillRect/>
      </a:stretch>
    </a:blipFill>
    <a:ln w="9525" cap="flat" cmpd="sng" algn="ctr">
      <a:noFill/>
      <a:prstDash val="solid"/>
      <a:round/>
    </a:ln>
    <a:effectLst>
      <a:outerShdw blurRad="63500" dist="37357" dir="2700000" sx="0" sy="0" rotWithShape="0">
        <a:scrgbClr r="0" g="0" b="0"/>
      </a:outerShdw>
    </a:effectLst>
  </c:spPr>
  <c:txPr>
    <a:bodyPr/>
    <a:lstStyle/>
    <a:p>
      <a:pPr>
        <a:defRPr lang="zh-CN">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6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申请人基本情况</a:t>
            </a:r>
          </a:p>
        </c:rich>
      </c:tx>
      <c:layout>
        <c:manualLayout>
          <c:xMode val="edge"/>
          <c:yMode val="edge"/>
          <c:x val="0.323824678256944"/>
          <c:y val="0.0258028049298768"/>
        </c:manualLayout>
      </c:layout>
      <c:overlay val="0"/>
      <c:spPr>
        <a:noFill/>
        <a:ln>
          <a:noFill/>
        </a:ln>
        <a:effectLst/>
      </c:spPr>
    </c:title>
    <c:autoTitleDeleted val="0"/>
    <c:plotArea>
      <c:layout>
        <c:manualLayout>
          <c:layoutTarget val="inner"/>
          <c:xMode val="edge"/>
          <c:yMode val="edge"/>
          <c:x val="0.281125"/>
          <c:y val="0.439728153003646"/>
          <c:w val="0.29425"/>
          <c:h val="0.392333333333333"/>
        </c:manualLayout>
      </c:layout>
      <c:pieChart>
        <c:varyColors val="1"/>
        <c:ser>
          <c:idx val="0"/>
          <c:order val="0"/>
          <c:tx>
            <c:strRef>
              <c:f>Sheet1!$B$1</c:f>
              <c:strCache>
                <c:ptCount val="1"/>
                <c:pt idx="0">
                  <c:v>系列 1</c:v>
                </c:pt>
              </c:strCache>
            </c:strRef>
          </c:tx>
          <c:spPr>
            <a:solidFill>
              <a:srgbClr val="1E2223"/>
            </a:solidFill>
            <a:ln w="19050" cap="rnd" cmpd="sng">
              <a:solidFill>
                <a:schemeClr val="tx1">
                  <a:lumMod val="65000"/>
                  <a:lumOff val="35000"/>
                </a:schemeClr>
              </a:solidFill>
              <a:prstDash val="solid"/>
              <a:round/>
            </a:ln>
            <a:effectLst/>
          </c:spPr>
          <c:explosion val="0"/>
          <c:dPt>
            <c:idx val="0"/>
            <c:bubble3D val="0"/>
            <c:spPr>
              <a:solidFill>
                <a:srgbClr val="FF0000"/>
              </a:solidFill>
              <a:ln w="19050" cap="rnd" cmpd="sng">
                <a:solidFill>
                  <a:schemeClr val="tx1">
                    <a:lumMod val="65000"/>
                    <a:lumOff val="35000"/>
                  </a:schemeClr>
                </a:solidFill>
                <a:prstDash val="solid"/>
                <a:round/>
              </a:ln>
              <a:effectLst/>
            </c:spPr>
          </c:dPt>
          <c:dPt>
            <c:idx val="1"/>
            <c:bubble3D val="0"/>
            <c:spPr>
              <a:solidFill>
                <a:srgbClr val="70AD47"/>
              </a:solidFill>
              <a:ln w="19050" cap="rnd" cmpd="sng">
                <a:solidFill>
                  <a:schemeClr val="tx1">
                    <a:lumMod val="65000"/>
                    <a:lumOff val="35000"/>
                  </a:schemeClr>
                </a:solidFill>
                <a:prstDash val="solid"/>
                <a:round/>
              </a:ln>
              <a:effectLst/>
            </c:spPr>
          </c:dPt>
          <c:dPt>
            <c:idx val="2"/>
            <c:bubble3D val="0"/>
            <c:spPr>
              <a:solidFill>
                <a:srgbClr val="FFFF00"/>
              </a:solidFill>
              <a:ln w="19050" cap="rnd" cmpd="sng">
                <a:solidFill>
                  <a:schemeClr val="tx1">
                    <a:lumMod val="65000"/>
                    <a:lumOff val="35000"/>
                  </a:schemeClr>
                </a:solidFill>
                <a:prstDash val="solid"/>
                <a:round/>
              </a:ln>
              <a:effectLst/>
            </c:spPr>
          </c:dPt>
          <c:dLbls>
            <c:dLbl>
              <c:idx val="0"/>
              <c:layout>
                <c:manualLayout>
                  <c:x val="0.0465"/>
                  <c:y val="-0.05"/>
                </c:manualLayout>
              </c:layout>
              <c:tx>
                <c:rich>
                  <a:bodyPr rot="0" spcFirstLastPara="0" vertOverflow="ellipsis" vert="horz" wrap="square" lIns="38100" tIns="19050" rIns="38100" bIns="19050" anchor="ctr" anchorCtr="1" forceAA="0"/>
                  <a:lstStyle/>
                  <a:p>
                    <a:pPr defTabSz="914400">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altLang="en-US"/>
                      <a:t>自然人</a:t>
                    </a:r>
                    <a:endParaRPr lang="en-US" altLang="zh-CN"/>
                  </a:p>
                  <a:p>
                    <a:pPr defTabSz="914400">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82.4</a:t>
                    </a:r>
                    <a:r>
                      <a:t>%</a:t>
                    </a:r>
                  </a:p>
                </c:rich>
              </c:tx>
              <c:numFmt formatCode="General" sourceLinked="1"/>
              <c:spPr>
                <a:solidFill>
                  <a:srgbClr val="F3BF61"/>
                </a:solidFill>
                <a:ln>
                  <a:solidFill>
                    <a:schemeClr val="tx1">
                      <a:lumMod val="65000"/>
                      <a:lumOff val="35000"/>
                    </a:schemeClr>
                  </a:solid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196214807903408"/>
                  <c:y val="0.0240606805310271"/>
                </c:manualLayout>
              </c:layout>
              <c:tx>
                <c:rich>
                  <a:bodyPr rot="0" spcFirstLastPara="0" vertOverflow="ellipsis" vert="horz" wrap="square" lIns="38100" tIns="19050" rIns="38100" bIns="19050" anchor="ctr" anchorCtr="1" forceAA="0"/>
                  <a:lstStyle/>
                  <a:p>
                    <a:pPr defTabSz="914400">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商业企业</a:t>
                    </a:r>
                  </a:p>
                  <a:p>
                    <a:pPr defTabSz="914400">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11.5</a:t>
                    </a:r>
                    <a:r>
                      <a:t>%</a:t>
                    </a:r>
                  </a:p>
                </c:rich>
              </c:tx>
              <c:numFmt formatCode="General" sourceLinked="1"/>
              <c:spPr>
                <a:solidFill>
                  <a:srgbClr val="00CCD5"/>
                </a:solidFill>
                <a:ln>
                  <a:solidFill>
                    <a:schemeClr val="tx1">
                      <a:lumMod val="65000"/>
                      <a:lumOff val="35000"/>
                    </a:schemeClr>
                  </a:solid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0595910730990241"/>
                  <c:y val="-0.0166536745714957"/>
                </c:manualLayout>
              </c:layout>
              <c:tx>
                <c:rich>
                  <a:bodyPr rot="0" spcFirstLastPara="0" vertOverflow="ellipsis" vert="horz" wrap="square" lIns="38100" tIns="19050" rIns="38100" bIns="19050" anchor="ctr" anchorCtr="1" forceAA="0"/>
                  <a:lstStyle/>
                  <a:p>
                    <a:pPr defTabSz="914400">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科研机构</a:t>
                    </a:r>
                  </a:p>
                  <a:p>
                    <a:pPr defTabSz="914400">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6.1</a:t>
                    </a:r>
                    <a:r>
                      <a:t>%</a:t>
                    </a:r>
                  </a:p>
                </c:rich>
              </c:tx>
              <c:numFmt formatCode="General" sourceLinked="1"/>
              <c:spPr>
                <a:solidFill>
                  <a:srgbClr val="B1A4FF"/>
                </a:solidFill>
                <a:ln>
                  <a:solidFill>
                    <a:schemeClr val="tx1">
                      <a:lumMod val="65000"/>
                      <a:lumOff val="35000"/>
                    </a:schemeClr>
                  </a:solid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spPr>
              <a:solidFill>
                <a:srgbClr val="FFD588"/>
              </a:solidFill>
              <a:ln>
                <a:solidFill>
                  <a:schemeClr val="tx1">
                    <a:lumMod val="65000"/>
                    <a:lumOff val="35000"/>
                  </a:schemeClr>
                </a:solid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0"/>
            <c:showCatName val="0"/>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自然人</c:v>
                </c:pt>
                <c:pt idx="1">
                  <c:v>商业企业</c:v>
                </c:pt>
                <c:pt idx="2">
                  <c:v>科研机构</c:v>
                </c:pt>
              </c:strCache>
            </c:strRef>
          </c:cat>
          <c:val>
            <c:numRef>
              <c:f>Sheet1!$B$2:$B$4</c:f>
              <c:numCache>
                <c:formatCode>General</c:formatCode>
                <c:ptCount val="3"/>
                <c:pt idx="0">
                  <c:v>82.4</c:v>
                </c:pt>
                <c:pt idx="1">
                  <c:v>11.5</c:v>
                </c:pt>
                <c:pt idx="2">
                  <c:v>6.1</c:v>
                </c:pt>
              </c:numCache>
            </c:numRef>
          </c:val>
        </c:ser>
        <c:ser>
          <c:idx val="1"/>
          <c:order val="1"/>
          <c:tx>
            <c:strRef>
              <c:f>Sheet1!$C$1</c:f>
              <c:strCache>
                <c:ptCount val="1"/>
                <c:pt idx="0">
                  <c:v>系列 2</c:v>
                </c:pt>
              </c:strCache>
            </c:strRef>
          </c:tx>
          <c:spPr>
            <a:solidFill>
              <a:srgbClr val="1E2223"/>
            </a:solidFill>
            <a:ln w="19050" cap="rnd" cmpd="sng">
              <a:solidFill>
                <a:schemeClr val="tx1">
                  <a:lumMod val="65000"/>
                  <a:lumOff val="35000"/>
                </a:schemeClr>
              </a:solidFill>
              <a:prstDash val="solid"/>
              <a:round/>
            </a:ln>
            <a:effectLst/>
          </c:spPr>
          <c:explosion val="0"/>
          <c:dPt>
            <c:idx val="0"/>
            <c:bubble3D val="0"/>
            <c:spPr>
              <a:solidFill>
                <a:srgbClr val="FFD588"/>
              </a:solidFill>
              <a:ln w="19050" cap="rnd" cmpd="sng">
                <a:solidFill>
                  <a:schemeClr val="tx1">
                    <a:lumMod val="65000"/>
                    <a:lumOff val="35000"/>
                  </a:schemeClr>
                </a:solidFill>
                <a:prstDash val="solid"/>
                <a:round/>
              </a:ln>
              <a:effectLst/>
            </c:spPr>
          </c:dPt>
          <c:dPt>
            <c:idx val="1"/>
            <c:bubble3D val="0"/>
            <c:spPr>
              <a:solidFill>
                <a:srgbClr val="00CCD5"/>
              </a:solidFill>
              <a:ln w="19050" cap="rnd" cmpd="sng">
                <a:solidFill>
                  <a:schemeClr val="tx1">
                    <a:lumMod val="65000"/>
                    <a:lumOff val="35000"/>
                  </a:schemeClr>
                </a:solidFill>
                <a:prstDash val="solid"/>
                <a:round/>
              </a:ln>
              <a:effectLst/>
            </c:spPr>
          </c:dPt>
          <c:dPt>
            <c:idx val="2"/>
            <c:bubble3D val="0"/>
            <c:spPr>
              <a:pattFill prst="wdUpDiag">
                <a:fgClr>
                  <a:srgbClr val="B1A4FF"/>
                </a:fgClr>
                <a:bgClr>
                  <a:schemeClr val="bg1"/>
                </a:bgClr>
              </a:pattFill>
              <a:ln w="19050" cap="rnd" cmpd="sng">
                <a:solidFill>
                  <a:schemeClr val="tx1">
                    <a:lumMod val="65000"/>
                    <a:lumOff val="35000"/>
                  </a:schemeClr>
                </a:solidFill>
                <a:prstDash val="solid"/>
                <a:round/>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0"/>
            <c:showCatName val="0"/>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自然人</c:v>
                </c:pt>
                <c:pt idx="1">
                  <c:v>商业企业</c:v>
                </c:pt>
                <c:pt idx="2">
                  <c:v>科研机构</c:v>
                </c:pt>
              </c:strCache>
            </c:strRef>
          </c:cat>
          <c:val>
            <c:numRef>
              <c:f>Sheet1!$C$2:$C$4</c:f>
              <c:numCache>
                <c:formatCode>General</c:formatCode>
                <c:ptCount val="3"/>
                <c:pt idx="0">
                  <c:v>2.4</c:v>
                </c:pt>
                <c:pt idx="1">
                  <c:v>4.4</c:v>
                </c:pt>
                <c:pt idx="2">
                  <c:v>1.8</c:v>
                </c:pt>
              </c:numCache>
            </c:numRef>
          </c:val>
        </c:ser>
        <c:ser>
          <c:idx val="2"/>
          <c:order val="2"/>
          <c:tx>
            <c:strRef>
              <c:f>Sheet1!$D$1</c:f>
              <c:strCache>
                <c:ptCount val="1"/>
                <c:pt idx="0">
                  <c:v>系列 3</c:v>
                </c:pt>
              </c:strCache>
            </c:strRef>
          </c:tx>
          <c:spPr>
            <a:solidFill>
              <a:srgbClr val="1E2223"/>
            </a:solidFill>
            <a:ln w="19050" cap="rnd" cmpd="sng">
              <a:solidFill>
                <a:schemeClr val="tx1">
                  <a:lumMod val="65000"/>
                  <a:lumOff val="35000"/>
                </a:schemeClr>
              </a:solidFill>
              <a:prstDash val="solid"/>
              <a:round/>
            </a:ln>
            <a:effectLst/>
          </c:spPr>
          <c:explosion val="0"/>
          <c:dPt>
            <c:idx val="0"/>
            <c:bubble3D val="0"/>
            <c:spPr>
              <a:solidFill>
                <a:srgbClr val="FFD588"/>
              </a:solidFill>
              <a:ln w="19050" cap="rnd" cmpd="sng">
                <a:solidFill>
                  <a:schemeClr val="tx1">
                    <a:lumMod val="65000"/>
                    <a:lumOff val="35000"/>
                  </a:schemeClr>
                </a:solidFill>
                <a:prstDash val="solid"/>
                <a:round/>
              </a:ln>
              <a:effectLst/>
            </c:spPr>
          </c:dPt>
          <c:dPt>
            <c:idx val="1"/>
            <c:bubble3D val="0"/>
            <c:spPr>
              <a:solidFill>
                <a:srgbClr val="00CCD5"/>
              </a:solidFill>
              <a:ln w="19050" cap="rnd" cmpd="sng">
                <a:solidFill>
                  <a:schemeClr val="tx1">
                    <a:lumMod val="65000"/>
                    <a:lumOff val="35000"/>
                  </a:schemeClr>
                </a:solidFill>
                <a:prstDash val="solid"/>
                <a:round/>
              </a:ln>
              <a:effectLst/>
            </c:spPr>
          </c:dPt>
          <c:dPt>
            <c:idx val="2"/>
            <c:bubble3D val="0"/>
            <c:spPr>
              <a:pattFill prst="wdUpDiag">
                <a:fgClr>
                  <a:srgbClr val="B1A4FF"/>
                </a:fgClr>
                <a:bgClr>
                  <a:schemeClr val="bg1"/>
                </a:bgClr>
              </a:pattFill>
              <a:ln w="19050" cap="rnd" cmpd="sng">
                <a:solidFill>
                  <a:schemeClr val="tx1">
                    <a:lumMod val="65000"/>
                    <a:lumOff val="35000"/>
                  </a:schemeClr>
                </a:solidFill>
                <a:prstDash val="solid"/>
                <a:round/>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0"/>
            <c:showCatName val="0"/>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自然人</c:v>
                </c:pt>
                <c:pt idx="1">
                  <c:v>商业企业</c:v>
                </c:pt>
                <c:pt idx="2">
                  <c:v>科研机构</c:v>
                </c:pt>
              </c:strCache>
            </c:strRef>
          </c:cat>
          <c:val>
            <c:numRef>
              <c:f>Sheet1!$D$2:$D$4</c:f>
              <c:numCache>
                <c:formatCode>General</c:formatCode>
                <c:ptCount val="3"/>
                <c:pt idx="0">
                  <c:v>2</c:v>
                </c:pt>
                <c:pt idx="1">
                  <c:v>2</c:v>
                </c:pt>
                <c:pt idx="2">
                  <c:v>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52765861368255"/>
          <c:y val="0.296642583935402"/>
          <c:w val="0.189207496048769"/>
          <c:h val="0.451338716532087"/>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zero"/>
    <c:showDLblsOverMax val="0"/>
  </c:chart>
  <c:spPr>
    <a:blipFill rotWithShape="1">
      <a:blip xmlns:r="http://schemas.openxmlformats.org/officeDocument/2006/relationships" r:embed="rId3"/>
      <a:stretch>
        <a:fillRect/>
      </a:stretch>
    </a:blipFill>
    <a:ln w="9525" cap="flat" cmpd="sng" algn="ctr">
      <a:noFill/>
      <a:prstDash val="solid"/>
      <a:round/>
    </a:ln>
    <a:effectLst>
      <a:outerShdw blurRad="63500" dist="37357" dir="2700000" sx="0" sy="0" rotWithShape="0">
        <a:scrgbClr r="0" g="0" b="0"/>
      </a:outerShdw>
    </a:effectLst>
  </c:spPr>
  <c:txPr>
    <a:bodyPr/>
    <a:lstStyle/>
    <a:p>
      <a:pPr>
        <a:defRPr lang="zh-CN">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张店区人民政府办公室</Company>
  <Pages>14</Pages>
  <Words>843</Words>
  <Characters>4811</Characters>
  <Lines>40</Lines>
  <Paragraphs>11</Paragraphs>
  <TotalTime>1</TotalTime>
  <ScaleCrop>false</ScaleCrop>
  <LinksUpToDate>false</LinksUpToDate>
  <CharactersWithSpaces>5643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2021-02-20T01:45:00Z</dcterms:created>
  <dc:creator>January</dc:creator>
  <cp:lastModifiedBy>merry</cp:lastModifiedBy>
  <cp:lastPrinted>2021-02-22T08:42:00Z</cp:lastPrinted>
  <dcterms:modified xsi:type="dcterms:W3CDTF">2021-02-23T08:53:30Z</dcterms:modified>
  <dc:title>淄博市张店区人民政府</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